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2020-12-10 17:36:41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199732400730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Dinindu Udana Thilakarathna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0777186434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>
            <w:r>
              <w:t>Poker sdrfgsdfgsdfg sdfg sdfgs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10,000.00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15,000.00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10,000.00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25,000.00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13,000.00)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12,000.00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