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End-to-End Critical Roast of the Handwritten Math → LaTeX Implementation Plan</w:t>
      </w:r>
    </w:p>
    <w:p>
      <w:r>
        <w:t>This is a deliberately adversarial senior-engineer design review. The goal is not to defend the implementation plan, but to identify every questionable assumption, hidden dependency, loophole, missing requirement, unsafe inference, evaluation weakness, data problem, deployment issue, and research-design gap that could invalidate the project.</w:t>
      </w:r>
    </w:p>
    <w:p>
      <w:r>
        <w:t>Core verdict: the architecture is promising, but the current document is not yet an implementation-ready engineering specification. It is much more precise about what components exist than about what happens when those components are wrong.</w:t>
      </w:r>
    </w:p>
    <w:p>
      <w:pPr>
        <w:pStyle w:val="Heading1"/>
      </w:pPr>
      <w:r>
        <w:t>Executive Verdict</w:t>
      </w:r>
    </w:p>
    <w:p>
      <w:r>
        <w:t>The central idea is strong: faithfully transcribe what the student actually wrote, never silently correct mathematical mistakes, and involve a human whenever the system cannot establish fidelity. However, several important claims in the plan jump from plausibility to guarantee without an experiment or formal invariant establishing the connection.</w:t>
      </w:r>
    </w:p>
    <w:p>
      <w:r>
        <w:t>Indicative assessment:</w:t>
      </w:r>
    </w:p>
    <w:p>
      <w:pPr>
        <w:pStyle w:val="ListBullet"/>
      </w:pPr>
      <w:r>
        <w:t>Problem definition — 9/10</w:t>
      </w:r>
    </w:p>
    <w:p>
      <w:pPr>
        <w:pStyle w:val="ListBullet"/>
      </w:pPr>
      <w:r>
        <w:t>Safety philosophy — 8/10</w:t>
      </w:r>
    </w:p>
    <w:p>
      <w:pPr>
        <w:pStyle w:val="ListBullet"/>
      </w:pPr>
      <w:r>
        <w:t>High-level architecture — 7/10</w:t>
      </w:r>
    </w:p>
    <w:p>
      <w:pPr>
        <w:pStyle w:val="ListBullet"/>
      </w:pPr>
      <w:r>
        <w:t>ML architecture — 5/10</w:t>
      </w:r>
    </w:p>
    <w:p>
      <w:pPr>
        <w:pStyle w:val="ListBullet"/>
      </w:pPr>
      <w:r>
        <w:t>Data strategy — 3/10</w:t>
      </w:r>
    </w:p>
    <w:p>
      <w:pPr>
        <w:pStyle w:val="ListBullet"/>
      </w:pPr>
      <w:r>
        <w:t>Evaluation methodology — 4/10</w:t>
      </w:r>
    </w:p>
    <w:p>
      <w:pPr>
        <w:pStyle w:val="ListBullet"/>
      </w:pPr>
      <w:r>
        <w:t>Failure handling — 4/10</w:t>
      </w:r>
    </w:p>
    <w:p>
      <w:pPr>
        <w:pStyle w:val="ListBullet"/>
      </w:pPr>
      <w:r>
        <w:t>Production readiness — 3/10</w:t>
      </w:r>
    </w:p>
    <w:p>
      <w:pPr>
        <w:pStyle w:val="ListBullet"/>
      </w:pPr>
      <w:r>
        <w:t>Reproducibility — 3/10</w:t>
      </w:r>
    </w:p>
    <w:p>
      <w:pPr>
        <w:pStyle w:val="ListBullet"/>
      </w:pPr>
      <w:r>
        <w:t>Research defensibility — 5/10</w:t>
      </w:r>
    </w:p>
    <w:p>
      <w:pPr>
        <w:pStyle w:val="ListBullet"/>
      </w:pPr>
      <w:r>
        <w:t>Implementation readiness — 4/10</w:t>
      </w:r>
    </w:p>
    <w:p>
      <w:pPr>
        <w:pStyle w:val="Heading1"/>
      </w:pPr>
      <w:r>
        <w:t>The Central Problem</w:t>
      </w:r>
    </w:p>
    <w:p>
      <w:r>
        <w:t>The document is strongest when it says the system should faithfully transcribe and never silently correct. It is weakest where it implicitly assumes that model architecture, model agreement, confidence, compilation success, or deterministic processing can establish that fidelity.</w:t>
      </w:r>
    </w:p>
    <w:p>
      <w:pPr>
        <w:ind w:left="360"/>
      </w:pPr>
      <w:r>
        <w:rPr>
          <w:rFonts w:ascii="Courier New" w:hAnsi="Courier New"/>
          <w:sz w:val="18"/>
        </w:rPr>
        <w:t>specialized model → faithful</w:t>
        <w:br/>
        <w:t>two models → safe</w:t>
        <w:br/>
        <w:t>confidence &gt; .90 → correct</w:t>
        <w:br/>
        <w:t>compile succeeds → valid transcription</w:t>
        <w:br/>
        <w:t>20 pages → adequate benchmark</w:t>
        <w:br/>
        <w:t>YOLO → solved layout</w:t>
        <w:br/>
        <w:t>nightly corrections → better model</w:t>
      </w:r>
    </w:p>
    <w:p>
      <w:r>
        <w:t>None of those arrows is automatically valid. Each is a hypothesis that needs to be tested or an invariant that needs to be engineered.</w:t>
      </w:r>
    </w:p>
    <w:p>
      <w:pPr>
        <w:pStyle w:val="Heading1"/>
      </w:pPr>
      <w:r>
        <w:t>1. “Non-reasoning HMER cannot over-correct” — WRONG</w:t>
      </w:r>
    </w:p>
    <w:p>
      <w:r>
        <w:t>A non-reasoning HMER model can still misrecognize a glyph. If the student writes 5 and the model outputs 6, that is a transcription error even though the model performed no mathematical reasoning. Likewise 1/l/I, x/×, ∫/f, 0/O/θ, ∂/d, and ≤/&lt; can be confused visually.</w:t>
      </w:r>
    </w:p>
    <w:p>
      <w:r>
        <w:t>Therefore: non-reasoning ≠ faithful. The system must distinguish mathematical correction from ordinary visual recognition errors.</w:t>
      </w:r>
    </w:p>
    <w:p>
      <w:pPr>
        <w:pStyle w:val="Heading1"/>
      </w:pPr>
      <w:r>
        <w:t>2. “Disagreement guaranteed” — false</w:t>
      </w:r>
    </w:p>
    <w:p>
      <w:r>
        <w:t>If the student writes 2+2=5 and both Model A and Model B independently output 2+2=4, there is no disagreement. The plan must account for correlated errors. Architectural heterogeneity does not guarantee statistical independence.</w:t>
      </w:r>
    </w:p>
    <w:p>
      <w:pPr>
        <w:pStyle w:val="Heading1"/>
      </w:pPr>
      <w:r>
        <w:t>3. Agreement does not imply correctness</w:t>
      </w:r>
    </w:p>
    <w:p>
      <w:pPr>
        <w:ind w:left="360"/>
      </w:pPr>
      <w:r>
        <w:rPr>
          <w:rFonts w:ascii="Courier New" w:hAnsi="Courier New"/>
          <w:sz w:val="18"/>
        </w:rPr>
        <w:t>A == B → no disagreement detected</w:t>
        <w:br/>
        <w:t>A != B → uncertainty detected</w:t>
      </w:r>
    </w:p>
    <w:p>
      <w:r>
        <w:t>Neither statement establishes correctness. Two models can agree on the same wrong transcription, and two models can disagree while either candidate could be correct.</w:t>
      </w:r>
    </w:p>
    <w:p>
      <w:pPr>
        <w:pStyle w:val="Heading1"/>
      </w:pPr>
      <w:r>
        <w:t>4. Abstention must be first-class</w:t>
      </w:r>
    </w:p>
    <w:p>
      <w:r>
        <w:t>The model should be allowed to output an uncertainty state rather than being forced to choose a LaTeX sequence. For this application, abstention is a safety feature.</w:t>
      </w:r>
    </w:p>
    <w:p>
      <w:pPr>
        <w:ind w:left="360"/>
      </w:pPr>
      <w:r>
        <w:rPr>
          <w:rFonts w:ascii="Courier New" w:hAnsi="Courier New"/>
          <w:sz w:val="18"/>
        </w:rPr>
        <w:t>prediction</w:t>
        <w:br/>
        <w:t>OR</w:t>
        <w:br/>
        <w:t>abstention / human required</w:t>
      </w:r>
    </w:p>
    <w:p>
      <w:pPr>
        <w:pStyle w:val="Heading1"/>
      </w:pPr>
      <w:r>
        <w:t>5. Confidence is undefined</w:t>
      </w:r>
    </w:p>
    <w:p>
      <w:r>
        <w:t>The plan proposes a &gt;0.90 confidence threshold, but never defines confidence. Is it token probability, sequence probability, beam margin, entropy, a heuristic score, or a calibrated probability? Without calibration, 0.90 is merely a model score and cannot be interpreted as 90% correctness.</w:t>
      </w:r>
    </w:p>
    <w:p>
      <w:pPr>
        <w:pStyle w:val="Heading1"/>
      </w:pPr>
      <w:r>
        <w:t>6. The 0.90 threshold appears arbitrary</w:t>
      </w:r>
    </w:p>
    <w:p>
      <w:r>
        <w:t>The threshold should be selected on a validation set according to an explicit risk target, not chosen because 0.90 sounds high. The relevant objective is closer to minimizing silent transcription errors subject to an acceptable human-review rate.</w:t>
      </w:r>
    </w:p>
    <w:p>
      <w:pPr>
        <w:pStyle w:val="Heading1"/>
      </w:pPr>
      <w:r>
        <w:t>7. Evaluation unit is undefined</w:t>
      </w:r>
    </w:p>
    <w:p>
      <w:r>
        <w:t>The plan does not clearly define whether correctness is measured at character, token, expression, region, line, page, or full-script level. These can produce radically different metrics.</w:t>
      </w:r>
    </w:p>
    <w:p>
      <w:pPr>
        <w:pStyle w:val="Heading1"/>
      </w:pPr>
      <w:r>
        <w:t>8. Fidelity Rate is not formally defined</w:t>
      </w:r>
    </w:p>
    <w:p>
      <w:r>
        <w:t>A metric named Fidelity Rate is not sufficient. The project needs a mathematical definition and a precise annotation policy for what counts as faithful.</w:t>
      </w:r>
    </w:p>
    <w:p>
      <w:pPr>
        <w:pStyle w:val="Heading1"/>
      </w:pPr>
      <w:r>
        <w:t>9. Mathematical equivalence is not transcription fidelity</w:t>
      </w:r>
    </w:p>
    <w:p>
      <w:r>
        <w:t>If a student writes 2/4 and the model produces 1/2, the output is mathematically equivalent but transcriptionally wrong. Likewise x+x → 2x changes the student's representation. The target must be transcription equivalence, not mathematical equivalence.</w:t>
      </w:r>
    </w:p>
    <w:p>
      <w:pPr>
        <w:pStyle w:val="Heading1"/>
      </w:pPr>
      <w:r>
        <w:t>10. Normalization can violate fidelity</w:t>
      </w:r>
    </w:p>
    <w:p>
      <w:r>
        <w:t>Rules such as converting \dfrac to \frac may be acceptable for comparison, but the raw recognizer output must never be destroyed. Store raw_prediction and normalized_prediction separately.</w:t>
      </w:r>
    </w:p>
    <w:p>
      <w:pPr>
        <w:pStyle w:val="Heading1"/>
      </w:pPr>
      <w:r>
        <w:t>11. Regex normalization is brittle</w:t>
      </w:r>
    </w:p>
    <w:p>
      <w:r>
        <w:t>Complex nested LaTeX is not safely handled by an ever-growing set of regular-expression substitutions. Eventually the project needs token- or AST-aware canonicalization.</w:t>
      </w:r>
    </w:p>
    <w:p>
      <w:pPr>
        <w:pStyle w:val="Heading1"/>
      </w:pPr>
      <w:r>
        <w:t>12. A current regex is structurally unsafe</w:t>
      </w:r>
    </w:p>
    <w:p>
      <w:r>
        <w:t>A substitution that assumes no nested braces can fail on expressions such as x^{a^{b}}_{c}. This is a concrete example where parsing structure is preferable to regex.</w:t>
      </w:r>
    </w:p>
    <w:p>
      <w:pPr>
        <w:pStyle w:val="Heading1"/>
      </w:pPr>
      <w:r>
        <w:t>13. Bounding-box schema is ambiguous</w:t>
      </w:r>
    </w:p>
    <w:p>
      <w:r>
        <w:t>The document describes one bbox ordering but the example appears to use another. The schema must explicitly define [x_min, y_min, x_max, y_max], coordinate origin, units, reference image, and transformation history.</w:t>
      </w:r>
    </w:p>
    <w:p>
      <w:pPr>
        <w:pStyle w:val="Heading1"/>
      </w:pPr>
      <w:r>
        <w:t>14. Coordinate system after preprocessing is unspecified</w:t>
      </w:r>
    </w:p>
    <w:p>
      <w:r>
        <w:t>If detection occurs on a deskewed image, the bbox is not automatically valid on the raw image. Source-to-model and model-to-source transformations must be retained.</w:t>
      </w:r>
    </w:p>
    <w:p>
      <w:pPr>
        <w:pStyle w:val="Heading1"/>
      </w:pPr>
      <w:r>
        <w:t>15. Deskew creates an inverse-mapping requirement</w:t>
      </w:r>
    </w:p>
    <w:p>
      <w:r>
        <w:t>A transformation matrix or equivalent coordinate mapping must be stored so the UI can highlight the exact source region corresponding to a prediction.</w:t>
      </w:r>
    </w:p>
    <w:p>
      <w:pPr>
        <w:pStyle w:val="Heading1"/>
      </w:pPr>
      <w:r>
        <w:t>16. CLAHE is an assumption, not a proven improvement</w:t>
      </w:r>
    </w:p>
    <w:p>
      <w:r>
        <w:t>The preprocessing chain should be validated through ablation. A preprocessing method can help one model and hurt another depending on its training distribution.</w:t>
      </w:r>
    </w:p>
    <w:p>
      <w:pPr>
        <w:pStyle w:val="Heading1"/>
      </w:pPr>
      <w:r>
        <w:t>17. 300 DPI is a default, not evidence</w:t>
      </w:r>
    </w:p>
    <w:p>
      <w:r>
        <w:t>The plan should benchmark practical resolutions rather than treating 300 DPI as inherently optimal.</w:t>
      </w:r>
    </w:p>
    <w:p>
      <w:pPr>
        <w:pStyle w:val="Heading1"/>
      </w:pPr>
      <w:r>
        <w:t>18. Handwriting variability is under-modeled</w:t>
      </w:r>
    </w:p>
    <w:p>
      <w:pPr>
        <w:pStyle w:val="ListBullet"/>
      </w:pPr>
      <w:r>
        <w:t>Tiny and oversized writing</w:t>
      </w:r>
    </w:p>
    <w:p>
      <w:pPr>
        <w:pStyle w:val="ListBullet"/>
      </w:pPr>
      <w:r>
        <w:t>Cursive and block handwriting</w:t>
      </w:r>
    </w:p>
    <w:p>
      <w:pPr>
        <w:pStyle w:val="ListBullet"/>
      </w:pPr>
      <w:r>
        <w:t>Pencil and different inks</w:t>
      </w:r>
    </w:p>
    <w:p>
      <w:pPr>
        <w:pStyle w:val="ListBullet"/>
      </w:pPr>
      <w:r>
        <w:t>Faint/overwritten symbols</w:t>
      </w:r>
    </w:p>
    <w:p>
      <w:pPr>
        <w:pStyle w:val="ListBullet"/>
      </w:pPr>
      <w:r>
        <w:t>Slanted writing</w:t>
      </w:r>
    </w:p>
    <w:p>
      <w:pPr>
        <w:pStyle w:val="ListBullet"/>
      </w:pPr>
      <w:r>
        <w:t>Crowded margins</w:t>
      </w:r>
    </w:p>
    <w:p>
      <w:pPr>
        <w:pStyle w:val="ListBullet"/>
      </w:pPr>
      <w:r>
        <w:t>Arrows and annotations</w:t>
      </w:r>
    </w:p>
    <w:p>
      <w:pPr>
        <w:pStyle w:val="ListBullet"/>
      </w:pPr>
      <w:r>
        <w:t>Cross-outs and erasures</w:t>
      </w:r>
    </w:p>
    <w:p>
      <w:pPr>
        <w:pStyle w:val="ListBullet"/>
      </w:pPr>
      <w:r>
        <w:t>Scanner shadows/folds</w:t>
      </w:r>
    </w:p>
    <w:p>
      <w:r>
        <w:t>The target distribution is substantially messier than isolated-expression benchmark data.</w:t>
      </w:r>
    </w:p>
    <w:p>
      <w:pPr>
        <w:pStyle w:val="Heading1"/>
      </w:pPr>
      <w:r>
        <w:t>19. Input contract is incomplete</w:t>
      </w:r>
    </w:p>
    <w:p>
      <w:r>
        <w:t>Define supported formats, page size, maximum file size, minimum resolution, compression tolerance, skew tolerance, blank-page handling, and maximum pages per script.</w:t>
      </w:r>
    </w:p>
    <w:p>
      <w:pPr>
        <w:pStyle w:val="Heading1"/>
      </w:pPr>
      <w:r>
        <w:t>20. YOLO does not magically solve document layout</w:t>
      </w:r>
    </w:p>
    <w:p>
      <w:r>
        <w:t>The plan names classes and a detector but does not define the dataset, annotation process, class balance, overlap policy, nested-region policy, or failure handling.</w:t>
      </w:r>
    </w:p>
    <w:p>
      <w:pPr>
        <w:pStyle w:val="Heading1"/>
      </w:pPr>
      <w:r>
        <w:t>21. Inline math has a schema contradiction</w:t>
      </w:r>
    </w:p>
    <w:p>
      <w:r>
        <w:t>The plan both treats inline_math as a layout category and says prose includes inline math. Decide whether inline math is a nested region or part of the prose OCR stream.</w:t>
      </w:r>
    </w:p>
    <w:p>
      <w:pPr>
        <w:pStyle w:val="Heading1"/>
      </w:pPr>
      <w:r>
        <w:t>22. Tables are detected but not actually designed</w:t>
      </w:r>
    </w:p>
    <w:p>
      <w:r>
        <w:t>If table remains in scope, the project needs cell detection, row/column structure, merged-cell handling, OCR/math handling, and output representation. Otherwise remove tables from the POC.</w:t>
      </w:r>
    </w:p>
    <w:p>
      <w:pPr>
        <w:pStyle w:val="Heading1"/>
      </w:pPr>
      <w:r>
        <w:t>23. Crossed-out text is detected but policy is missing</w:t>
      </w:r>
    </w:p>
    <w:p>
      <w:r>
        <w:t>If a student writes x=3, crosses it out, and writes x=4, should both be transcribed? Should the cross-out itself be preserved? Should only the final visible answer be kept? This must be explicitly decided.</w:t>
      </w:r>
    </w:p>
    <w:p>
      <w:pPr>
        <w:pStyle w:val="Heading1"/>
      </w:pPr>
      <w:r>
        <w:t>24. Marginalia and annotations are unhandled</w:t>
      </w:r>
    </w:p>
    <w:p>
      <w:r>
        <w:t>Students write notes, arrows, side calculations, question numbers, and corrections in margins. The system needs a policy for what belongs to the transcript.</w:t>
      </w:r>
    </w:p>
    <w:p>
      <w:pPr>
        <w:pStyle w:val="Heading1"/>
      </w:pPr>
      <w:r>
        <w:t>25. Reading order is massively under-specified</w:t>
      </w:r>
    </w:p>
    <w:p>
      <w:r>
        <w:t>A row-band plus horizontal sort is insufficient for multiple columns, diagrams, nested blocks, overlapping regions, continuation lines, and annotations.</w:t>
      </w:r>
    </w:p>
    <w:p>
      <w:pPr>
        <w:pStyle w:val="Heading1"/>
      </w:pPr>
      <w:r>
        <w:t>26. “DAG-based ordering” does not solve it automatically</w:t>
      </w:r>
    </w:p>
    <w:p>
      <w:r>
        <w:t>The plan must define how edges are constructed, how overlaps are handled, how cycles are handled, and what happens when a detector produces a huge or incorrect region.</w:t>
      </w:r>
    </w:p>
    <w:p>
      <w:pPr>
        <w:pStyle w:val="Heading1"/>
      </w:pPr>
      <w:r>
        <w:t>27. Hidden chicken-and-egg problem: layout annotation</w:t>
      </w:r>
    </w:p>
    <w:p>
      <w:r>
        <w:t>You need annotated handwritten pages to train/evaluate the layout detector. The annotation workflow and workload are not specified.</w:t>
      </w:r>
    </w:p>
    <w:p>
      <w:pPr>
        <w:pStyle w:val="Heading1"/>
      </w:pPr>
      <w:r>
        <w:t>28. HMER training data is a major hole</w:t>
      </w:r>
    </w:p>
    <w:p>
      <w:r>
        <w:t>The plan says to fine-tune the existing ViT but does not specify the paired image/LaTeX training data. CROHME, HME100K, FERMAT, IITG scripts, and synthetic data have different distributions and purposes.</w:t>
      </w:r>
    </w:p>
    <w:p>
      <w:pPr>
        <w:pStyle w:val="Heading1"/>
      </w:pPr>
      <w:r>
        <w:t>29. CROHME is not IITG exam scripts</w:t>
      </w:r>
    </w:p>
    <w:p>
      <w:r>
        <w:t>Isolated handwritten mathematical expressions differ from multi-line student solutions containing prose, equations, messy spacing, crossed-out content, diagrams, and course-specific notation. Benchmark performance does not automatically transfer.</w:t>
      </w:r>
    </w:p>
    <w:p>
      <w:pPr>
        <w:pStyle w:val="Heading1"/>
      </w:pPr>
      <w:r>
        <w:t>30. Twenty gold pages are not enough for training</w:t>
      </w:r>
    </w:p>
    <w:p>
      <w:r>
        <w:t>Twenty pages can be a useful evaluation/POC set, but not a robust training corpus. The document must distinguish gold evaluation data from model-training data.</w:t>
      </w:r>
    </w:p>
    <w:p>
      <w:pPr>
        <w:pStyle w:val="Heading1"/>
      </w:pPr>
      <w:r>
        <w:t>31. Split by student, not random crop</w:t>
      </w:r>
    </w:p>
    <w:p>
      <w:r>
        <w:t>If the same student's handwriting appears in both training and test data, handwriting-style leakage can inflate results. Hold out students, ideally exams/courses/semesters as well.</w:t>
      </w:r>
    </w:p>
    <w:p>
      <w:pPr>
        <w:pStyle w:val="Heading1"/>
      </w:pPr>
      <w:r>
        <w:t>32. Need handwriting-style holdout</w:t>
      </w:r>
    </w:p>
    <w:p>
      <w:r>
        <w:t>The meaningful test is whether the system works on unseen students, not merely unseen crops from known handwriting.</w:t>
      </w:r>
    </w:p>
    <w:p>
      <w:pPr>
        <w:pStyle w:val="Heading1"/>
      </w:pPr>
      <w:r>
        <w:t>33. Hyperparameters are detailed but unjustified</w:t>
      </w:r>
    </w:p>
    <w:p>
      <w:r>
        <w:t>The listed transformer architecture and optimizer settings need provenance: inherited from Ritvik, literature, or tuned on validation data? Detail without justification is not rigor.</w:t>
      </w:r>
    </w:p>
    <w:p>
      <w:pPr>
        <w:pStyle w:val="Heading1"/>
      </w:pPr>
      <w:r>
        <w:t>34. Layout-box conditioning is underexplained</w:t>
      </w:r>
    </w:p>
    <w:p>
      <w:r>
        <w:t>If normalized bbox coordinates are projected to embeddings, the specification must state where those embeddings enter the transformer: patch embeddings, special token, decoder conditioning, attention bias, etc.</w:t>
      </w:r>
    </w:p>
    <w:p>
      <w:pPr>
        <w:pStyle w:val="Heading1"/>
      </w:pPr>
      <w:r>
        <w:t>35. Why is global bbox conditioning needed after cropping?</w:t>
      </w:r>
    </w:p>
    <w:p>
      <w:r>
        <w:t>If the model already receives a cropped expression, the value of global page coordinates must be demonstrated by ablation rather than assumed.</w:t>
      </w:r>
    </w:p>
    <w:p>
      <w:pPr>
        <w:pStyle w:val="Heading1"/>
      </w:pPr>
      <w:r>
        <w:t>36. Beam search may increase language-prior bias</w:t>
      </w:r>
    </w:p>
    <w:p>
      <w:r>
        <w:t>Beam search can prefer mathematically plausible sequences over visually faithful ones. Compare greedy, beam, and constrained/uncertainty-aware decoding.</w:t>
      </w:r>
    </w:p>
    <w:p>
      <w:pPr>
        <w:pStyle w:val="Heading1"/>
      </w:pPr>
      <w:r>
        <w:t>37. Beam-search confidence is undefined</w:t>
      </w:r>
    </w:p>
    <w:p>
      <w:r>
        <w:t>If multiple beams exist, define whether confidence comes from top-sequence probability, beam margin, entropy, or another calibrated measure.</w:t>
      </w:r>
    </w:p>
    <w:p>
      <w:pPr>
        <w:pStyle w:val="Heading1"/>
      </w:pPr>
      <w:r>
        <w:t>38. Prose recognition is underdesigned</w:t>
      </w:r>
    </w:p>
    <w:p>
      <w:r>
        <w:t>Mixed prose/math is a difficult interface. The plan does not define how prose OCR, inline math, punctuation, variable names, and LaTeX are integrated.</w:t>
      </w:r>
    </w:p>
    <w:p>
      <w:pPr>
        <w:pStyle w:val="Heading1"/>
      </w:pPr>
      <w:r>
        <w:t>39. Inline mathematics is a major unresolved problem</w:t>
      </w:r>
    </w:p>
    <w:p>
      <w:r>
        <w:t>The system needs an explicit contract for how a sentence containing inline math becomes a structured output with prose plus mathematical spans.</w:t>
      </w:r>
    </w:p>
    <w:p>
      <w:pPr>
        <w:pStyle w:val="Heading1"/>
      </w:pPr>
      <w:r>
        <w:t>40. VLM prompt contract is missing</w:t>
      </w:r>
    </w:p>
    <w:p>
      <w:r>
        <w:t>For Qwen/VLM, specify system prompt, user prompt, temperature, max tokens, output schema, retries, deterministic settings, malformed-output handling, and anti-prompt-injection instructions.</w:t>
      </w:r>
    </w:p>
    <w:p>
      <w:pPr>
        <w:pStyle w:val="Heading1"/>
      </w:pPr>
      <w:r>
        <w:t>41. Mathpix introduces a privacy contradiction</w:t>
      </w:r>
    </w:p>
    <w:p>
      <w:r>
        <w:t>The plan prefers self-hosted processing for privacy but proposes Mathpix as a secondary recognizer. If real student scripts are sent externally, privacy, institutional approval, retention, and access policies must be addressed. External APIs should be isolated to benchmarking unless explicitly approved.</w:t>
      </w:r>
    </w:p>
    <w:p>
      <w:pPr>
        <w:pStyle w:val="Heading1"/>
      </w:pPr>
      <w:r>
        <w:t>42. Student privacy is barely addressed</w:t>
      </w:r>
    </w:p>
    <w:p>
      <w:pPr>
        <w:pStyle w:val="ListBullet"/>
      </w:pPr>
      <w:r>
        <w:t>Anonymization/pseudonymization</w:t>
      </w:r>
    </w:p>
    <w:p>
      <w:pPr>
        <w:pStyle w:val="ListBullet"/>
      </w:pPr>
      <w:r>
        <w:t>Encryption at rest and in transit</w:t>
      </w:r>
    </w:p>
    <w:p>
      <w:pPr>
        <w:pStyle w:val="ListBullet"/>
      </w:pPr>
      <w:r>
        <w:t>Role-based access</w:t>
      </w:r>
    </w:p>
    <w:p>
      <w:pPr>
        <w:pStyle w:val="ListBullet"/>
      </w:pPr>
      <w:r>
        <w:t>Audit logs</w:t>
      </w:r>
    </w:p>
    <w:p>
      <w:pPr>
        <w:pStyle w:val="ListBullet"/>
      </w:pPr>
      <w:r>
        <w:t>Retention/deletion policy</w:t>
      </w:r>
    </w:p>
    <w:p>
      <w:pPr>
        <w:pStyle w:val="ListBullet"/>
      </w:pPr>
      <w:r>
        <w:t>Backup policy</w:t>
      </w:r>
    </w:p>
    <w:p>
      <w:pPr>
        <w:pStyle w:val="ListBullet"/>
      </w:pPr>
      <w:r>
        <w:t>Training-data governance</w:t>
      </w:r>
    </w:p>
    <w:p>
      <w:r>
        <w:t>Self-hosting alone is not a privacy architecture.</w:t>
      </w:r>
    </w:p>
    <w:p>
      <w:pPr>
        <w:pStyle w:val="Heading1"/>
      </w:pPr>
      <w:r>
        <w:t>43. Active learning introduces annotation-governance problems</w:t>
      </w:r>
    </w:p>
    <w:p>
      <w:r>
        <w:t>Professor edits are not automatically clean labels. They can be formatting edits, grading corrections, partial edits, or disagreements. Provenance and annotation type are required.</w:t>
      </w:r>
    </w:p>
    <w:p>
      <w:pPr>
        <w:pStyle w:val="Heading1"/>
      </w:pPr>
      <w:r>
        <w:t>44. Nightly fine-tuning is reckless</w:t>
      </w:r>
    </w:p>
    <w:p>
      <w:r>
        <w:t>Do not automatically retrain production from arbitrary edits. Use a controlled pipeline: corrections → quality control → deduplication → validation → offline training → benchmark → approval → deployment.</w:t>
      </w:r>
    </w:p>
    <w:p>
      <w:pPr>
        <w:pStyle w:val="Heading1"/>
      </w:pPr>
      <w:r>
        <w:t>45. No model-versioning strategy</w:t>
      </w:r>
    </w:p>
    <w:p>
      <w:r>
        <w:t>Every prediction needs model, tokenizer, preprocessing, normalizer, prompt, and dataset version information so results remain reproducible.</w:t>
      </w:r>
    </w:p>
    <w:p>
      <w:pPr>
        <w:pStyle w:val="Heading1"/>
      </w:pPr>
      <w:r>
        <w:t>46. Region JSON is good but incomplete</w:t>
      </w:r>
    </w:p>
    <w:p>
      <w:r>
        <w:t>The single-source-of-truth region object is one of the best ideas in the plan, but it needs raw output, normalized output, confidence type, token scores, model versions, reviewer information, bbox coordinate system, and compiler provenance.</w:t>
      </w:r>
    </w:p>
    <w:p>
      <w:pPr>
        <w:pStyle w:val="Heading1"/>
      </w:pPr>
      <w:r>
        <w:t>47. Compile status is insufficient</w:t>
      </w:r>
    </w:p>
    <w:p>
      <w:r>
        <w:t>Store compiler/version, exit code, stdout/stderr, logs, duration, render path/hash, and relevant environment information.</w:t>
      </w:r>
    </w:p>
    <w:p>
      <w:pPr>
        <w:pStyle w:val="Heading1"/>
      </w:pPr>
      <w:r>
        <w:t>48. LaTeX sandbox needs a real security model</w:t>
      </w:r>
    </w:p>
    <w:p>
      <w:r>
        <w:t>Generated LaTeX is untrusted input. Explicitly restrict shell escape, filesystem access, network access, CPU, memory, disk, process spawning, and compilation time.</w:t>
      </w:r>
    </w:p>
    <w:p>
      <w:pPr>
        <w:pStyle w:val="Heading1"/>
      </w:pPr>
      <w:r>
        <w:t>49. Verbatim fallback needs clear semantics</w:t>
      </w:r>
    </w:p>
    <w:p>
      <w:r>
        <w:t>If a region cannot compile, the UI should explicitly label it unresolved/uncompiled rather than presenting the fallback as a valid mathematical transcription.</w:t>
      </w:r>
    </w:p>
    <w:p>
      <w:pPr>
        <w:pStyle w:val="Heading1"/>
      </w:pPr>
      <w:r>
        <w:t>50. KaTeX/MathJax and TeX Live can differ</w:t>
      </w:r>
    </w:p>
    <w:p>
      <w:r>
        <w:t>Browser rendering and actual TeX compilation may differ in macros, environments, fonts, and layout. Preview success is not compilation success.</w:t>
      </w:r>
    </w:p>
    <w:p>
      <w:pPr>
        <w:pStyle w:val="Heading1"/>
      </w:pPr>
      <w:r>
        <w:t>51. “0ms latency” is not an engineering specification</w:t>
      </w:r>
    </w:p>
    <w:p>
      <w:r>
        <w:t>Use measurable latency metrics such as median and P95 instead of an impossible literal 0ms claim.</w:t>
      </w:r>
    </w:p>
    <w:p>
      <w:pPr>
        <w:pStyle w:val="Heading1"/>
      </w:pPr>
      <w:r>
        <w:t>52. &lt;150ms/page is unsupported</w:t>
      </w:r>
    </w:p>
    <w:p>
      <w:r>
        <w:t>Compilation latency depends on formula complexity, packages, fonts, warm/cold workers, disk, and concurrency. Benchmark it.</w:t>
      </w:r>
    </w:p>
    <w:p>
      <w:pPr>
        <w:pStyle w:val="Heading1"/>
      </w:pPr>
      <w:r>
        <w:t>53. Hardware sizing is hand-wavy</w:t>
      </w:r>
    </w:p>
    <w:p>
      <w:r>
        <w:t>The claimed batch throughput needs to be derived from per-stage latency, number of regions per page, batching, concurrency, and GPU utilization.</w:t>
      </w:r>
    </w:p>
    <w:p>
      <w:pPr>
        <w:pStyle w:val="Heading1"/>
      </w:pPr>
      <w:r>
        <w:t>54. GPU memory ≠ throughput</w:t>
      </w:r>
    </w:p>
    <w:p>
      <w:r>
        <w:t>A 24GB GPU does not establish pages/minute. Throughput must be measured.</w:t>
      </w:r>
    </w:p>
    <w:p>
      <w:pPr>
        <w:pStyle w:val="Heading1"/>
      </w:pPr>
      <w:r>
        <w:t>55. Celery + Redis is introduced without a task model</w:t>
      </w:r>
    </w:p>
    <w:p>
      <w:r>
        <w:t>Define task granularity, retry policy, timeouts, idempotency, GPU locking, queue priorities, and result persistence.</w:t>
      </w:r>
    </w:p>
    <w:p>
      <w:pPr>
        <w:pStyle w:val="Heading1"/>
      </w:pPr>
      <w:r>
        <w:t>56. GPU worker scheduling is unresolved</w:t>
      </w:r>
    </w:p>
    <w:p>
      <w:r>
        <w:t>Decide whether tasks are page-level, region-level, or batched. The task granularity changes queue size and fault isolation.</w:t>
      </w:r>
    </w:p>
    <w:p>
      <w:pPr>
        <w:pStyle w:val="Heading1"/>
      </w:pPr>
      <w:r>
        <w:t>57. No idempotency</w:t>
      </w:r>
    </w:p>
    <w:p>
      <w:r>
        <w:t>A crash between inference and persistence can cause duplicate work or conflicting writes unless jobs and writes are idempotent.</w:t>
      </w:r>
    </w:p>
    <w:p>
      <w:pPr>
        <w:pStyle w:val="Heading1"/>
      </w:pPr>
      <w:r>
        <w:t>58. No resumability</w:t>
      </w:r>
    </w:p>
    <w:p>
      <w:r>
        <w:t>Large batches need page/script state machines so processing can resume from the failed stage rather than restarting.</w:t>
      </w:r>
    </w:p>
    <w:p>
      <w:pPr>
        <w:pStyle w:val="Heading1"/>
      </w:pPr>
      <w:r>
        <w:t>59. Failure handling is too simplistic</w:t>
      </w:r>
    </w:p>
    <w:p>
      <w:r>
        <w:t>Define failure states for corrupt inputs, timeouts, GPU OOM, model failures, network/API failures, malformed outputs, compiler errors, storage failures, and queue failures.</w:t>
      </w:r>
    </w:p>
    <w:p>
      <w:pPr>
        <w:pStyle w:val="Heading1"/>
      </w:pPr>
      <w:r>
        <w:t>60. No observability</w:t>
      </w:r>
    </w:p>
    <w:p>
      <w:r>
        <w:t>You need structured logs, metrics, traces, queue depth, GPU utilization, stage latencies, disagreement rates, review rates, and failure dashboards.</w:t>
      </w:r>
    </w:p>
    <w:p>
      <w:pPr>
        <w:pStyle w:val="Heading1"/>
      </w:pPr>
      <w:r>
        <w:t>61. No data-quality monitoring</w:t>
      </w:r>
    </w:p>
    <w:p>
      <w:r>
        <w:t>Monitor input resolution, brightness, contrast, skew, ink density, region count, confidence distributions, and disagreement distributions to detect distribution shifts.</w:t>
      </w:r>
    </w:p>
    <w:p>
      <w:pPr>
        <w:pStyle w:val="Heading1"/>
      </w:pPr>
      <w:r>
        <w:t>62. No security threat model</w:t>
      </w:r>
    </w:p>
    <w:p>
      <w:r>
        <w:t>Threats include malicious PDFs, malicious LaTeX, path traversal, resource exhaustion, prompt injection, unauthorized access, and data leakage.</w:t>
      </w:r>
    </w:p>
    <w:p>
      <w:pPr>
        <w:pStyle w:val="Heading1"/>
      </w:pPr>
      <w:r>
        <w:t>63. VLM prompt injection is ignored</w:t>
      </w:r>
    </w:p>
    <w:p>
      <w:r>
        <w:t>Handwritten content is untrusted input. The model must be instructed never to follow instructions contained in the image and should be tested against adversarial handwritten prompts.</w:t>
      </w:r>
    </w:p>
    <w:p>
      <w:pPr>
        <w:pStyle w:val="Heading1"/>
      </w:pPr>
      <w:r>
        <w:t>64. No adversarial test set</w:t>
      </w:r>
    </w:p>
    <w:p>
      <w:r>
        <w:t>Build a dedicated set of deliberately difficult/wrong expressions: sign errors, wrong arithmetic, similar symbols, inequalities, Greek letters, superscripts/subscripts, integrals, derivatives, and ambiguous glyphs.</w:t>
      </w:r>
    </w:p>
    <w:p>
      <w:pPr>
        <w:pStyle w:val="Heading1"/>
      </w:pPr>
      <w:r>
        <w:t>65. Symbol ambiguity needs explicit evaluation</w:t>
      </w:r>
    </w:p>
    <w:p>
      <w:r>
        <w:t>Track confusion classes such as 1/l/I, 0/O/θ, v/ν/∨, x/×, ∂/d, ≤/&lt;, and ∅/0.</w:t>
      </w:r>
    </w:p>
    <w:p>
      <w:pPr>
        <w:pStyle w:val="Heading1"/>
      </w:pPr>
      <w:r>
        <w:t>66. Superscript/subscript needs structural evaluation</w:t>
      </w:r>
    </w:p>
    <w:p>
      <w:r>
        <w:t>x² and x₂ are different even if the symbol identity is recognized. Evaluation must separately measure spatial/structural relations.</w:t>
      </w:r>
    </w:p>
    <w:p>
      <w:pPr>
        <w:pStyle w:val="Heading1"/>
      </w:pPr>
      <w:r>
        <w:t>67. Multi-line equations need structural metrics</w:t>
      </w:r>
    </w:p>
    <w:p>
      <w:r>
        <w:t>For aligned equations, preserve line order, alignment, line breaks, and relation between lines. Token accuracy alone is insufficient.</w:t>
      </w:r>
    </w:p>
    <w:p>
      <w:pPr>
        <w:pStyle w:val="Heading1"/>
      </w:pPr>
      <w:r>
        <w:t>68. Proof structure is under-modeled</w:t>
      </w:r>
    </w:p>
    <w:p>
      <w:r>
        <w:t>The system should preserve document structure without trying to determine mathematical correctness. Proofs contain claims, reasons, equations, conclusions, and sometimes diagrams/annotations.</w:t>
      </w:r>
    </w:p>
    <w:p>
      <w:pPr>
        <w:pStyle w:val="Heading1"/>
      </w:pPr>
      <w:r>
        <w:t>69. Diagram cropping is deterministic only after detection</w:t>
      </w:r>
    </w:p>
    <w:p>
      <w:r>
        <w:t>The crop operation is deterministic, but the detected bbox is not. Therefore detection error remains a major source of diagram corruption.</w:t>
      </w:r>
    </w:p>
    <w:p>
      <w:pPr>
        <w:pStyle w:val="Heading1"/>
      </w:pPr>
      <w:r>
        <w:t>70. Diagram annotations can fall outside object boundaries</w:t>
      </w:r>
    </w:p>
    <w:p>
      <w:r>
        <w:t>Axes, arrows, labels, and annotations may extend beyond the geometric object. Bounding boxes must capture semantically relevant content.</w:t>
      </w:r>
    </w:p>
    <w:p>
      <w:pPr>
        <w:pStyle w:val="Heading1"/>
      </w:pPr>
      <w:r>
        <w:t>71. Tables remain an unimplemented branch</w:t>
      </w:r>
    </w:p>
    <w:p>
      <w:r>
        <w:t>If tables remain in scope, specify cell structure, merged cells, OCR, math within cells, and output representation. Otherwise explicitly remove them from the POC.</w:t>
      </w:r>
    </w:p>
    <w:p>
      <w:pPr>
        <w:pStyle w:val="Heading1"/>
      </w:pPr>
      <w:r>
        <w:t>72. No page-to-page context</w:t>
      </w:r>
    </w:p>
    <w:p>
      <w:r>
        <w:t>Page 2 may continue a proof or sentence from page 1. Independent-page processing is acceptable only if explicitly declared as a scope assumption.</w:t>
      </w:r>
    </w:p>
    <w:p>
      <w:pPr>
        <w:pStyle w:val="Heading1"/>
      </w:pPr>
      <w:r>
        <w:t>73. No question/answer structure</w:t>
      </w:r>
    </w:p>
    <w:p>
      <w:r>
        <w:t>Exam scripts contain questions, subquestions, and answers. Generic region detection does not capture that hierarchy.</w:t>
      </w:r>
    </w:p>
    <w:p>
      <w:pPr>
        <w:pStyle w:val="Heading1"/>
      </w:pPr>
      <w:r>
        <w:t>74. No robust student/script identity model</w:t>
      </w:r>
    </w:p>
    <w:p>
      <w:r>
        <w:t>Define student_id, exam_id, course_id, script_id, page index, total pages, and integrity checks. Avoid accidental mixing of scripts.</w:t>
      </w:r>
    </w:p>
    <w:p>
      <w:pPr>
        <w:pStyle w:val="Heading1"/>
      </w:pPr>
      <w:r>
        <w:t>75. No duplicate detection</w:t>
      </w:r>
    </w:p>
    <w:p>
      <w:r>
        <w:t>Use cryptographic or perceptual hashing to detect duplicate pages/uploads.</w:t>
      </w:r>
    </w:p>
    <w:p>
      <w:pPr>
        <w:pStyle w:val="Heading1"/>
      </w:pPr>
      <w:r>
        <w:t>76. No blank-page optimization</w:t>
      </w:r>
    </w:p>
    <w:p>
      <w:r>
        <w:t>Blank pages should bypass expensive inference.</w:t>
      </w:r>
    </w:p>
    <w:p>
      <w:pPr>
        <w:pStyle w:val="Heading1"/>
      </w:pPr>
      <w:r>
        <w:t>77. No page-number integrity handling</w:t>
      </w:r>
    </w:p>
    <w:p>
      <w:r>
        <w:t>Physical page numbers and scan order can differ. Page identity should be validated where possible.</w:t>
      </w:r>
    </w:p>
    <w:p>
      <w:pPr>
        <w:pStyle w:val="Heading1"/>
      </w:pPr>
      <w:r>
        <w:t>78. Scanner artifacts need explicit robustness tests</w:t>
      </w:r>
    </w:p>
    <w:p>
      <w:r>
        <w:t>Staples, punch holes, folds, shadows, borders, and compression artifacts can resemble mathematical marks.</w:t>
      </w:r>
    </w:p>
    <w:p>
      <w:pPr>
        <w:pStyle w:val="Heading1"/>
      </w:pPr>
      <w:r>
        <w:t>79. Erasure handling is undefined</w:t>
      </w:r>
    </w:p>
    <w:p>
      <w:r>
        <w:t>The annotation policy needs to define what counts as the visible final writing when erasure and overwriting are present.</w:t>
      </w:r>
    </w:p>
    <w:p>
      <w:pPr>
        <w:pStyle w:val="Heading1"/>
      </w:pPr>
      <w:r>
        <w:t>80. Crossed-out content is a product decision</w:t>
      </w:r>
    </w:p>
    <w:p>
      <w:r>
        <w:t>The professor-facing requirement must explicitly decide whether the goal is literal visual transcription or only final visible content.</w:t>
      </w:r>
    </w:p>
    <w:p>
      <w:pPr>
        <w:pStyle w:val="Heading1"/>
      </w:pPr>
      <w:r>
        <w:t>81. Source must remain authoritative in the UI</w:t>
      </w:r>
    </w:p>
    <w:p>
      <w:r>
        <w:t>The original scan should always remain the authoritative representation. Generated LaTeX is derived data.</w:t>
      </w:r>
    </w:p>
    <w:p>
      <w:pPr>
        <w:pStyle w:val="Heading1"/>
      </w:pPr>
      <w:r>
        <w:t>82. Automation bias is a UI risk</w:t>
      </w:r>
    </w:p>
    <w:p>
      <w:r>
        <w:t>A green “Approved” state can cause users to overtrust automation. The UI should expose risk and preserve easy access to the source.</w:t>
      </w:r>
    </w:p>
    <w:p>
      <w:pPr>
        <w:pStyle w:val="Heading1"/>
      </w:pPr>
      <w:r>
        <w:t>83. No audit trail</w:t>
      </w:r>
    </w:p>
    <w:p>
      <w:r>
        <w:t>Professor edits should record who changed what, when, and the category of change.</w:t>
      </w:r>
    </w:p>
    <w:p>
      <w:pPr>
        <w:pStyle w:val="Heading1"/>
      </w:pPr>
      <w:r>
        <w:t>84. Separate transcription corrections from grading corrections</w:t>
      </w:r>
    </w:p>
    <w:p>
      <w:r>
        <w:t>A transcription correction, formatting correction, and mathematical grading comment are fundamentally different events and must not share one training label.</w:t>
      </w:r>
    </w:p>
    <w:p>
      <w:pPr>
        <w:pStyle w:val="Heading1"/>
      </w:pPr>
      <w:r>
        <w:t>85. Active-learning contamination is a serious risk</w:t>
      </w:r>
    </w:p>
    <w:p>
      <w:r>
        <w:t>If a professor changes 2+2=5 to 2+2=4 as a grading correction, that cannot become the OCR ground truth. Otherwise the model learns to correct student mistakes.</w:t>
      </w:r>
    </w:p>
    <w:p>
      <w:pPr>
        <w:pStyle w:val="Heading1"/>
      </w:pPr>
      <w:r>
        <w:t>86. Research novelty is unclear</w:t>
      </w:r>
    </w:p>
    <w:p>
      <w:r>
        <w:t>The project currently mixes HMER, document layout, disagreement safety, active learning, UI engineering, and dataset creation. Select one central research contribution.</w:t>
      </w:r>
    </w:p>
    <w:p>
      <w:pPr>
        <w:pStyle w:val="Heading1"/>
      </w:pPr>
      <w:r>
        <w:t>87. Recommended research question</w:t>
      </w:r>
    </w:p>
    <w:p>
      <w:r>
        <w:t>A sharper formulation is: Can a confidence- and disagreement-gated handwritten mathematical transcription pipeline produce higher transcription fidelity on multi-line student exam scripts than a single VLM while maintaining a controllable human-review rate?</w:t>
      </w:r>
    </w:p>
    <w:p>
      <w:pPr>
        <w:pStyle w:val="Heading1"/>
      </w:pPr>
      <w:r>
        <w:t>88. Model bake-off needs a controlled protocol</w:t>
      </w:r>
    </w:p>
    <w:p>
      <w:r>
        <w:t>Compare models using identical crops, resolution, preprocessing, evaluation data, output format, and clearly recorded model/prompt versions.</w:t>
      </w:r>
    </w:p>
    <w:p>
      <w:pPr>
        <w:pStyle w:val="Heading1"/>
      </w:pPr>
      <w:r>
        <w:t>89. Hosted models are moving targets</w:t>
      </w:r>
    </w:p>
    <w:p>
      <w:r>
        <w:t>Record provider, model ID, API version, prompt, parameters, date, and other reproducibility information.</w:t>
      </w:r>
    </w:p>
    <w:p>
      <w:pPr>
        <w:pStyle w:val="Heading1"/>
      </w:pPr>
      <w:r>
        <w:t>90. No baseline</w:t>
      </w:r>
    </w:p>
    <w:p>
      <w:r>
        <w:t>At minimum compare manual transcription, existing OCR, original Ritvik pipeline, baseline ViT, and the proposed pipeline.</w:t>
      </w:r>
    </w:p>
    <w:p>
      <w:pPr>
        <w:pStyle w:val="Heading1"/>
      </w:pPr>
      <w:r>
        <w:t>91. No ablation plan</w:t>
      </w:r>
    </w:p>
    <w:p>
      <w:r>
        <w:t>A serious BTP should isolate contributions of preprocessing, layout detection, bbox conditioning, dual recognition, confidence gating, and human review.</w:t>
      </w:r>
    </w:p>
    <w:p>
      <w:pPr>
        <w:pStyle w:val="Heading1"/>
      </w:pPr>
      <w:r>
        <w:t>92. No statistical uncertainty</w:t>
      </w:r>
    </w:p>
    <w:p>
      <w:r>
        <w:t>Small datasets require confidence intervals or bootstrap estimates. Small raw percentage differences should not be treated as proven improvements.</w:t>
      </w:r>
    </w:p>
    <w:p>
      <w:pPr>
        <w:pStyle w:val="Heading1"/>
      </w:pPr>
      <w:r>
        <w:t>93. Test-set leakage is possible</w:t>
      </w:r>
    </w:p>
    <w:p>
      <w:r>
        <w:t>Thresholds and design choices must be tuned on validation data, never repeatedly on the final test set.</w:t>
      </w:r>
    </w:p>
    <w:p>
      <w:pPr>
        <w:pStyle w:val="Heading1"/>
      </w:pPr>
      <w:r>
        <w:t>94. No annotation agreement measurement</w:t>
      </w:r>
    </w:p>
    <w:p>
      <w:r>
        <w:t>Ambiguous handwriting requires inter-annotator agreement and an adjudication protocol.</w:t>
      </w:r>
    </w:p>
    <w:p>
      <w:pPr>
        <w:pStyle w:val="Heading1"/>
      </w:pPr>
      <w:r>
        <w:t>95. Gold data needs provenance</w:t>
      </w:r>
    </w:p>
    <w:p>
      <w:r>
        <w:t>Record annotator, adjudicator, timestamp, annotation version, and potentially disagreement notes.</w:t>
      </w:r>
    </w:p>
    <w:p>
      <w:pPr>
        <w:pStyle w:val="Heading1"/>
      </w:pPr>
      <w:r>
        <w:t>96. 50–60% POC target is ambiguous</w:t>
      </w:r>
    </w:p>
    <w:p>
      <w:r>
        <w:t>As a feasibility milestone it may be acceptable; as a production-like grading system it is nowhere near sufficient unless the auto-approved subset is much safer.</w:t>
      </w:r>
    </w:p>
    <w:p>
      <w:pPr>
        <w:pStyle w:val="Heading1"/>
      </w:pPr>
      <w:r>
        <w:t>97. Auto-approval must be evaluated separately</w:t>
      </w:r>
    </w:p>
    <w:p>
      <w:r>
        <w:t>The key question is not only overall fidelity but fidelity conditional on the system choosing to auto-approve.</w:t>
      </w:r>
    </w:p>
    <w:p>
      <w:pPr>
        <w:pStyle w:val="Heading1"/>
      </w:pPr>
      <w:r>
        <w:t>98. Need a coverage-vs-risk curve</w:t>
      </w:r>
    </w:p>
    <w:p>
      <w:r>
        <w:t>Plot the error rate against automation coverage. This directly characterizes the system's risk/coverage tradeoff.</w:t>
      </w:r>
    </w:p>
    <w:p>
      <w:pPr>
        <w:pStyle w:val="Heading1"/>
      </w:pPr>
      <w:r>
        <w:t>99. Need calibrated selective prediction</w:t>
      </w:r>
    </w:p>
    <w:p>
      <w:r>
        <w:t>The critical operational metric is something like P(faithful | auto-approved). This should be measured with held-out data.</w:t>
      </w:r>
    </w:p>
    <w:p>
      <w:pPr>
        <w:pStyle w:val="Heading1"/>
      </w:pPr>
      <w:r>
        <w:t>100. Over-correction is not the only catastrophic error</w:t>
      </w:r>
    </w:p>
    <w:p>
      <w:r>
        <w:t>Omission, hallucination, symbol substitution, reordering, structural corruption, and diagram truncation are equally relevant to the Golden Rule.</w:t>
      </w:r>
    </w:p>
    <w:p>
      <w:pPr>
        <w:pStyle w:val="Heading1"/>
      </w:pPr>
      <w:r>
        <w:t>101. Silent deletion can be catastrophic</w:t>
      </w:r>
    </w:p>
    <w:p>
      <w:r>
        <w:t>A model can omit a line, symbol, or crossed-out expression without explicitly correcting anything. That is still a fidelity failure.</w:t>
      </w:r>
    </w:p>
    <w:p>
      <w:pPr>
        <w:pStyle w:val="Heading1"/>
      </w:pPr>
      <w:r>
        <w:t>102. Silent insertion can be catastrophic</w:t>
      </w:r>
    </w:p>
    <w:p>
      <w:r>
        <w:t>The model may hallucinate words or mathematical structure such as \therefore or \boxed{} that the student never wrote.</w:t>
      </w:r>
    </w:p>
    <w:p>
      <w:pPr>
        <w:pStyle w:val="Heading1"/>
      </w:pPr>
      <w:r>
        <w:t>103. Need an unknown/unreadable representation</w:t>
      </w:r>
    </w:p>
    <w:p>
      <w:r>
        <w:t>A faithful system must be allowed to say “unreadable” rather than hallucinate a symbol.</w:t>
      </w:r>
    </w:p>
    <w:p>
      <w:pPr>
        <w:pStyle w:val="Heading1"/>
      </w:pPr>
      <w:r>
        <w:t>104. Need a canonical output grammar</w:t>
      </w:r>
    </w:p>
    <w:p>
      <w:r>
        <w:t>Define the supported LaTeX subset and reject or flag unsupported constructions rather than pretending arbitrary LaTeX is equally safe.</w:t>
      </w:r>
    </w:p>
    <w:p>
      <w:pPr>
        <w:pStyle w:val="Heading1"/>
      </w:pPr>
      <w:r>
        <w:t>105. Consider an intermediate structural representation</w:t>
      </w:r>
    </w:p>
    <w:p>
      <w:r>
        <w:t>An image → structure → LaTeX pipeline can simplify structural comparison and validation. For a BTP, direct image→LaTeX can remain the POC while an AST/parser is used for evaluation.</w:t>
      </w:r>
    </w:p>
    <w:p>
      <w:pPr>
        <w:pStyle w:val="Heading1"/>
      </w:pPr>
      <w:r>
        <w:t>106. No augmentation strategy</w:t>
      </w:r>
    </w:p>
    <w:p>
      <w:r>
        <w:t>The training plan does not discuss rotation, scale, translation, brightness, contrast, blur, or noise augmentation. Any augmentation must preserve mathematical identity.</w:t>
      </w:r>
    </w:p>
    <w:p>
      <w:pPr>
        <w:pStyle w:val="Heading1"/>
      </w:pPr>
      <w:r>
        <w:t>107. Synthetic data is unexplored</w:t>
      </w:r>
    </w:p>
    <w:p>
      <w:r>
        <w:t>Synthetic handwritten math could increase data volume, but domain gap must be measured.</w:t>
      </w:r>
    </w:p>
    <w:p>
      <w:pPr>
        <w:pStyle w:val="Heading1"/>
      </w:pPr>
      <w:r>
        <w:t>108. Full IITG mathematics is too broad for the first POC</w:t>
      </w:r>
    </w:p>
    <w:p>
      <w:r>
        <w:t>The listed curriculum spans many notation regimes. Start with a controlled subset and expand after establishing fidelity.</w:t>
      </w:r>
    </w:p>
    <w:p>
      <w:pPr>
        <w:pStyle w:val="Heading1"/>
      </w:pPr>
      <w:r>
        <w:t>109. Need a symbol/structure ontology</w:t>
      </w:r>
    </w:p>
    <w:p>
      <w:r>
        <w:t>Track errors by symbol and structure: integrals, derivatives, limits, sums, Greek letters, inequalities, matrices, determinants, set notation, fractions, roots, superscripts, and subscripts.</w:t>
      </w:r>
    </w:p>
    <w:p>
      <w:pPr>
        <w:pStyle w:val="Heading1"/>
      </w:pPr>
      <w:r>
        <w:t>110. Product usefulness must be measured</w:t>
      </w:r>
    </w:p>
    <w:p>
      <w:r>
        <w:t>Measure manual grading/transcription time versus system-plus-review time. The goal is not just OCR accuracy; it is useful time savings without silent corruption.</w:t>
      </w:r>
    </w:p>
    <w:p>
      <w:pPr>
        <w:pStyle w:val="Heading1"/>
      </w:pPr>
      <w:r>
        <w:t>111. Review prioritization needs evaluation</w:t>
      </w:r>
    </w:p>
    <w:p>
      <w:r>
        <w:t>Measure dangerous-error recall, flagged-region precision, review rate, and missed critical errors.</w:t>
      </w:r>
    </w:p>
    <w:p>
      <w:pPr>
        <w:pStyle w:val="Heading1"/>
      </w:pPr>
      <w:r>
        <w:t>112. Safety should prioritize dangerous-error recall</w:t>
      </w:r>
    </w:p>
    <w:p>
      <w:r>
        <w:t>A safety-oriented system may reasonably accept more human review in exchange for very high recall of dangerous transcription errors.</w:t>
      </w:r>
    </w:p>
    <w:p>
      <w:pPr>
        <w:pStyle w:val="Heading1"/>
      </w:pPr>
      <w:r>
        <w:t>113. Architecture is overcomplicated in some places and undercomplicated in others</w:t>
      </w:r>
    </w:p>
    <w:p>
      <w:r>
        <w:t>There is a lot of infrastructure and model complexity before the empirical bottleneck is established, while dataset design, calibration, security, and failure handling remain underspecified.</w:t>
      </w:r>
    </w:p>
    <w:p>
      <w:pPr>
        <w:pStyle w:val="Heading1"/>
      </w:pPr>
      <w:r>
        <w:t>114. Better implementation order</w:t>
      </w:r>
    </w:p>
    <w:p>
      <w:pPr>
        <w:ind w:left="360"/>
      </w:pPr>
      <w:r>
        <w:rPr>
          <w:rFonts w:ascii="Courier New" w:hAnsi="Courier New"/>
          <w:sz w:val="18"/>
        </w:rPr>
        <w:t>Gold data</w:t>
        <w:br/>
        <w:t>↓</w:t>
        <w:br/>
        <w:t>baseline evaluation</w:t>
        <w:br/>
        <w:t>↓</w:t>
        <w:br/>
        <w:t>error taxonomy</w:t>
        <w:br/>
        <w:t>↓</w:t>
        <w:br/>
        <w:t>minimal pipeline</w:t>
        <w:br/>
        <w:t>↓</w:t>
        <w:br/>
        <w:t>layout detector</w:t>
        <w:br/>
        <w:t>↓</w:t>
        <w:br/>
        <w:t>uncertainty/disagreement</w:t>
        <w:br/>
        <w:t>↓</w:t>
        <w:br/>
        <w:t>UI</w:t>
        <w:br/>
        <w:t>↓</w:t>
        <w:br/>
        <w:t>active learning</w:t>
      </w:r>
    </w:p>
    <w:p>
      <w:r>
        <w:t>This order lets evidence determine where engineering effort should go.</w:t>
      </w:r>
    </w:p>
    <w:p>
      <w:pPr>
        <w:pStyle w:val="Heading1"/>
      </w:pPr>
      <w:r>
        <w:t>115. Benchmark first</w:t>
      </w:r>
    </w:p>
    <w:p>
      <w:r>
        <w:t>Take a meaningful sample of real IITG pages, create gold transcriptions, and benchmark the available recognizers before building the full infrastructure.</w:t>
      </w:r>
    </w:p>
    <w:p>
      <w:pPr>
        <w:pStyle w:val="Heading1"/>
      </w:pPr>
      <w:r>
        <w:t>116. Define explicit stop conditions</w:t>
      </w:r>
    </w:p>
    <w:p>
      <w:r>
        <w:t>If baseline fidelity is too low, stop expanding infrastructure and improve data/model quality. If auto-approved fidelity is below the required safety threshold, disable auto-approval. If review rate is too high, optimize selective prediction.</w:t>
      </w:r>
    </w:p>
    <w:p>
      <w:pPr>
        <w:pStyle w:val="Heading1"/>
      </w:pPr>
      <w:r>
        <w:t>117. Acceptance criteria are missing</w:t>
      </w:r>
    </w:p>
    <w:p>
      <w:r>
        <w:t>Define quantitative thresholds for POC fidelity, over-correction, dangerous-error recall, auto-approval safety, review time, latency, and throughput.</w:t>
      </w:r>
    </w:p>
    <w:p>
      <w:pPr>
        <w:pStyle w:val="Heading1"/>
      </w:pPr>
      <w:r>
        <w:t>118. The fundamental problem is a risk–coverage tradeoff</w:t>
      </w:r>
    </w:p>
    <w:p>
      <w:r>
        <w:t>The system is fundamentally balancing automation coverage against silent-error risk and human-review burden. This should be the central framing.</w:t>
      </w:r>
    </w:p>
    <w:p>
      <w:pPr>
        <w:pStyle w:val="Heading1"/>
      </w:pPr>
      <w:r>
        <w:t>119. Proposed corrected architecture</w:t>
      </w:r>
    </w:p>
    <w:p>
      <w:pPr>
        <w:ind w:left="360"/>
      </w:pPr>
      <w:r>
        <w:rPr>
          <w:rFonts w:ascii="Courier New" w:hAnsi="Courier New"/>
          <w:sz w:val="18"/>
        </w:rPr>
        <w:t>SCANNED SCRIPT</w:t>
        <w:br/>
        <w:t xml:space="preserve">      ↓</w:t>
        <w:br/>
        <w:t>INPUT VALIDATION</w:t>
        <w:br/>
        <w:t xml:space="preserve">      ↓</w:t>
        <w:br/>
        <w:t>PREPROCESSING + QC</w:t>
        <w:br/>
        <w:t xml:space="preserve">      ↓</w:t>
        <w:br/>
        <w:t>PAGE STRUCTURE</w:t>
        <w:br/>
        <w:t xml:space="preserve">      ↓</w:t>
        <w:br/>
        <w:t>REGION DETECTION</w:t>
        <w:br/>
        <w:t xml:space="preserve">      ↓</w:t>
        <w:br/>
        <w:t xml:space="preserve"> ┌────┼────┐</w:t>
        <w:br/>
        <w:t>PROSE MATH DIAGRAM</w:t>
        <w:br/>
        <w:t xml:space="preserve">      │</w:t>
        <w:br/>
        <w:t xml:space="preserve">    MODEL A</w:t>
        <w:br/>
        <w:t xml:space="preserve">      │</w:t>
        <w:br/>
        <w:t xml:space="preserve">    MODEL B</w:t>
        <w:br/>
        <w:t xml:space="preserve">      │</w:t>
        <w:br/>
        <w:t>CANDIDATE SET</w:t>
        <w:br/>
        <w:t xml:space="preserve">      ↓</w:t>
        <w:br/>
        <w:t>STRUCTURAL COMPARISON</w:t>
        <w:br/>
        <w:t xml:space="preserve">      ↓</w:t>
        <w:br/>
        <w:t>RISK ESTIMATOR</w:t>
        <w:br/>
        <w:t xml:space="preserve">      │</w:t>
        <w:br/>
        <w:t xml:space="preserve"> ┌────┴────┐</w:t>
        <w:br/>
        <w:t>LOW RISK  HIGH RISK</w:t>
        <w:br/>
        <w:t xml:space="preserve">   ↓          ↓</w:t>
        <w:br/>
        <w:t>AUTO       HUMAN</w:t>
        <w:br/>
        <w:t>ACCEPT     REVIEW</w:t>
        <w:br/>
        <w:t xml:space="preserve">   └────┬────┘</w:t>
        <w:br/>
        <w:t xml:space="preserve">        ↓</w:t>
        <w:br/>
        <w:t xml:space="preserve">   REGION JSON</w:t>
        <w:br/>
        <w:t xml:space="preserve">        ↓</w:t>
        <w:br/>
        <w:t xml:space="preserve"> LATEX ASSEMBLY</w:t>
        <w:br/>
        <w:t xml:space="preserve">        ↓</w:t>
        <w:br/>
        <w:t xml:space="preserve">  COMPILATION</w:t>
        <w:br/>
        <w:t xml:space="preserve">        ↓</w:t>
        <w:br/>
        <w:t xml:space="preserve"> FINAL OUTPUT</w:t>
      </w:r>
    </w:p>
    <w:p>
      <w:r>
        <w:t>Key change: compilation is downstream validation, not the primary safety mechanism; disagreement is evidence of uncertainty, not proof of correctness; confidence must be calibrated; and human review is an explicit abstention mechanism.</w:t>
      </w:r>
    </w:p>
    <w:p>
      <w:pPr>
        <w:pStyle w:val="Heading1"/>
      </w:pPr>
      <w:r>
        <w:t>120. Strongest single rewrite of the project objective</w:t>
      </w:r>
    </w:p>
    <w:p>
      <w:r>
        <w:t>Instead of “Convert handwritten math to LaTeX,” use:</w:t>
      </w:r>
    </w:p>
    <w:p>
      <w:r>
        <w:t>“Produce a faithful LaTeX transcription together with calibrated uncertainty and provenance, and abstain whenever fidelity cannot be established with the required confidence.”</w:t>
      </w:r>
    </w:p>
    <w:p>
      <w:pPr>
        <w:pStyle w:val="Heading1"/>
      </w:pPr>
      <w:r>
        <w:t>Priority Ranking</w:t>
      </w:r>
    </w:p>
    <w:p>
      <w:pPr>
        <w:pStyle w:val="Heading2"/>
      </w:pPr>
      <w:r>
        <w:t>P0 — Must fix before implementation</w:t>
      </w:r>
    </w:p>
    <w:p>
      <w:pPr>
        <w:pStyle w:val="ListBullet"/>
      </w:pPr>
      <w:r>
        <w:t>Define transcription fidelity mathematically.</w:t>
      </w:r>
    </w:p>
    <w:p>
      <w:pPr>
        <w:pStyle w:val="ListBullet"/>
      </w:pPr>
      <w:r>
        <w:t>Define evaluation metrics precisely.</w:t>
      </w:r>
    </w:p>
    <w:p>
      <w:pPr>
        <w:pStyle w:val="ListBullet"/>
      </w:pPr>
      <w:r>
        <w:t>Build a real IITG gold dataset.</w:t>
      </w:r>
    </w:p>
    <w:p>
      <w:pPr>
        <w:pStyle w:val="ListBullet"/>
      </w:pPr>
      <w:r>
        <w:t>Separate transcription correction from mathematical correction.</w:t>
      </w:r>
    </w:p>
    <w:p>
      <w:pPr>
        <w:pStyle w:val="ListBullet"/>
      </w:pPr>
      <w:r>
        <w:t>Remove the claim that non-reasoning HMER cannot over-correct.</w:t>
      </w:r>
    </w:p>
    <w:p>
      <w:pPr>
        <w:pStyle w:val="ListBullet"/>
      </w:pPr>
      <w:r>
        <w:t>Remove the claim that disagreement guarantees detection.</w:t>
      </w:r>
    </w:p>
    <w:p>
      <w:pPr>
        <w:pStyle w:val="ListBullet"/>
      </w:pPr>
      <w:r>
        <w:t>Define and calibrate confidence.</w:t>
      </w:r>
    </w:p>
    <w:p>
      <w:pPr>
        <w:pStyle w:val="ListBullet"/>
      </w:pPr>
      <w:r>
        <w:t>Introduce abstention/human-review policy.</w:t>
      </w:r>
    </w:p>
    <w:p>
      <w:pPr>
        <w:pStyle w:val="ListBullet"/>
      </w:pPr>
      <w:r>
        <w:t>Define an error taxonomy.</w:t>
      </w:r>
    </w:p>
    <w:p>
      <w:pPr>
        <w:pStyle w:val="ListBullet"/>
      </w:pPr>
      <w:r>
        <w:t>Split data by student.</w:t>
      </w:r>
    </w:p>
    <w:p>
      <w:pPr>
        <w:pStyle w:val="Heading2"/>
      </w:pPr>
      <w:r>
        <w:t>P1 — Must fix before serious POC</w:t>
      </w:r>
    </w:p>
    <w:p>
      <w:pPr>
        <w:pStyle w:val="ListBullet"/>
      </w:pPr>
      <w:r>
        <w:t>Layout annotation specification.</w:t>
      </w:r>
    </w:p>
    <w:p>
      <w:pPr>
        <w:pStyle w:val="ListBullet"/>
      </w:pPr>
      <w:r>
        <w:t>BBox coordinate convention.</w:t>
      </w:r>
    </w:p>
    <w:p>
      <w:pPr>
        <w:pStyle w:val="ListBullet"/>
      </w:pPr>
      <w:r>
        <w:t>Page/region provenance.</w:t>
      </w:r>
    </w:p>
    <w:p>
      <w:pPr>
        <w:pStyle w:val="ListBullet"/>
      </w:pPr>
      <w:r>
        <w:t>Inline math handling.</w:t>
      </w:r>
    </w:p>
    <w:p>
      <w:pPr>
        <w:pStyle w:val="ListBullet"/>
      </w:pPr>
      <w:r>
        <w:t>Crossed-out content policy.</w:t>
      </w:r>
    </w:p>
    <w:p>
      <w:pPr>
        <w:pStyle w:val="ListBullet"/>
      </w:pPr>
      <w:r>
        <w:t>Tables policy.</w:t>
      </w:r>
    </w:p>
    <w:p>
      <w:pPr>
        <w:pStyle w:val="ListBullet"/>
      </w:pPr>
      <w:r>
        <w:t>Diagram boundaries.</w:t>
      </w:r>
    </w:p>
    <w:p>
      <w:pPr>
        <w:pStyle w:val="ListBullet"/>
      </w:pPr>
      <w:r>
        <w:t>Model versioning.</w:t>
      </w:r>
    </w:p>
    <w:p>
      <w:pPr>
        <w:pStyle w:val="ListBullet"/>
      </w:pPr>
      <w:r>
        <w:t>VLM prompt/output contract.</w:t>
      </w:r>
    </w:p>
    <w:p>
      <w:pPr>
        <w:pStyle w:val="ListBullet"/>
      </w:pPr>
      <w:r>
        <w:t>Privacy/security.</w:t>
      </w:r>
    </w:p>
    <w:p>
      <w:pPr>
        <w:pStyle w:val="Heading2"/>
      </w:pPr>
      <w:r>
        <w:t>P2 — Before campus deployment</w:t>
      </w:r>
    </w:p>
    <w:p>
      <w:pPr>
        <w:pStyle w:val="ListBullet"/>
      </w:pPr>
      <w:r>
        <w:t>Queue architecture.</w:t>
      </w:r>
    </w:p>
    <w:p>
      <w:pPr>
        <w:pStyle w:val="ListBullet"/>
      </w:pPr>
      <w:r>
        <w:t>GPU scheduling.</w:t>
      </w:r>
    </w:p>
    <w:p>
      <w:pPr>
        <w:pStyle w:val="ListBullet"/>
      </w:pPr>
      <w:r>
        <w:t>Observability.</w:t>
      </w:r>
    </w:p>
    <w:p>
      <w:pPr>
        <w:pStyle w:val="ListBullet"/>
      </w:pPr>
      <w:r>
        <w:t>Failure recovery.</w:t>
      </w:r>
    </w:p>
    <w:p>
      <w:pPr>
        <w:pStyle w:val="ListBullet"/>
      </w:pPr>
      <w:r>
        <w:t>Compiler sandbox.</w:t>
      </w:r>
    </w:p>
    <w:p>
      <w:pPr>
        <w:pStyle w:val="ListBullet"/>
      </w:pPr>
      <w:r>
        <w:t>Data retention.</w:t>
      </w:r>
    </w:p>
    <w:p>
      <w:pPr>
        <w:pStyle w:val="ListBullet"/>
      </w:pPr>
      <w:r>
        <w:t>Audit logs.</w:t>
      </w:r>
    </w:p>
    <w:p>
      <w:pPr>
        <w:pStyle w:val="ListBullet"/>
      </w:pPr>
      <w:r>
        <w:t>Disaster recovery.</w:t>
      </w:r>
    </w:p>
    <w:p>
      <w:pPr>
        <w:pStyle w:val="ListBullet"/>
      </w:pPr>
      <w:r>
        <w:t>UI usability study.</w:t>
      </w:r>
    </w:p>
    <w:p>
      <w:pPr>
        <w:pStyle w:val="ListBullet"/>
      </w:pPr>
      <w:r>
        <w:t>Load testing.</w:t>
      </w:r>
    </w:p>
    <w:p>
      <w:pPr>
        <w:pStyle w:val="Heading2"/>
      </w:pPr>
      <w:r>
        <w:t>P3 — Research extensions</w:t>
      </w:r>
    </w:p>
    <w:p>
      <w:pPr>
        <w:pStyle w:val="ListBullet"/>
      </w:pPr>
      <w:r>
        <w:t>Active learning.</w:t>
      </w:r>
    </w:p>
    <w:p>
      <w:pPr>
        <w:pStyle w:val="ListBullet"/>
      </w:pPr>
      <w:r>
        <w:t>Token-level provenance.</w:t>
      </w:r>
    </w:p>
    <w:p>
      <w:pPr>
        <w:pStyle w:val="ListBullet"/>
      </w:pPr>
      <w:r>
        <w:t>AST-based canonicalization.</w:t>
      </w:r>
    </w:p>
    <w:p>
      <w:pPr>
        <w:pStyle w:val="ListBullet"/>
      </w:pPr>
      <w:r>
        <w:t>Advanced uncertainty estimation.</w:t>
      </w:r>
    </w:p>
    <w:p>
      <w:pPr>
        <w:pStyle w:val="ListBullet"/>
      </w:pPr>
      <w:r>
        <w:t>Synthetic data.</w:t>
      </w:r>
    </w:p>
    <w:p>
      <w:pPr>
        <w:pStyle w:val="ListBullet"/>
      </w:pPr>
      <w:r>
        <w:t>Larger model bake-off.</w:t>
      </w:r>
    </w:p>
    <w:p>
      <w:pPr>
        <w:pStyle w:val="Heading1"/>
      </w:pPr>
      <w:r>
        <w:t>Questions I Would Force the Team to Answer</w:t>
      </w:r>
    </w:p>
    <w:p>
      <w:r>
        <w:t>1. What exactly is a faithful transcription?</w:t>
      </w:r>
    </w:p>
    <w:p>
      <w:r>
        <w:t>2. What mathematical transformations are forbidden?</w:t>
      </w:r>
    </w:p>
    <w:p>
      <w:r>
        <w:t>3. What happens when the model isn't sure?</w:t>
      </w:r>
    </w:p>
    <w:p>
      <w:r>
        <w:t>4. What happens when both models agree but are wrong?</w:t>
      </w:r>
    </w:p>
    <w:p>
      <w:r>
        <w:t>5. How is confidence calibrated?</w:t>
      </w:r>
    </w:p>
    <w:p>
      <w:r>
        <w:t>6. Why 0.90?</w:t>
      </w:r>
    </w:p>
    <w:p>
      <w:r>
        <w:t>7. What is the formal definition of Fidelity Rate?</w:t>
      </w:r>
    </w:p>
    <w:p>
      <w:r>
        <w:t>8. What is the formal definition of Over-Correction Rate?</w:t>
      </w:r>
    </w:p>
    <w:p>
      <w:r>
        <w:t>9. How do you measure omission and hallucination?</w:t>
      </w:r>
    </w:p>
    <w:p>
      <w:r>
        <w:t>10. How do you evaluate multi-line structure?</w:t>
      </w:r>
    </w:p>
    <w:p>
      <w:r>
        <w:t>11. How do you prevent student handwriting from becoming prompt injection?</w:t>
      </w:r>
    </w:p>
    <w:p>
      <w:r>
        <w:t>12. How do you guarantee no external data leakage?</w:t>
      </w:r>
    </w:p>
    <w:p>
      <w:r>
        <w:t>13. How do you prevent professor corrections from contaminating training data?</w:t>
      </w:r>
    </w:p>
    <w:p>
      <w:r>
        <w:t>14. How are model versions tracked?</w:t>
      </w:r>
    </w:p>
    <w:p>
      <w:r>
        <w:t>15. How are bbox coordinates transformed after deskewing?</w:t>
      </w:r>
    </w:p>
    <w:p>
      <w:r>
        <w:t>16. How are tables handled?</w:t>
      </w:r>
    </w:p>
    <w:p>
      <w:r>
        <w:t>17. How are crossed-out expressions handled?</w:t>
      </w:r>
    </w:p>
    <w:p>
      <w:r>
        <w:t>18. How are unreadable symbols represented?</w:t>
      </w:r>
    </w:p>
    <w:p>
      <w:r>
        <w:t>19. What happens if both recognizers produce different but equally plausible answers?</w:t>
      </w:r>
    </w:p>
    <w:p>
      <w:r>
        <w:t>20. What is the actual training dataset?</w:t>
      </w:r>
    </w:p>
    <w:p>
      <w:r>
        <w:t>21. How do you split by student?</w:t>
      </w:r>
    </w:p>
    <w:p>
      <w:r>
        <w:t>22. What is the baseline?</w:t>
      </w:r>
    </w:p>
    <w:p>
      <w:r>
        <w:t>23. What ablations prove each component is useful?</w:t>
      </w:r>
    </w:p>
    <w:p>
      <w:r>
        <w:t>24. What happens if the model is only 55% faithful?</w:t>
      </w:r>
    </w:p>
    <w:p>
      <w:r>
        <w:t>25. What is the maximum acceptable professor review burden?</w:t>
      </w:r>
    </w:p>
    <w:p>
      <w:r>
        <w:t>26. What is your dangerous-error recall?</w:t>
      </w:r>
    </w:p>
    <w:p>
      <w:r>
        <w:t>27. Can the entire system run without internet?</w:t>
      </w:r>
    </w:p>
    <w:p>
      <w:r>
        <w:t>28. What is the compiler security model?</w:t>
      </w:r>
    </w:p>
    <w:p>
      <w:r>
        <w:t>29. What is your actual research contribution?</w:t>
      </w:r>
    </w:p>
    <w:p>
      <w:pPr>
        <w:pStyle w:val="Heading1"/>
      </w:pPr>
      <w:r>
        <w:t>Final Roast in One Sentence</w:t>
      </w:r>
    </w:p>
    <w:p>
      <w:r>
        <w:t>It is excellent at describing a sophisticated architecture and surprisingly weak at specifying how you will prove that the architecture is actually safe, faithful, measurable, reproducible, and useful.</w:t>
      </w:r>
    </w:p>
    <w:p>
      <w:pPr>
        <w:pStyle w:val="Heading1"/>
      </w:pPr>
      <w:r>
        <w:t>Final Verdict</w:t>
      </w:r>
    </w:p>
    <w:p>
      <w:r>
        <w:t>The architecture is promising. The specification is not yet rigorous enough.</w:t>
      </w:r>
    </w:p>
    <w:p>
      <w:r>
        <w:t>The strongest parts are the Golden Rule, recognition of over-correction as a failure mode, separation of prose/math/diagrams, rejection of naive one-dimensional segmentation, raster preservation for diagrams, region-level provenance, human-in-the-loop review, and recognition that BLEU alone is inadequate.</w:t>
      </w:r>
    </w:p>
    <w:p>
      <w:r>
        <w:t>The weakest parts are unsupported guarantees, vague metrics, arbitrary confidence thresholds, insufficient dataset design, lack of uncertainty calibration, correlated model errors, incomplete failure handling, incomplete privacy/security design, unsafe active-learning assumptions, weak evaluation methodology, excessive scope, and implementation details that sound precise without actually being reproducible.</w:t>
      </w:r>
    </w:p>
    <w:p>
      <w:r>
        <w:t>The central idea should be: don't build an AI that understands what the student meant; build a system that faithfully records what the student wrote and knows when it doesn't know.</w:t>
      </w:r>
    </w:p>
    <w:p>
      <w:r>
        <w:t>The next version should turn every loophole into one of: a requirement, experiment, metric, invariant, failure policy, or explicit out-of-scope decision. That is how the current proposal becomes a defensible implementation-ready BTP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