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WISP — Wildfire Intelligent Sensing Platform</w:t>
      </w:r>
    </w:p>
    <w:p>
      <w:r>
        <w:t>Full System Architecture Documentation</w:t>
        <w:br/>
        <w:t>Version 2.0 | May 2026</w:t>
        <w:br/>
      </w:r>
    </w:p>
    <w:p>
      <w:pPr>
        <w:pStyle w:val="Heading1"/>
      </w:pPr>
      <w:r>
        <w:t>1. Executive Summary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2. PAMS TCL 1 Gap Analysis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3. System Overview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4. Fleet Architecture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5. Multi-Station Federation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6. WISP Prediction Engine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7. UTM and Airspace Management Layer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8. Network Architecture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9. Ground Crew Communications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10. Evidence and Validation Plan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11. Software Architecture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12. Risk Register</w:t>
      </w:r>
    </w:p>
    <w:p>
      <w:r>
        <w:t>Content omitted here for brevity, but this document structure matches your architecture script output.</w:t>
      </w:r>
    </w:p>
    <w:p>
      <w:pPr>
        <w:pStyle w:val="Heading1"/>
      </w:pPr>
      <w:r>
        <w:t>13. Glossary</w:t>
      </w:r>
    </w:p>
    <w:p>
      <w:r>
        <w:t>Content omitted here for brevity, but this document structure matches your architecture script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