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7"/>
        <w:gridCol w:w="1644"/>
      </w:tblGrid>
      <w:tr>
        <w:tc>
          <w:tcPr>
            <w:tcW w:type="dxa" w:w="4933"/>
            <w:shd w:fill="073B73"/>
            <w:tcMar>
              <w:top w:w="240" w:type="dxa"/>
              <w:start w:w="280" w:type="dxa"/>
              <w:bottom w:w="24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42"/>
              </w:rPr>
              <w:t>ZETDC WIND ASSESSMENT SYSTEM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CFEAFF"/>
                <w:sz w:val="23"/>
              </w:rPr>
              <w:t>System overview and architecture</w:t>
            </w:r>
          </w:p>
        </w:tc>
        <w:tc>
          <w:tcPr>
            <w:tcW w:type="dxa" w:w="4933"/>
            <w:shd w:fill="073B73"/>
            <w:tcMar>
              <w:top w:w="170" w:type="dxa"/>
              <w:start w:w="80" w:type="dxa"/>
              <w:bottom w:w="170" w:type="dxa"/>
              <w:end w:w="1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54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esa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54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0B6FB8"/>
          <w:sz w:val="20"/>
        </w:rPr>
        <w:t>1  SYSTEM DESCRIPTION</w:t>
      </w:r>
    </w:p>
    <w:p>
      <w:pPr>
        <w:pStyle w:val="Heading1"/>
      </w:pPr>
      <w:r>
        <w:t>A single view of Zimbabwe’s wind assessment information</w:t>
      </w:r>
    </w:p>
    <w:p>
      <w:pPr>
        <w:spacing w:after="120"/>
      </w:pPr>
      <w:r>
        <w:rPr>
          <w:rFonts w:ascii="Arial" w:hAnsi="Arial"/>
          <w:b w:val="0"/>
          <w:color w:val="17324D"/>
          <w:sz w:val="21"/>
        </w:rPr>
        <w:t>The ZETDC Wind Assessment System is a browser-based decision-support tool that brings wind-resource information into one clear operational view. The current prototype consolidates measurements from eight ZETDC wind assessment points and can also display a separately labelled Open-Meteo feed for comparison. It enables managers, analysts and renewable-energy teams to see where each point is located, review recent conditions, compare sites and regions, and follow changes over time without working directly with raw files.</w:t>
      </w:r>
    </w:p>
    <w:p>
      <w:pPr>
        <w:spacing w:after="120"/>
      </w:pPr>
      <w:r>
        <w:rPr>
          <w:rFonts w:ascii="Arial" w:hAnsi="Arial"/>
          <w:b w:val="0"/>
          <w:color w:val="17324D"/>
          <w:sz w:val="21"/>
        </w:rPr>
        <w:t>The system turns wind speed, wind direction, temperature, humidity and pressure records into practical indicators such as air density, data quality, availability and estimated wind-energy potential. It supports standard reporting, site comparison, historical review and short- to medium-term planning forecasts. Users can filter the information, save report views and export selected results for further review. Access is role-based, with administration functions reserved for authorised users.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8D8"/>
            <w:tcBorders>
              <w:top w:val="single" w:sz="8" w:color="E3C44D"/>
              <w:left w:val="single" w:sz="8" w:color="E3C44D"/>
              <w:bottom w:val="single" w:sz="8" w:color="E3C44D"/>
              <w:right w:val="single" w:sz="8" w:color="E3C44D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rial" w:hAnsi="Arial"/>
                <w:b/>
                <w:color w:val="735C00"/>
                <w:sz w:val="19"/>
              </w:rPr>
              <w:t xml:space="preserve">Important: </w:t>
            </w:r>
            <w:r>
              <w:rPr>
                <w:rFonts w:ascii="Arial" w:hAnsi="Arial"/>
                <w:b w:val="0"/>
                <w:color w:val="735C00"/>
                <w:sz w:val="19"/>
              </w:rPr>
              <w:t>Power, energy and revenue are engineering estimates based on configured assumptions; they are not actual turbine SCADA generation. Forecasts are provisional planning indicators and include uncertainty ranges.</w:t>
            </w:r>
          </w:p>
        </w:tc>
      </w:tr>
    </w:tbl>
    <w:p>
      <w:pPr>
        <w:pStyle w:val="Heading2"/>
      </w:pPr>
      <w:r>
        <w:t>Main functions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c>
          <w:tcPr>
            <w:tcW w:type="dxa" w:w="147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3F8FC"/>
          </w:tcPr>
          <w:p>
            <w:r>
              <w:rPr>
                <w:rFonts w:ascii="Arial" w:hAnsi="Arial"/>
                <w:b/>
                <w:color w:val="0B6FB8"/>
                <w:sz w:val="19"/>
              </w:rPr>
              <w:t>Monitor</w:t>
            </w:r>
          </w:p>
        </w:tc>
        <w:tc>
          <w:tcPr>
            <w:tcW w:type="dxa" w:w="8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3F8FC"/>
          </w:tcPr>
          <w:p>
            <w:r>
              <w:rPr>
                <w:rFonts w:ascii="Arial" w:hAnsi="Arial"/>
                <w:b w:val="0"/>
                <w:color w:val="17324D"/>
                <w:sz w:val="19"/>
              </w:rPr>
              <w:t>Shows eight wind assessment points on a Zimbabwe map with current status and key measurements.</w:t>
            </w:r>
          </w:p>
        </w:tc>
      </w:tr>
      <w:tr>
        <w:tc>
          <w:tcPr>
            <w:tcW w:type="dxa" w:w="147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FFFFF"/>
          </w:tcPr>
          <w:p>
            <w:r>
              <w:rPr>
                <w:rFonts w:ascii="Arial" w:hAnsi="Arial"/>
                <w:b/>
                <w:color w:val="0B6FB8"/>
                <w:sz w:val="19"/>
              </w:rPr>
              <w:t>Analyse</w:t>
            </w:r>
          </w:p>
        </w:tc>
        <w:tc>
          <w:tcPr>
            <w:tcW w:type="dxa" w:w="8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FFFFF"/>
          </w:tcPr>
          <w:p>
            <w:r>
              <w:rPr>
                <w:rFonts w:ascii="Arial" w:hAnsi="Arial"/>
                <w:b w:val="0"/>
                <w:color w:val="17324D"/>
                <w:sz w:val="19"/>
              </w:rPr>
              <w:t>Summarises wind speed, direction, temperature, humidity, pressure, air density, availability and data quality.</w:t>
            </w:r>
          </w:p>
        </w:tc>
      </w:tr>
      <w:tr>
        <w:tc>
          <w:tcPr>
            <w:tcW w:type="dxa" w:w="147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3F8FC"/>
          </w:tcPr>
          <w:p>
            <w:r>
              <w:rPr>
                <w:rFonts w:ascii="Arial" w:hAnsi="Arial"/>
                <w:b/>
                <w:color w:val="0B6FB8"/>
                <w:sz w:val="19"/>
              </w:rPr>
              <w:t>Estimate</w:t>
            </w:r>
          </w:p>
        </w:tc>
        <w:tc>
          <w:tcPr>
            <w:tcW w:type="dxa" w:w="8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3F8FC"/>
          </w:tcPr>
          <w:p>
            <w:r>
              <w:rPr>
                <w:rFonts w:ascii="Arial" w:hAnsi="Arial"/>
                <w:b w:val="0"/>
                <w:color w:val="17324D"/>
                <w:sz w:val="19"/>
              </w:rPr>
              <w:t>Calculates indicative power, energy and revenue from measured wind using configurable engineering assumptions.</w:t>
            </w:r>
          </w:p>
        </w:tc>
      </w:tr>
      <w:tr>
        <w:tc>
          <w:tcPr>
            <w:tcW w:type="dxa" w:w="147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FFFFF"/>
          </w:tcPr>
          <w:p>
            <w:r>
              <w:rPr>
                <w:rFonts w:ascii="Arial" w:hAnsi="Arial"/>
                <w:b/>
                <w:color w:val="0B6FB8"/>
                <w:sz w:val="19"/>
              </w:rPr>
              <w:t>Compare</w:t>
            </w:r>
          </w:p>
        </w:tc>
        <w:tc>
          <w:tcPr>
            <w:tcW w:type="dxa" w:w="8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FFFFF"/>
          </w:tcPr>
          <w:p>
            <w:r>
              <w:rPr>
                <w:rFonts w:ascii="Arial" w:hAnsi="Arial"/>
                <w:b w:val="0"/>
                <w:color w:val="17324D"/>
                <w:sz w:val="19"/>
              </w:rPr>
              <w:t>Filters and compares results by source, ZETDC region, province, point and time window.</w:t>
            </w:r>
          </w:p>
        </w:tc>
      </w:tr>
      <w:tr>
        <w:tc>
          <w:tcPr>
            <w:tcW w:type="dxa" w:w="147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3F8FC"/>
          </w:tcPr>
          <w:p>
            <w:r>
              <w:rPr>
                <w:rFonts w:ascii="Arial" w:hAnsi="Arial"/>
                <w:b/>
                <w:color w:val="0B6FB8"/>
                <w:sz w:val="19"/>
              </w:rPr>
              <w:t>Forecast</w:t>
            </w:r>
          </w:p>
        </w:tc>
        <w:tc>
          <w:tcPr>
            <w:tcW w:type="dxa" w:w="8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3F8FC"/>
          </w:tcPr>
          <w:p>
            <w:r>
              <w:rPr>
                <w:rFonts w:ascii="Arial" w:hAnsi="Arial"/>
                <w:b w:val="0"/>
                <w:color w:val="17324D"/>
                <w:sz w:val="19"/>
              </w:rPr>
              <w:t>Provides 7-, 30-, 90- or 180-day planning views with upper and lower wind ranges.</w:t>
            </w:r>
          </w:p>
        </w:tc>
      </w:tr>
      <w:tr>
        <w:tc>
          <w:tcPr>
            <w:tcW w:type="dxa" w:w="147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FFFFF"/>
          </w:tcPr>
          <w:p>
            <w:r>
              <w:rPr>
                <w:rFonts w:ascii="Arial" w:hAnsi="Arial"/>
                <w:b/>
                <w:color w:val="0B6FB8"/>
                <w:sz w:val="19"/>
              </w:rPr>
              <w:t>Report</w:t>
            </w:r>
          </w:p>
        </w:tc>
        <w:tc>
          <w:tcPr>
            <w:tcW w:type="dxa" w:w="8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FFFFF"/>
          </w:tcPr>
          <w:p>
            <w:r>
              <w:rPr>
                <w:rFonts w:ascii="Arial" w:hAnsi="Arial"/>
                <w:b w:val="0"/>
                <w:color w:val="17324D"/>
                <w:sz w:val="19"/>
              </w:rPr>
              <w:t>Provides standard reports, advanced analytics, historical trends, saved views, printing and CSV/JSON export.</w:t>
            </w:r>
          </w:p>
        </w:tc>
      </w:tr>
      <w:tr>
        <w:tc>
          <w:tcPr>
            <w:tcW w:type="dxa" w:w="147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3F8FC"/>
          </w:tcPr>
          <w:p>
            <w:r>
              <w:rPr>
                <w:rFonts w:ascii="Arial" w:hAnsi="Arial"/>
                <w:b/>
                <w:color w:val="0B6FB8"/>
                <w:sz w:val="19"/>
              </w:rPr>
              <w:t>Administer</w:t>
            </w:r>
          </w:p>
        </w:tc>
        <w:tc>
          <w:tcPr>
            <w:tcW w:type="dxa" w:w="8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  <w:shd w:fill="F3F8FC"/>
          </w:tcPr>
          <w:p>
            <w:r>
              <w:rPr>
                <w:rFonts w:ascii="Arial" w:hAnsi="Arial"/>
                <w:b w:val="0"/>
                <w:color w:val="17324D"/>
                <w:sz w:val="19"/>
              </w:rPr>
              <w:t>Allows authorised administrators to review data coverage, manage users and maintain calculation settings.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color w:val="0B6FB8"/>
          <w:sz w:val="20"/>
        </w:rPr>
        <w:t>2  SYSTEM ARCHITECTURE</w:t>
      </w:r>
    </w:p>
    <w:p>
      <w:pPr>
        <w:pStyle w:val="Heading1"/>
      </w:pPr>
      <w:r>
        <w:t>How the system works — in plain language</w:t>
      </w:r>
    </w:p>
    <w:p>
      <w:pPr>
        <w:spacing w:after="140"/>
      </w:pPr>
      <w:r>
        <w:rPr>
          <w:rFonts w:ascii="Arial" w:hAnsi="Arial"/>
          <w:b w:val="0"/>
          <w:color w:val="17324D"/>
          <w:sz w:val="21"/>
        </w:rPr>
        <w:t>The architecture is a simple information journey: measurements enter the system, are checked and organised, converted into useful indicators, and then presented to authorised users.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443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_Assessment_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this means for a 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576"/>
      </w:tblGrid>
      <w:tr>
        <w:trPr>
          <w:tblHeader w:val="true"/>
        </w:trPr>
        <w:tc>
          <w:tcPr>
            <w:tcW w:type="dxa" w:w="4933"/>
            <w:shd w:fill="073B7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073B73"/>
              <w:left w:val="single" w:sz="6" w:color="073B73"/>
              <w:bottom w:val="single" w:sz="6" w:color="073B73"/>
              <w:right w:val="single" w:sz="6" w:color="073B73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4933"/>
            <w:shd w:fill="073B7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073B73"/>
              <w:left w:val="single" w:sz="6" w:color="073B73"/>
              <w:bottom w:val="single" w:sz="6" w:color="073B73"/>
              <w:right w:val="single" w:sz="6" w:color="073B73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Plain-language meaning</w:t>
            </w:r>
          </w:p>
        </w:tc>
      </w:tr>
      <w:tr>
        <w:tc>
          <w:tcPr>
            <w:tcW w:type="dxa" w:w="2948"/>
            <w:shd w:fill="F3F8F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</w:tcPr>
          <w:p>
            <w:r>
              <w:rPr>
                <w:rFonts w:ascii="Arial" w:hAnsi="Arial"/>
                <w:b/>
                <w:color w:val="0B6FB8"/>
                <w:sz w:val="18"/>
              </w:rPr>
              <w:t>Data is collected</w:t>
            </w:r>
          </w:p>
        </w:tc>
        <w:tc>
          <w:tcPr>
            <w:tcW w:type="dxa" w:w="6576"/>
            <w:shd w:fill="F3F8F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</w:tcPr>
          <w:p>
            <w:r>
              <w:rPr>
                <w:rFonts w:ascii="Arial" w:hAnsi="Arial"/>
                <w:b w:val="0"/>
                <w:color w:val="17324D"/>
                <w:sz w:val="18"/>
              </w:rPr>
              <w:t>The system uses readings from the eight assessment points; external live data remains clearly identified as a separate source.</w:t>
            </w:r>
          </w:p>
        </w:tc>
      </w:tr>
      <w:tr>
        <w:tc>
          <w:tcPr>
            <w:tcW w:type="dxa" w:w="2948"/>
            <w:shd w:fill="FFFFF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</w:tcPr>
          <w:p>
            <w:r>
              <w:rPr>
                <w:rFonts w:ascii="Arial" w:hAnsi="Arial"/>
                <w:b/>
                <w:color w:val="0B6FB8"/>
                <w:sz w:val="18"/>
              </w:rPr>
              <w:t>Information is prepared</w:t>
            </w:r>
          </w:p>
        </w:tc>
        <w:tc>
          <w:tcPr>
            <w:tcW w:type="dxa" w:w="6576"/>
            <w:shd w:fill="FFFFF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</w:tcPr>
          <w:p>
            <w:r>
              <w:rPr>
                <w:rFonts w:ascii="Arial" w:hAnsi="Arial"/>
                <w:b w:val="0"/>
                <w:color w:val="17324D"/>
                <w:sz w:val="18"/>
              </w:rPr>
              <w:t>Different files are converted into one consistent format and attached to the correct geographic area.</w:t>
            </w:r>
          </w:p>
        </w:tc>
      </w:tr>
      <w:tr>
        <w:tc>
          <w:tcPr>
            <w:tcW w:type="dxa" w:w="2948"/>
            <w:shd w:fill="F3F8F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</w:tcPr>
          <w:p>
            <w:r>
              <w:rPr>
                <w:rFonts w:ascii="Arial" w:hAnsi="Arial"/>
                <w:b/>
                <w:color w:val="0B6FB8"/>
                <w:sz w:val="18"/>
              </w:rPr>
              <w:t>Calculations are applied</w:t>
            </w:r>
          </w:p>
        </w:tc>
        <w:tc>
          <w:tcPr>
            <w:tcW w:type="dxa" w:w="6576"/>
            <w:shd w:fill="F3F8F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</w:tcPr>
          <w:p>
            <w:r>
              <w:rPr>
                <w:rFonts w:ascii="Arial" w:hAnsi="Arial"/>
                <w:b w:val="0"/>
                <w:color w:val="17324D"/>
                <w:sz w:val="18"/>
              </w:rPr>
              <w:t>The system converts measurements into summaries and indicative energy results using documented settings.</w:t>
            </w:r>
          </w:p>
        </w:tc>
      </w:tr>
      <w:tr>
        <w:tc>
          <w:tcPr>
            <w:tcW w:type="dxa" w:w="2948"/>
            <w:shd w:fill="FFFFF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</w:tcPr>
          <w:p>
            <w:r>
              <w:rPr>
                <w:rFonts w:ascii="Arial" w:hAnsi="Arial"/>
                <w:b/>
                <w:color w:val="0B6FB8"/>
                <w:sz w:val="18"/>
              </w:rPr>
              <w:t>Results are delivered</w:t>
            </w:r>
          </w:p>
        </w:tc>
        <w:tc>
          <w:tcPr>
            <w:tcW w:type="dxa" w:w="6576"/>
            <w:shd w:fill="FFFFF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</w:tcPr>
          <w:p>
            <w:r>
              <w:rPr>
                <w:rFonts w:ascii="Arial" w:hAnsi="Arial"/>
                <w:b w:val="0"/>
                <w:color w:val="17324D"/>
                <w:sz w:val="18"/>
              </w:rPr>
              <w:t>A secure web portal shows maps, charts, reports, forecasts and history appropriate to the user’s role.</w:t>
            </w:r>
          </w:p>
        </w:tc>
      </w:tr>
      <w:tr>
        <w:tc>
          <w:tcPr>
            <w:tcW w:type="dxa" w:w="2948"/>
            <w:shd w:fill="F3F8F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</w:tcPr>
          <w:p>
            <w:r>
              <w:rPr>
                <w:rFonts w:ascii="Arial" w:hAnsi="Arial"/>
                <w:b/>
                <w:color w:val="0B6FB8"/>
                <w:sz w:val="18"/>
              </w:rPr>
              <w:t>Decisions are supported</w:t>
            </w:r>
          </w:p>
        </w:tc>
        <w:tc>
          <w:tcPr>
            <w:tcW w:type="dxa" w:w="6576"/>
            <w:shd w:fill="F3F8F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5" w:color="D6E5F0"/>
              <w:left w:val="single" w:sz="5" w:color="D6E5F0"/>
              <w:bottom w:val="single" w:sz="5" w:color="D6E5F0"/>
              <w:right w:val="single" w:sz="5" w:color="D6E5F0"/>
            </w:tcBorders>
          </w:tcPr>
          <w:p>
            <w:r>
              <w:rPr>
                <w:rFonts w:ascii="Arial" w:hAnsi="Arial"/>
                <w:b w:val="0"/>
                <w:color w:val="17324D"/>
                <w:sz w:val="18"/>
              </w:rPr>
              <w:t>Users can compare locations, identify promising wind conditions, inspect data quality and export evidence for planning.</w:t>
            </w:r>
          </w:p>
        </w:tc>
      </w:tr>
    </w:tbl>
    <w:p>
      <w:pPr>
        <w:pStyle w:val="Heading2"/>
      </w:pPr>
      <w:r>
        <w:t>Current prototype boundaries</w:t>
      </w:r>
    </w:p>
    <w:p>
      <w:pPr>
        <w:pStyle w:val="ListBullet"/>
        <w:spacing w:after="20"/>
      </w:pPr>
      <w:r>
        <w:rPr>
          <w:rFonts w:ascii="Arial" w:hAnsi="Arial"/>
          <w:b w:val="0"/>
          <w:color w:val="17324D"/>
          <w:sz w:val="18"/>
        </w:rPr>
        <w:t>ZETDC mast readings are currently imported from supplied data files rather than streamed directly from field instruments.</w:t>
      </w:r>
    </w:p>
    <w:p>
      <w:pPr>
        <w:pStyle w:val="ListBullet"/>
        <w:spacing w:after="20"/>
      </w:pPr>
      <w:r>
        <w:rPr>
          <w:rFonts w:ascii="Arial" w:hAnsi="Arial"/>
          <w:b w:val="0"/>
          <w:color w:val="17324D"/>
          <w:sz w:val="18"/>
        </w:rPr>
        <w:t>The sign-in service currently uses prototype accounts; connection to ZETDC Single Sign-On is the intended production step.</w:t>
      </w:r>
    </w:p>
    <w:p>
      <w:pPr>
        <w:pStyle w:val="ListBullet"/>
        <w:spacing w:after="20"/>
      </w:pPr>
      <w:r>
        <w:rPr>
          <w:rFonts w:ascii="Arial" w:hAnsi="Arial"/>
          <w:b w:val="0"/>
          <w:color w:val="17324D"/>
          <w:sz w:val="18"/>
        </w:rPr>
        <w:t>A production database is included in the deployment design, while the current prototype reads its normalised wind dataset from application files.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E748B"/>
        <w:sz w:val="16"/>
      </w:rPr>
      <w:t>System overview and plain-language architecture  •  18 September 2026</w:t>
    </w:r>
    <w:r>
      <w:t xml:space="preserve">          </w:t>
    </w:r>
    <w:r>
      <w:rPr>
        <w:color w:val="5E748B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1872"/>
    </w:tblGrid>
    <w:tr>
      <w:tc>
        <w:tcPr>
          <w:tcW w:type="dxa" w:w="4896"/>
        </w:tcPr>
        <w:p>
          <w:r>
            <w:rPr>
              <w:rFonts w:ascii="Arial" w:hAnsi="Arial"/>
              <w:b/>
              <w:color w:val="073B73"/>
              <w:sz w:val="16"/>
            </w:rPr>
            <w:t>ZETDC  |  Wind Assessment System</w:t>
          </w:r>
        </w:p>
      </w:tc>
      <w:tc>
        <w:tcPr>
          <w:tcW w:type="dxa" w:w="4896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55312" cy="19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zesa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312" cy="19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73B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6F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Theme="majorHAnsi" w:eastAsiaTheme="majorEastAsia" w:hAnsiTheme="majorHAnsi" w:cstheme="majorBidi" w:ascii="Arial" w:hAnsi="Arial"/>
      <w:b/>
      <w:color w:val="073B7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ZETDC Wind Assessment System — Overview and Architecture</dc:title>
  <dc:subject>Plain-language system description and architecture</dc:subject>
  <dc:creator>ZETDC</dc:creator>
  <cp:keywords>wind assessment, ZETDC, architecture, forecasting, reporting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