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8617"/>
        <w:gridCol w:w="1247"/>
      </w:tblGrid>
      <w:tr>
        <w:tc>
          <w:tcPr>
            <w:tcW w:type="dxa" w:w="5131"/>
            <w:shd w:fill="063B73"/>
            <w:tcBorders>
              <w:top w:val="single" w:sz="5" w:color="063B73"/>
              <w:left w:val="single" w:sz="5" w:color="063B73"/>
              <w:bottom w:val="single" w:sz="5" w:color="063B73"/>
              <w:right w:val="single" w:sz="5" w:color="063B73"/>
            </w:tcBorders>
            <w:tcMar>
              <w:top w:w="150" w:type="dxa"/>
              <w:start w:w="190" w:type="dxa"/>
              <w:bottom w:w="150" w:type="dxa"/>
              <w:end w:w="100" w:type="dxa"/>
            </w:tcMar>
          </w:tcPr>
          <w:p>
            <w:r>
              <w:rPr>
                <w:rFonts w:ascii="Arial" w:hAnsi="Arial"/>
                <w:b/>
                <w:i w:val="0"/>
                <w:color w:val="FFFFFF"/>
                <w:sz w:val="34"/>
              </w:rPr>
              <w:t>WIND TURBINE MONITORING, ANALYTICS &amp;</w:t>
            </w:r>
          </w:p>
          <w:p>
            <w:pPr>
              <w:spacing w:after="20"/>
            </w:pPr>
            <w:r>
              <w:rPr>
                <w:rFonts w:ascii="Arial" w:hAnsi="Arial"/>
                <w:b/>
                <w:i w:val="0"/>
                <w:color w:val="FFFFFF"/>
                <w:sz w:val="34"/>
              </w:rPr>
              <w:t>PREDICTIVE INTELLIGENCE PLATFORM</w:t>
            </w:r>
          </w:p>
          <w:p>
            <w:pPr>
              <w:spacing w:after="0"/>
            </w:pPr>
            <w:r>
              <w:rPr>
                <w:rFonts w:ascii="Arial" w:hAnsi="Arial"/>
                <w:b w:val="0"/>
                <w:i w:val="0"/>
                <w:color w:val="CFEAFF"/>
                <w:sz w:val="20"/>
              </w:rPr>
              <w:t>System Overview &amp; Technical Architecture</w:t>
            </w:r>
          </w:p>
        </w:tc>
        <w:tc>
          <w:tcPr>
            <w:tcW w:type="dxa" w:w="5131"/>
            <w:shd w:fill="063B73"/>
            <w:tcBorders>
              <w:top w:val="single" w:sz="5" w:color="063B73"/>
              <w:left w:val="single" w:sz="5" w:color="063B73"/>
              <w:bottom w:val="single" w:sz="5" w:color="063B73"/>
              <w:right w:val="single" w:sz="5" w:color="063B73"/>
            </w:tcBorders>
          </w:tcPr>
          <w:p>
            <w:pPr>
              <w:jc w:val="center"/>
            </w:pPr>
            <w:r>
              <w:drawing>
                <wp:inline xmlns:a="http://schemas.openxmlformats.org/drawingml/2006/main" xmlns:pic="http://schemas.openxmlformats.org/drawingml/2006/picture">
                  <wp:extent cx="409458" cy="522000"/>
                  <wp:docPr id="1" name="Picture 1"/>
                  <wp:cNvGraphicFramePr>
                    <a:graphicFrameLocks noChangeAspect="1"/>
                  </wp:cNvGraphicFramePr>
                  <a:graphic>
                    <a:graphicData uri="http://schemas.openxmlformats.org/drawingml/2006/picture">
                      <pic:pic>
                        <pic:nvPicPr>
                          <pic:cNvPr id="0" name="zesa-logo.png"/>
                          <pic:cNvPicPr/>
                        </pic:nvPicPr>
                        <pic:blipFill>
                          <a:blip r:embed="rId11"/>
                          <a:stretch>
                            <a:fillRect/>
                          </a:stretch>
                        </pic:blipFill>
                        <pic:spPr>
                          <a:xfrm>
                            <a:off x="0" y="0"/>
                            <a:ext cx="409458" cy="522000"/>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1757"/>
        <w:gridCol w:w="3628"/>
        <w:gridCol w:w="907"/>
        <w:gridCol w:w="1361"/>
        <w:gridCol w:w="2211"/>
      </w:tblGrid>
      <w:tr>
        <w:trPr>
          <w:tblHeader w:val="true"/>
          <w:cantSplit/>
        </w:trPr>
        <w:tc>
          <w:tcPr>
            <w:tcW w:type="dxa" w:w="2052"/>
            <w:shd w:fill="063B73"/>
            <w:tcBorders>
              <w:top w:val="single" w:sz="5" w:color="063B73"/>
              <w:left w:val="single" w:sz="5" w:color="063B73"/>
              <w:bottom w:val="single" w:sz="5" w:color="063B73"/>
              <w:right w:val="single" w:sz="5" w:color="063B73"/>
            </w:tcBorders>
            <w:tcMar>
              <w:top w:w="65" w:type="dxa"/>
              <w:start w:w="90" w:type="dxa"/>
              <w:bottom w:w="65" w:type="dxa"/>
              <w:end w:w="90" w:type="dxa"/>
            </w:tcMar>
            <w:vAlign w:val="center"/>
          </w:tcPr>
          <w:p>
            <w:r>
              <w:rPr>
                <w:rFonts w:ascii="Arial" w:hAnsi="Arial"/>
                <w:b/>
                <w:i w:val="0"/>
                <w:color w:val="FFFFFF"/>
                <w:sz w:val="13"/>
              </w:rPr>
              <w:t>Document</w:t>
            </w:r>
          </w:p>
        </w:tc>
        <w:tc>
          <w:tcPr>
            <w:tcW w:type="dxa" w:w="2052"/>
            <w:shd w:fill="063B73"/>
            <w:tcBorders>
              <w:top w:val="single" w:sz="5" w:color="063B73"/>
              <w:left w:val="single" w:sz="5" w:color="063B73"/>
              <w:bottom w:val="single" w:sz="5" w:color="063B73"/>
              <w:right w:val="single" w:sz="5" w:color="063B73"/>
            </w:tcBorders>
            <w:tcMar>
              <w:top w:w="65" w:type="dxa"/>
              <w:start w:w="90" w:type="dxa"/>
              <w:bottom w:w="65" w:type="dxa"/>
              <w:end w:w="90" w:type="dxa"/>
            </w:tcMar>
            <w:vAlign w:val="center"/>
          </w:tcPr>
          <w:p>
            <w:r>
              <w:rPr>
                <w:rFonts w:ascii="Arial" w:hAnsi="Arial"/>
                <w:b/>
                <w:i w:val="0"/>
                <w:color w:val="FFFFFF"/>
                <w:sz w:val="13"/>
              </w:rPr>
              <w:t>Repository implementation</w:t>
            </w:r>
          </w:p>
        </w:tc>
        <w:tc>
          <w:tcPr>
            <w:tcW w:type="dxa" w:w="2052"/>
            <w:shd w:fill="063B73"/>
            <w:tcBorders>
              <w:top w:val="single" w:sz="5" w:color="063B73"/>
              <w:left w:val="single" w:sz="5" w:color="063B73"/>
              <w:bottom w:val="single" w:sz="5" w:color="063B73"/>
              <w:right w:val="single" w:sz="5" w:color="063B73"/>
            </w:tcBorders>
            <w:tcMar>
              <w:top w:w="65" w:type="dxa"/>
              <w:start w:w="90" w:type="dxa"/>
              <w:bottom w:w="65" w:type="dxa"/>
              <w:end w:w="90" w:type="dxa"/>
            </w:tcMar>
            <w:vAlign w:val="center"/>
          </w:tcPr>
          <w:p>
            <w:r>
              <w:rPr>
                <w:rFonts w:ascii="Arial" w:hAnsi="Arial"/>
                <w:b/>
                <w:i w:val="0"/>
                <w:color w:val="FFFFFF"/>
                <w:sz w:val="13"/>
              </w:rPr>
              <w:t>Version</w:t>
            </w:r>
          </w:p>
        </w:tc>
        <w:tc>
          <w:tcPr>
            <w:tcW w:type="dxa" w:w="2052"/>
            <w:shd w:fill="063B73"/>
            <w:tcBorders>
              <w:top w:val="single" w:sz="5" w:color="063B73"/>
              <w:left w:val="single" w:sz="5" w:color="063B73"/>
              <w:bottom w:val="single" w:sz="5" w:color="063B73"/>
              <w:right w:val="single" w:sz="5" w:color="063B73"/>
            </w:tcBorders>
            <w:tcMar>
              <w:top w:w="65" w:type="dxa"/>
              <w:start w:w="90" w:type="dxa"/>
              <w:bottom w:w="65" w:type="dxa"/>
              <w:end w:w="90" w:type="dxa"/>
            </w:tcMar>
            <w:vAlign w:val="center"/>
          </w:tcPr>
          <w:p>
            <w:r>
              <w:rPr>
                <w:rFonts w:ascii="Arial" w:hAnsi="Arial"/>
                <w:b/>
                <w:i w:val="0"/>
                <w:color w:val="FFFFFF"/>
                <w:sz w:val="13"/>
              </w:rPr>
              <w:t>Date</w:t>
            </w:r>
          </w:p>
        </w:tc>
        <w:tc>
          <w:tcPr>
            <w:tcW w:type="dxa" w:w="2052"/>
            <w:shd w:fill="063B73"/>
            <w:tcBorders>
              <w:top w:val="single" w:sz="5" w:color="063B73"/>
              <w:left w:val="single" w:sz="5" w:color="063B73"/>
              <w:bottom w:val="single" w:sz="5" w:color="063B73"/>
              <w:right w:val="single" w:sz="5" w:color="063B73"/>
            </w:tcBorders>
            <w:tcMar>
              <w:top w:w="65" w:type="dxa"/>
              <w:start w:w="90" w:type="dxa"/>
              <w:bottom w:w="65" w:type="dxa"/>
              <w:end w:w="90" w:type="dxa"/>
            </w:tcMar>
            <w:vAlign w:val="center"/>
          </w:tcPr>
          <w:p>
            <w:r>
              <w:rPr>
                <w:rFonts w:ascii="Arial" w:hAnsi="Arial"/>
                <w:b/>
                <w:i w:val="0"/>
                <w:color w:val="FFFFFF"/>
                <w:sz w:val="13"/>
              </w:rPr>
              <w:t>Status</w:t>
            </w:r>
          </w:p>
        </w:tc>
      </w:tr>
      <w:tr>
        <w:trPr>
          <w:cantSplit/>
        </w:trPr>
        <w:tc>
          <w:tcPr>
            <w:tcW w:type="dxa" w:w="1757"/>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Technical architecture</w:t>
            </w:r>
          </w:p>
        </w:tc>
        <w:tc>
          <w:tcPr>
            <w:tcW w:type="dxa" w:w="3628"/>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ZETDC Wind Assessment System v0.1.0</w:t>
            </w:r>
          </w:p>
        </w:tc>
        <w:tc>
          <w:tcPr>
            <w:tcW w:type="dxa" w:w="907"/>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1.0</w:t>
            </w:r>
          </w:p>
        </w:tc>
        <w:tc>
          <w:tcPr>
            <w:tcW w:type="dxa" w:w="1361"/>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18 Sep 2026</w:t>
            </w:r>
          </w:p>
        </w:tc>
        <w:tc>
          <w:tcPr>
            <w:tcW w:type="dxa" w:w="2211"/>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Prototype / design baseline</w:t>
            </w:r>
          </w:p>
        </w:tc>
      </w:tr>
    </w:tbl>
    <w:p>
      <w:pPr>
        <w:keepNext/>
        <w:spacing w:before="60" w:after="40"/>
      </w:pPr>
      <w:r>
        <w:rPr>
          <w:rFonts w:ascii="Arial" w:hAnsi="Arial"/>
          <w:b/>
          <w:i w:val="0"/>
          <w:color w:val="087FC3"/>
          <w:sz w:val="24"/>
        </w:rPr>
        <w:t xml:space="preserve">1  </w:t>
      </w:r>
      <w:r>
        <w:rPr>
          <w:rFonts w:ascii="Arial" w:hAnsi="Arial"/>
          <w:b/>
          <w:i w:val="0"/>
          <w:color w:val="063B73"/>
          <w:sz w:val="28"/>
        </w:rPr>
        <w:t>System Overview</w:t>
      </w:r>
    </w:p>
    <w:p>
      <w:pPr>
        <w:spacing w:before="0" w:after="50" w:line="240" w:lineRule="auto"/>
      </w:pPr>
      <w:r>
        <w:rPr>
          <w:rFonts w:ascii="Arial" w:hAnsi="Arial"/>
          <w:b w:val="0"/>
          <w:i w:val="0"/>
          <w:color w:val="18324A"/>
          <w:sz w:val="16"/>
        </w:rPr>
        <w:t>Purpose. The implemented application is a browser-based wind-resource assessment and planning prototype for eight geographically distributed ZETDC measurement points. It centralises 75,224 imported mast observations from 563 CSV files, enriches them with geographic context and engineering calculations, and gives managers and technical teams one place to review wind conditions, data coverage, comparative site potential, history and forecasts.</w:t>
      </w:r>
    </w:p>
    <w:tbl>
      <w:tblPr>
        <w:tblW w:type="auto" w:w="0"/>
        <w:jc w:val="center"/>
        <w:tblLook w:firstColumn="1" w:firstRow="1" w:lastColumn="0" w:lastRow="0" w:noHBand="0" w:noVBand="1" w:val="04A0"/>
      </w:tblPr>
      <w:tblGrid>
        <w:gridCol w:w="10262"/>
      </w:tblGrid>
      <w:tr>
        <w:tc>
          <w:tcPr>
            <w:tcW w:type="dxa" w:w="10262"/>
            <w:shd w:fill="FFF7D8"/>
            <w:tcBorders>
              <w:top w:val="single" w:sz="8" w:color="D49E16"/>
              <w:left w:val="single" w:sz="8" w:color="D49E16"/>
              <w:bottom w:val="single" w:sz="8" w:color="D49E16"/>
              <w:right w:val="single" w:sz="8" w:color="D49E16"/>
            </w:tcBorders>
            <w:tcMar>
              <w:top w:w="75" w:type="dxa"/>
              <w:start w:w="110" w:type="dxa"/>
              <w:bottom w:w="75" w:type="dxa"/>
              <w:end w:w="110" w:type="dxa"/>
            </w:tcMar>
          </w:tcPr>
          <w:p>
            <w:pPr>
              <w:spacing w:after="0"/>
            </w:pPr>
            <w:r>
              <w:rPr>
                <w:rFonts w:ascii="Arial" w:hAnsi="Arial"/>
                <w:b/>
                <w:i w:val="0"/>
                <w:color w:val="735C00"/>
                <w:sz w:val="15"/>
              </w:rPr>
              <w:t xml:space="preserve">Scope accuracy: </w:t>
            </w:r>
            <w:r>
              <w:rPr>
                <w:rFonts w:ascii="Arial" w:hAnsi="Arial"/>
                <w:b w:val="0"/>
                <w:i w:val="0"/>
                <w:color w:val="735C00"/>
                <w:sz w:val="15"/>
              </w:rPr>
              <w:t>The repository does not yet ingest turbine SCADA or condition-monitoring data. “Power”, “energy”, “capacity factor” and “revenue” are calculated estimates from mast wind and configured assumptions—not metered turbine generation. Predictive maintenance, alarm workflows and failure-risk models are future capabilities.</w:t>
            </w:r>
          </w:p>
        </w:tc>
      </w:tr>
    </w:tbl>
    <w:p>
      <w:pPr>
        <w:keepNext/>
        <w:spacing w:before="40" w:after="40"/>
      </w:pPr>
      <w:r>
        <w:rPr>
          <w:rFonts w:ascii="Arial" w:hAnsi="Arial"/>
          <w:b/>
          <w:i w:val="0"/>
          <w:color w:val="087FC3"/>
          <w:sz w:val="19"/>
        </w:rPr>
        <w:t xml:space="preserve">1.1  </w:t>
      </w:r>
      <w:r>
        <w:rPr>
          <w:rFonts w:ascii="Arial" w:hAnsi="Arial"/>
          <w:b/>
          <w:i w:val="0"/>
          <w:color w:val="087FC3"/>
          <w:sz w:val="20"/>
        </w:rPr>
        <w:t>Implemented functions</w:t>
      </w:r>
    </w:p>
    <w:tbl>
      <w:tblPr>
        <w:tblW w:type="auto" w:w="0"/>
        <w:jc w:val="center"/>
        <w:tblLayout w:type="fixed"/>
        <w:tblLook w:firstColumn="1" w:firstRow="1" w:lastColumn="0" w:lastRow="0" w:noHBand="0" w:noVBand="1" w:val="04A0"/>
      </w:tblPr>
      <w:tblGrid>
        <w:gridCol w:w="1928"/>
        <w:gridCol w:w="7937"/>
      </w:tblGrid>
      <w:tr>
        <w:trPr>
          <w:tblHeader w:val="true"/>
          <w:cantSplit/>
        </w:trPr>
        <w:tc>
          <w:tcPr>
            <w:tcW w:type="dxa" w:w="5131"/>
            <w:shd w:fill="063B73"/>
            <w:tcBorders>
              <w:top w:val="single" w:sz="5" w:color="063B73"/>
              <w:left w:val="single" w:sz="5" w:color="063B73"/>
              <w:bottom w:val="single" w:sz="5" w:color="063B73"/>
              <w:right w:val="single" w:sz="5" w:color="063B73"/>
            </w:tcBorders>
            <w:tcMar>
              <w:top w:w="65" w:type="dxa"/>
              <w:start w:w="90" w:type="dxa"/>
              <w:bottom w:w="65" w:type="dxa"/>
              <w:end w:w="90" w:type="dxa"/>
            </w:tcMar>
            <w:vAlign w:val="center"/>
          </w:tcPr>
          <w:p>
            <w:r>
              <w:rPr>
                <w:rFonts w:ascii="Arial" w:hAnsi="Arial"/>
                <w:b/>
                <w:i w:val="0"/>
                <w:color w:val="FFFFFF"/>
                <w:sz w:val="14"/>
              </w:rPr>
              <w:t>Module</w:t>
            </w:r>
          </w:p>
        </w:tc>
        <w:tc>
          <w:tcPr>
            <w:tcW w:type="dxa" w:w="5131"/>
            <w:shd w:fill="063B73"/>
            <w:tcBorders>
              <w:top w:val="single" w:sz="5" w:color="063B73"/>
              <w:left w:val="single" w:sz="5" w:color="063B73"/>
              <w:bottom w:val="single" w:sz="5" w:color="063B73"/>
              <w:right w:val="single" w:sz="5" w:color="063B73"/>
            </w:tcBorders>
            <w:tcMar>
              <w:top w:w="65" w:type="dxa"/>
              <w:start w:w="90" w:type="dxa"/>
              <w:bottom w:w="65" w:type="dxa"/>
              <w:end w:w="90" w:type="dxa"/>
            </w:tcMar>
            <w:vAlign w:val="center"/>
          </w:tcPr>
          <w:p>
            <w:r>
              <w:rPr>
                <w:rFonts w:ascii="Arial" w:hAnsi="Arial"/>
                <w:b/>
                <w:i w:val="0"/>
                <w:color w:val="FFFFFF"/>
                <w:sz w:val="14"/>
              </w:rPr>
              <w:t>What the current system provides</w:t>
            </w:r>
          </w:p>
        </w:tc>
      </w:tr>
      <w:tr>
        <w:trPr>
          <w:cantSplit/>
        </w:trPr>
        <w:tc>
          <w:tcPr>
            <w:tcW w:type="dxa" w:w="1928"/>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i w:val="0"/>
                <w:color w:val="087FC3"/>
                <w:sz w:val="14"/>
              </w:rPr>
              <w:t>Overview dashboard</w:t>
            </w:r>
          </w:p>
        </w:tc>
        <w:tc>
          <w:tcPr>
            <w:tcW w:type="dxa" w:w="7937"/>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Fleet wind points, estimated energy, average wind, logger availability, regional status, site ranking and interactive Zimbabwe map.</w:t>
            </w:r>
          </w:p>
        </w:tc>
      </w:tr>
      <w:tr>
        <w:trPr>
          <w:cantSplit/>
        </w:trPr>
        <w:tc>
          <w:tcPr>
            <w:tcW w:type="dxa" w:w="1928"/>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i w:val="0"/>
                <w:color w:val="087FC3"/>
                <w:sz w:val="14"/>
              </w:rPr>
              <w:t>Point monitoring</w:t>
            </w:r>
          </w:p>
        </w:tc>
        <w:tc>
          <w:tcPr>
            <w:tcW w:type="dxa" w:w="7937"/>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Latest and daily mast measurements: wind speed/min/max, direction, temperature, humidity and air pressure; calculated air density and point status.</w:t>
            </w:r>
          </w:p>
        </w:tc>
      </w:tr>
      <w:tr>
        <w:trPr>
          <w:cantSplit/>
        </w:trPr>
        <w:tc>
          <w:tcPr>
            <w:tcW w:type="dxa" w:w="1928"/>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i w:val="0"/>
                <w:color w:val="087FC3"/>
                <w:sz w:val="14"/>
              </w:rPr>
              <w:t>Analysis &amp; comparison</w:t>
            </w:r>
          </w:p>
        </w:tc>
        <w:tc>
          <w:tcPr>
            <w:tcW w:type="dxa" w:w="7937"/>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1/7/30/90-day filters; point, province and ZETDC-region scope; mast, Open-Meteo and difference views; rankings, trends, tables and descriptive variance findings.</w:t>
            </w:r>
          </w:p>
        </w:tc>
      </w:tr>
      <w:tr>
        <w:trPr>
          <w:cantSplit/>
        </w:trPr>
        <w:tc>
          <w:tcPr>
            <w:tcW w:type="dxa" w:w="1928"/>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i w:val="0"/>
                <w:color w:val="087FC3"/>
                <w:sz w:val="14"/>
              </w:rPr>
              <w:t>Forecasting</w:t>
            </w:r>
          </w:p>
        </w:tc>
        <w:tc>
          <w:tcPr>
            <w:tcW w:type="dxa" w:w="7937"/>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Transparent daily baseline for wind, air density and estimated power/energy over 7, 30, 90 or 180 days, with planning ranges and holdout MAE.</w:t>
            </w:r>
          </w:p>
        </w:tc>
      </w:tr>
      <w:tr>
        <w:trPr>
          <w:cantSplit/>
        </w:trPr>
        <w:tc>
          <w:tcPr>
            <w:tcW w:type="dxa" w:w="1928"/>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i w:val="0"/>
                <w:color w:val="087FC3"/>
                <w:sz w:val="14"/>
              </w:rPr>
              <w:t>Reports &amp; history</w:t>
            </w:r>
          </w:p>
        </w:tc>
        <w:tc>
          <w:tcPr>
            <w:tcW w:type="dxa" w:w="7937"/>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Measured-wind, environmental, derived-assessment and data-governance reports; monthly/daily drill-down; CSV, JSON, Excel-compatible, print, copy, email and share actions.</w:t>
            </w:r>
          </w:p>
        </w:tc>
      </w:tr>
      <w:tr>
        <w:trPr>
          <w:cantSplit/>
        </w:trPr>
        <w:tc>
          <w:tcPr>
            <w:tcW w:type="dxa" w:w="1928"/>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i w:val="0"/>
                <w:color w:val="087FC3"/>
                <w:sz w:val="14"/>
              </w:rPr>
              <w:t>GIS &amp; grid context</w:t>
            </w:r>
          </w:p>
        </w:tc>
        <w:tc>
          <w:tcPr>
            <w:tcW w:type="dxa" w:w="7937"/>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Leaflet/OpenStreetMap, local ZETDC region/district polygons, site markers, optional grid infrastructure overlay and nearest station/transformer distances.</w:t>
            </w:r>
          </w:p>
        </w:tc>
      </w:tr>
      <w:tr>
        <w:trPr>
          <w:cantSplit/>
        </w:trPr>
        <w:tc>
          <w:tcPr>
            <w:tcW w:type="dxa" w:w="1928"/>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i w:val="0"/>
                <w:color w:val="087FC3"/>
                <w:sz w:val="14"/>
              </w:rPr>
              <w:t>Administration</w:t>
            </w:r>
          </w:p>
        </w:tc>
        <w:tc>
          <w:tcPr>
            <w:tcW w:type="dxa" w:w="7937"/>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Source provenance, wind-point register, forecast provenance, formula settings and administrator-only user creation.</w:t>
            </w:r>
          </w:p>
        </w:tc>
      </w:tr>
    </w:tbl>
    <w:p>
      <w:pPr>
        <w:keepNext/>
        <w:spacing w:before="40" w:after="40"/>
      </w:pPr>
      <w:r>
        <w:rPr>
          <w:rFonts w:ascii="Arial" w:hAnsi="Arial"/>
          <w:b/>
          <w:i w:val="0"/>
          <w:color w:val="087FC3"/>
          <w:sz w:val="19"/>
        </w:rPr>
        <w:t xml:space="preserve">1.2  </w:t>
      </w:r>
      <w:r>
        <w:rPr>
          <w:rFonts w:ascii="Arial" w:hAnsi="Arial"/>
          <w:b/>
          <w:i w:val="0"/>
          <w:color w:val="087FC3"/>
          <w:sz w:val="20"/>
        </w:rPr>
        <w:t>Business and operational use</w:t>
      </w:r>
    </w:p>
    <w:tbl>
      <w:tblPr>
        <w:tblW w:type="auto" w:w="0"/>
        <w:jc w:val="center"/>
        <w:tblLook w:firstColumn="1" w:firstRow="1" w:lastColumn="0" w:lastRow="0" w:noHBand="0" w:noVBand="1" w:val="04A0"/>
      </w:tblPr>
      <w:tblGrid>
        <w:gridCol w:w="3421"/>
        <w:gridCol w:w="3421"/>
        <w:gridCol w:w="3421"/>
      </w:tblGrid>
      <w:tr>
        <w:tc>
          <w:tcPr>
            <w:tcW w:type="dxa" w:w="3421"/>
            <w:shd w:fill="E3F4FD"/>
            <w:tcBorders>
              <w:top w:val="single" w:sz="5" w:color="C9DAE7"/>
              <w:left w:val="single" w:sz="5" w:color="C9DAE7"/>
              <w:bottom w:val="single" w:sz="5" w:color="C9DAE7"/>
              <w:right w:val="single" w:sz="5" w:color="C9DAE7"/>
            </w:tcBorders>
            <w:tcMar>
              <w:top w:w="80" w:type="dxa"/>
              <w:start w:w="100" w:type="dxa"/>
              <w:bottom w:w="80" w:type="dxa"/>
              <w:end w:w="100" w:type="dxa"/>
            </w:tcMar>
          </w:tcPr>
          <w:p>
            <w:r>
              <w:rPr>
                <w:rFonts w:ascii="Arial" w:hAnsi="Arial"/>
                <w:b/>
                <w:i w:val="0"/>
                <w:color w:val="063B73"/>
                <w:sz w:val="15"/>
              </w:rPr>
              <w:t>Operations &amp; engineers</w:t>
            </w:r>
          </w:p>
          <w:p>
            <w:pPr>
              <w:spacing w:after="0"/>
            </w:pPr>
            <w:r>
              <w:rPr>
                <w:rFonts w:ascii="Arial" w:hAnsi="Arial"/>
                <w:b w:val="0"/>
                <w:i w:val="0"/>
                <w:color w:val="18324A"/>
                <w:sz w:val="14"/>
              </w:rPr>
              <w:t>Review site measurements, logger coverage, environmental conditions and indicative energy potential.</w:t>
            </w:r>
          </w:p>
        </w:tc>
        <w:tc>
          <w:tcPr>
            <w:tcW w:type="dxa" w:w="3421"/>
            <w:shd w:fill="E8F5F1"/>
            <w:tcBorders>
              <w:top w:val="single" w:sz="5" w:color="C9DAE7"/>
              <w:left w:val="single" w:sz="5" w:color="C9DAE7"/>
              <w:bottom w:val="single" w:sz="5" w:color="C9DAE7"/>
              <w:right w:val="single" w:sz="5" w:color="C9DAE7"/>
            </w:tcBorders>
            <w:tcMar>
              <w:top w:w="80" w:type="dxa"/>
              <w:start w:w="100" w:type="dxa"/>
              <w:bottom w:w="80" w:type="dxa"/>
              <w:end w:w="100" w:type="dxa"/>
            </w:tcMar>
          </w:tcPr>
          <w:p>
            <w:r>
              <w:rPr>
                <w:rFonts w:ascii="Arial" w:hAnsi="Arial"/>
                <w:b/>
                <w:i w:val="0"/>
                <w:color w:val="063B73"/>
                <w:sz w:val="15"/>
              </w:rPr>
              <w:t>Analysts &amp; planners</w:t>
            </w:r>
          </w:p>
          <w:p>
            <w:pPr>
              <w:spacing w:after="0"/>
            </w:pPr>
            <w:r>
              <w:rPr>
                <w:rFonts w:ascii="Arial" w:hAnsi="Arial"/>
                <w:b w:val="0"/>
                <w:i w:val="0"/>
                <w:color w:val="18324A"/>
                <w:sz w:val="14"/>
              </w:rPr>
              <w:t>Compare sites/regions, explore historical patterns and use six-month baseline scenarios for planning.</w:t>
            </w:r>
          </w:p>
        </w:tc>
        <w:tc>
          <w:tcPr>
            <w:tcW w:type="dxa" w:w="3421"/>
            <w:shd w:fill="E3F4FD"/>
            <w:tcBorders>
              <w:top w:val="single" w:sz="5" w:color="C9DAE7"/>
              <w:left w:val="single" w:sz="5" w:color="C9DAE7"/>
              <w:bottom w:val="single" w:sz="5" w:color="C9DAE7"/>
              <w:right w:val="single" w:sz="5" w:color="C9DAE7"/>
            </w:tcBorders>
            <w:tcMar>
              <w:top w:w="80" w:type="dxa"/>
              <w:start w:w="100" w:type="dxa"/>
              <w:bottom w:w="80" w:type="dxa"/>
              <w:end w:w="100" w:type="dxa"/>
            </w:tcMar>
          </w:tcPr>
          <w:p>
            <w:r>
              <w:rPr>
                <w:rFonts w:ascii="Arial" w:hAnsi="Arial"/>
                <w:b/>
                <w:i w:val="0"/>
                <w:color w:val="063B73"/>
                <w:sz w:val="15"/>
              </w:rPr>
              <w:t>Management &amp; administrators</w:t>
            </w:r>
          </w:p>
          <w:p>
            <w:pPr>
              <w:spacing w:after="0"/>
            </w:pPr>
            <w:r>
              <w:rPr>
                <w:rFonts w:ascii="Arial" w:hAnsi="Arial"/>
                <w:b w:val="0"/>
                <w:i w:val="0"/>
                <w:color w:val="18324A"/>
                <w:sz w:val="14"/>
              </w:rPr>
              <w:t>Consume concise KPIs and reports; govern access, source provenance and calculation assumptions.</w:t>
            </w:r>
          </w:p>
        </w:tc>
      </w:tr>
    </w:tbl>
    <w:tbl>
      <w:tblPr>
        <w:tblW w:type="auto" w:w="0"/>
        <w:jc w:val="center"/>
        <w:tblLook w:firstColumn="1" w:firstRow="1" w:lastColumn="0" w:lastRow="0" w:noHBand="0" w:noVBand="1" w:val="04A0"/>
      </w:tblPr>
      <w:tblGrid>
        <w:gridCol w:w="10262"/>
      </w:tblGrid>
      <w:tr>
        <w:tc>
          <w:tcPr>
            <w:tcW w:type="dxa" w:w="10262"/>
            <w:shd w:fill="E8F5F1"/>
            <w:tcBorders>
              <w:top w:val="single" w:sz="8" w:color="14856F"/>
              <w:left w:val="single" w:sz="8" w:color="14856F"/>
              <w:bottom w:val="single" w:sz="8" w:color="14856F"/>
              <w:right w:val="single" w:sz="8" w:color="14856F"/>
            </w:tcBorders>
            <w:tcMar>
              <w:top w:w="75" w:type="dxa"/>
              <w:start w:w="110" w:type="dxa"/>
              <w:bottom w:w="75" w:type="dxa"/>
              <w:end w:w="110" w:type="dxa"/>
            </w:tcMar>
          </w:tcPr>
          <w:p>
            <w:pPr>
              <w:spacing w:after="0"/>
            </w:pPr>
            <w:r>
              <w:rPr>
                <w:rFonts w:ascii="Arial" w:hAnsi="Arial"/>
                <w:b/>
                <w:i w:val="0"/>
                <w:color w:val="0A6555"/>
                <w:sz w:val="15"/>
              </w:rPr>
              <w:t xml:space="preserve">Overall value: </w:t>
            </w:r>
            <w:r>
              <w:rPr>
                <w:rFonts w:ascii="Arial" w:hAnsi="Arial"/>
                <w:b w:val="0"/>
                <w:i w:val="0"/>
                <w:color w:val="0A6555"/>
                <w:sz w:val="15"/>
              </w:rPr>
              <w:t>The system converts fragmented measurement files into traceable wind-resource intelligence for monitoring, comparison, forecasting, reporting and investment or site-planning decisions, while clearly labelling derived estimates and prototype limitations.</w:t>
            </w:r>
          </w:p>
        </w:tc>
      </w:tr>
    </w:tbl>
    <w:p>
      <w:pPr>
        <w:spacing w:after="0"/>
      </w:pPr>
      <w:r>
        <w:br w:type="page"/>
      </w:r>
    </w:p>
    <w:p>
      <w:pPr>
        <w:keepNext/>
        <w:spacing w:before="60" w:after="40"/>
      </w:pPr>
      <w:r>
        <w:rPr>
          <w:rFonts w:ascii="Arial" w:hAnsi="Arial"/>
          <w:b/>
          <w:i w:val="0"/>
          <w:color w:val="087FC3"/>
          <w:sz w:val="24"/>
        </w:rPr>
        <w:t xml:space="preserve">2  </w:t>
      </w:r>
      <w:r>
        <w:rPr>
          <w:rFonts w:ascii="Arial" w:hAnsi="Arial"/>
          <w:b/>
          <w:i w:val="0"/>
          <w:color w:val="063B73"/>
          <w:sz w:val="28"/>
        </w:rPr>
        <w:t>High-Level System Architecture</w:t>
      </w:r>
    </w:p>
    <w:p>
      <w:pPr>
        <w:spacing w:before="0" w:after="50" w:line="240" w:lineRule="auto"/>
      </w:pPr>
      <w:r>
        <w:rPr>
          <w:rFonts w:ascii="Arial" w:hAnsi="Arial"/>
          <w:b w:val="0"/>
          <w:i w:val="0"/>
          <w:color w:val="18324A"/>
          <w:sz w:val="16"/>
        </w:rPr>
        <w:t>Information flows through six implemented layers, from mast and external reference data to a secured web experience. Dashed components show the intended production evolution and are not active runtime services.</w:t>
      </w:r>
    </w:p>
    <w:p>
      <w:pPr>
        <w:jc w:val="center"/>
      </w:pPr>
      <w:r>
        <w:drawing>
          <wp:inline xmlns:a="http://schemas.openxmlformats.org/drawingml/2006/main" xmlns:pic="http://schemas.openxmlformats.org/drawingml/2006/picture">
            <wp:extent cx="6336000" cy="2675200"/>
            <wp:docPr id="2" name="Picture 2"/>
            <wp:cNvGraphicFramePr>
              <a:graphicFrameLocks noChangeAspect="1"/>
            </wp:cNvGraphicFramePr>
            <a:graphic>
              <a:graphicData uri="http://schemas.openxmlformats.org/drawingml/2006/picture">
                <pic:pic>
                  <pic:nvPicPr>
                    <pic:cNvPr id="0" name="overall.png"/>
                    <pic:cNvPicPr/>
                  </pic:nvPicPr>
                  <pic:blipFill>
                    <a:blip r:embed="rId12"/>
                    <a:stretch>
                      <a:fillRect/>
                    </a:stretch>
                  </pic:blipFill>
                  <pic:spPr>
                    <a:xfrm>
                      <a:off x="0" y="0"/>
                      <a:ext cx="6336000" cy="2675200"/>
                    </a:xfrm>
                    <a:prstGeom prst="rect"/>
                  </pic:spPr>
                </pic:pic>
              </a:graphicData>
            </a:graphic>
          </wp:inline>
        </w:drawing>
      </w:r>
    </w:p>
    <w:p>
      <w:pPr>
        <w:keepNext/>
        <w:spacing w:before="40" w:after="40"/>
      </w:pPr>
      <w:r>
        <w:rPr>
          <w:rFonts w:ascii="Arial" w:hAnsi="Arial"/>
          <w:b/>
          <w:i w:val="0"/>
          <w:color w:val="087FC3"/>
          <w:sz w:val="19"/>
        </w:rPr>
        <w:t xml:space="preserve">2.1  </w:t>
      </w:r>
      <w:r>
        <w:rPr>
          <w:rFonts w:ascii="Arial" w:hAnsi="Arial"/>
          <w:b/>
          <w:i w:val="0"/>
          <w:color w:val="087FC3"/>
          <w:sz w:val="20"/>
        </w:rPr>
        <w:t>Turbine and data-acquisition layer</w:t>
      </w:r>
    </w:p>
    <w:tbl>
      <w:tblPr>
        <w:tblW w:type="auto" w:w="0"/>
        <w:jc w:val="center"/>
        <w:tblLayout w:type="fixed"/>
        <w:tblLook w:firstColumn="1" w:firstRow="1" w:lastColumn="0" w:lastRow="0" w:noHBand="0" w:noVBand="1" w:val="04A0"/>
      </w:tblPr>
      <w:tblGrid>
        <w:gridCol w:w="1814"/>
        <w:gridCol w:w="1191"/>
        <w:gridCol w:w="6860"/>
      </w:tblGrid>
      <w:tr>
        <w:trPr>
          <w:tblHeader w:val="true"/>
          <w:cantSplit/>
        </w:trPr>
        <w:tc>
          <w:tcPr>
            <w:tcW w:type="dxa" w:w="3421"/>
            <w:shd w:fill="063B73"/>
            <w:tcBorders>
              <w:top w:val="single" w:sz="5" w:color="063B73"/>
              <w:left w:val="single" w:sz="5" w:color="063B73"/>
              <w:bottom w:val="single" w:sz="5" w:color="063B73"/>
              <w:right w:val="single" w:sz="5" w:color="063B73"/>
            </w:tcBorders>
            <w:tcMar>
              <w:top w:w="65" w:type="dxa"/>
              <w:start w:w="90" w:type="dxa"/>
              <w:bottom w:w="65" w:type="dxa"/>
              <w:end w:w="90" w:type="dxa"/>
            </w:tcMar>
            <w:vAlign w:val="center"/>
          </w:tcPr>
          <w:p>
            <w:r>
              <w:rPr>
                <w:rFonts w:ascii="Arial" w:hAnsi="Arial"/>
                <w:b/>
                <w:i w:val="0"/>
                <w:color w:val="FFFFFF"/>
                <w:sz w:val="14"/>
              </w:rPr>
              <w:t>Source</w:t>
            </w:r>
          </w:p>
        </w:tc>
        <w:tc>
          <w:tcPr>
            <w:tcW w:type="dxa" w:w="3421"/>
            <w:shd w:fill="063B73"/>
            <w:tcBorders>
              <w:top w:val="single" w:sz="5" w:color="063B73"/>
              <w:left w:val="single" w:sz="5" w:color="063B73"/>
              <w:bottom w:val="single" w:sz="5" w:color="063B73"/>
              <w:right w:val="single" w:sz="5" w:color="063B73"/>
            </w:tcBorders>
            <w:tcMar>
              <w:top w:w="65" w:type="dxa"/>
              <w:start w:w="90" w:type="dxa"/>
              <w:bottom w:w="65" w:type="dxa"/>
              <w:end w:w="90" w:type="dxa"/>
            </w:tcMar>
            <w:vAlign w:val="center"/>
          </w:tcPr>
          <w:p>
            <w:r>
              <w:rPr>
                <w:rFonts w:ascii="Arial" w:hAnsi="Arial"/>
                <w:b/>
                <w:i w:val="0"/>
                <w:color w:val="FFFFFF"/>
                <w:sz w:val="14"/>
              </w:rPr>
              <w:t>Status</w:t>
            </w:r>
          </w:p>
        </w:tc>
        <w:tc>
          <w:tcPr>
            <w:tcW w:type="dxa" w:w="3421"/>
            <w:shd w:fill="063B73"/>
            <w:tcBorders>
              <w:top w:val="single" w:sz="5" w:color="063B73"/>
              <w:left w:val="single" w:sz="5" w:color="063B73"/>
              <w:bottom w:val="single" w:sz="5" w:color="063B73"/>
              <w:right w:val="single" w:sz="5" w:color="063B73"/>
            </w:tcBorders>
            <w:tcMar>
              <w:top w:w="65" w:type="dxa"/>
              <w:start w:w="90" w:type="dxa"/>
              <w:bottom w:w="65" w:type="dxa"/>
              <w:end w:w="90" w:type="dxa"/>
            </w:tcMar>
            <w:vAlign w:val="center"/>
          </w:tcPr>
          <w:p>
            <w:r>
              <w:rPr>
                <w:rFonts w:ascii="Arial" w:hAnsi="Arial"/>
                <w:b/>
                <w:i w:val="0"/>
                <w:color w:val="FFFFFF"/>
                <w:sz w:val="14"/>
              </w:rPr>
              <w:t>Acquisition behaviour</w:t>
            </w:r>
          </w:p>
        </w:tc>
      </w:tr>
      <w:tr>
        <w:trPr>
          <w:cantSplit/>
        </w:trPr>
        <w:tc>
          <w:tcPr>
            <w:tcW w:type="dxa" w:w="1814"/>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i w:val="0"/>
                <w:color w:val="14856F"/>
                <w:sz w:val="14"/>
              </w:rPr>
              <w:t>ZETDC mast archive</w:t>
            </w:r>
          </w:p>
        </w:tc>
        <w:tc>
          <w:tcPr>
            <w:tcW w:type="dxa" w:w="1191"/>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Implemented</w:t>
            </w:r>
          </w:p>
        </w:tc>
        <w:tc>
          <w:tcPr>
            <w:tcW w:type="dxa" w:w="6860"/>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ZIP containing exactly eight site folders and 563 CSV files; timestamped source readings are normally 10-minute samples.</w:t>
            </w:r>
          </w:p>
        </w:tc>
      </w:tr>
      <w:tr>
        <w:trPr>
          <w:cantSplit/>
        </w:trPr>
        <w:tc>
          <w:tcPr>
            <w:tcW w:type="dxa" w:w="1814"/>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i w:val="0"/>
                <w:color w:val="14856F"/>
                <w:sz w:val="14"/>
              </w:rPr>
              <w:t>Open-Meteo</w:t>
            </w:r>
          </w:p>
        </w:tc>
        <w:tc>
          <w:tcPr>
            <w:tcW w:type="dxa" w:w="1191"/>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Implemented</w:t>
            </w:r>
          </w:p>
        </w:tc>
        <w:tc>
          <w:tcPr>
            <w:tcW w:type="dxa" w:w="6860"/>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HTTPS REST request for 10 m wind, direction, temperature, humidity and pressure; one-day hourly data cached and refreshed daily.</w:t>
            </w:r>
          </w:p>
        </w:tc>
      </w:tr>
      <w:tr>
        <w:trPr>
          <w:cantSplit/>
        </w:trPr>
        <w:tc>
          <w:tcPr>
            <w:tcW w:type="dxa" w:w="1814"/>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i w:val="0"/>
                <w:color w:val="14856F"/>
                <w:sz w:val="14"/>
              </w:rPr>
              <w:t>GIS sources</w:t>
            </w:r>
          </w:p>
        </w:tc>
        <w:tc>
          <w:tcPr>
            <w:tcW w:type="dxa" w:w="1191"/>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Implemented</w:t>
            </w:r>
          </w:p>
        </w:tc>
        <w:tc>
          <w:tcPr>
            <w:tcW w:type="dxa" w:w="6860"/>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Supplied site coordinates plus local region, district and electricity-infrastructure GeoJSON; OpenStreetMap supplies base tiles.</w:t>
            </w:r>
          </w:p>
        </w:tc>
      </w:tr>
      <w:tr>
        <w:trPr>
          <w:cantSplit/>
        </w:trPr>
        <w:tc>
          <w:tcPr>
            <w:tcW w:type="dxa" w:w="1814"/>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i w:val="0"/>
                <w:color w:val="B84B4B"/>
                <w:sz w:val="14"/>
              </w:rPr>
              <w:t>SCADA / PLC / IoT</w:t>
            </w:r>
          </w:p>
        </w:tc>
        <w:tc>
          <w:tcPr>
            <w:tcW w:type="dxa" w:w="1191"/>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Future</w:t>
            </w:r>
          </w:p>
        </w:tc>
        <w:tc>
          <w:tcPr>
            <w:tcW w:type="dxa" w:w="6860"/>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No MQTT, OPC-UA, Modbus, WebSocket or turbine-controller connector exists in the repository.</w:t>
            </w:r>
          </w:p>
        </w:tc>
      </w:tr>
    </w:tbl>
    <w:p>
      <w:pPr>
        <w:keepNext/>
        <w:spacing w:before="40" w:after="40"/>
      </w:pPr>
      <w:r>
        <w:rPr>
          <w:rFonts w:ascii="Arial" w:hAnsi="Arial"/>
          <w:b/>
          <w:i w:val="0"/>
          <w:color w:val="087FC3"/>
          <w:sz w:val="19"/>
        </w:rPr>
        <w:t xml:space="preserve">2.2  </w:t>
      </w:r>
      <w:r>
        <w:rPr>
          <w:rFonts w:ascii="Arial" w:hAnsi="Arial"/>
          <w:b/>
          <w:i w:val="0"/>
          <w:color w:val="087FC3"/>
          <w:sz w:val="20"/>
        </w:rPr>
        <w:t>Backend and application services</w:t>
      </w:r>
    </w:p>
    <w:tbl>
      <w:tblPr>
        <w:tblW w:type="auto" w:w="0"/>
        <w:jc w:val="center"/>
        <w:tblLayout w:type="fixed"/>
        <w:tblLook w:firstColumn="1" w:firstRow="1" w:lastColumn="0" w:lastRow="0" w:noHBand="0" w:noVBand="1" w:val="04A0"/>
      </w:tblPr>
      <w:tblGrid>
        <w:gridCol w:w="1701"/>
        <w:gridCol w:w="8164"/>
      </w:tblGrid>
      <w:tr>
        <w:trPr>
          <w:tblHeader w:val="true"/>
          <w:cantSplit/>
        </w:trPr>
        <w:tc>
          <w:tcPr>
            <w:tcW w:type="dxa" w:w="5131"/>
            <w:shd w:fill="063B73"/>
            <w:tcBorders>
              <w:top w:val="single" w:sz="5" w:color="063B73"/>
              <w:left w:val="single" w:sz="5" w:color="063B73"/>
              <w:bottom w:val="single" w:sz="5" w:color="063B73"/>
              <w:right w:val="single" w:sz="5" w:color="063B73"/>
            </w:tcBorders>
            <w:tcMar>
              <w:top w:w="65" w:type="dxa"/>
              <w:start w:w="90" w:type="dxa"/>
              <w:bottom w:w="65" w:type="dxa"/>
              <w:end w:w="90" w:type="dxa"/>
            </w:tcMar>
            <w:vAlign w:val="center"/>
          </w:tcPr>
          <w:p>
            <w:r>
              <w:rPr>
                <w:rFonts w:ascii="Arial" w:hAnsi="Arial"/>
                <w:b/>
                <w:i w:val="0"/>
                <w:color w:val="FFFFFF"/>
                <w:sz w:val="14"/>
              </w:rPr>
              <w:t>Area</w:t>
            </w:r>
          </w:p>
        </w:tc>
        <w:tc>
          <w:tcPr>
            <w:tcW w:type="dxa" w:w="5131"/>
            <w:shd w:fill="063B73"/>
            <w:tcBorders>
              <w:top w:val="single" w:sz="5" w:color="063B73"/>
              <w:left w:val="single" w:sz="5" w:color="063B73"/>
              <w:bottom w:val="single" w:sz="5" w:color="063B73"/>
              <w:right w:val="single" w:sz="5" w:color="063B73"/>
            </w:tcBorders>
            <w:tcMar>
              <w:top w:w="65" w:type="dxa"/>
              <w:start w:w="90" w:type="dxa"/>
              <w:bottom w:w="65" w:type="dxa"/>
              <w:end w:w="90" w:type="dxa"/>
            </w:tcMar>
            <w:vAlign w:val="center"/>
          </w:tcPr>
          <w:p>
            <w:r>
              <w:rPr>
                <w:rFonts w:ascii="Arial" w:hAnsi="Arial"/>
                <w:b/>
                <w:i w:val="0"/>
                <w:color w:val="FFFFFF"/>
                <w:sz w:val="14"/>
              </w:rPr>
              <w:t>Current implementation</w:t>
            </w:r>
          </w:p>
        </w:tc>
      </w:tr>
      <w:tr>
        <w:trPr>
          <w:cantSplit/>
        </w:trPr>
        <w:tc>
          <w:tcPr>
            <w:tcW w:type="dxa" w:w="1701"/>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Technology</w:t>
            </w:r>
          </w:p>
        </w:tc>
        <w:tc>
          <w:tcPr>
            <w:tcW w:type="dxa" w:w="8164"/>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Python 3.12 container; FastAPI 0.115.6, Uvicorn, Pydantic and PyJWT. Frontend calls JSON REST endpoints through Vite’s /api proxy.</w:t>
            </w:r>
          </w:p>
        </w:tc>
      </w:tr>
      <w:tr>
        <w:trPr>
          <w:cantSplit/>
        </w:trPr>
        <w:tc>
          <w:tcPr>
            <w:tcW w:type="dxa" w:w="1701"/>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Data processing</w:t>
            </w:r>
          </w:p>
        </w:tc>
        <w:tc>
          <w:tcPr>
            <w:tcW w:type="dxa" w:w="8164"/>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Archive validation, unit conversion (cm/s to m/s), duplicate-timestamp replacement, moist-air density, energy enrichment, per-point daily and monthly aggregation.</w:t>
            </w:r>
          </w:p>
        </w:tc>
      </w:tr>
      <w:tr>
        <w:trPr>
          <w:cantSplit/>
        </w:trPr>
        <w:tc>
          <w:tcPr>
            <w:tcW w:type="dxa" w:w="1701"/>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Business logic</w:t>
            </w:r>
          </w:p>
        </w:tc>
        <w:tc>
          <w:tcPr>
            <w:tcW w:type="dxa" w:w="8164"/>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Fleet/region/province KPIs, data completeness, capacity factor, revenue estimate, sudden derived-power-drop count, history and forecasts.</w:t>
            </w:r>
          </w:p>
        </w:tc>
      </w:tr>
      <w:tr>
        <w:trPr>
          <w:cantSplit/>
        </w:trPr>
        <w:tc>
          <w:tcPr>
            <w:tcW w:type="dxa" w:w="1701"/>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Scheduled service</w:t>
            </w:r>
          </w:p>
        </w:tc>
        <w:tc>
          <w:tcPr>
            <w:tcW w:type="dxa" w:w="8164"/>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An asynchronous startup task attempts one Open-Meteo refresh every 24 hours and falls back to a stale cache if the provider fails.</w:t>
            </w:r>
          </w:p>
        </w:tc>
      </w:tr>
      <w:tr>
        <w:trPr>
          <w:cantSplit/>
        </w:trPr>
        <w:tc>
          <w:tcPr>
            <w:tcW w:type="dxa" w:w="1701"/>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Service limits</w:t>
            </w:r>
          </w:p>
        </w:tc>
        <w:tc>
          <w:tcPr>
            <w:tcW w:type="dxa" w:w="8164"/>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There is no message broker, background job queue, notification service, audit service, model server or SCADA ingestion API.</w:t>
            </w:r>
          </w:p>
        </w:tc>
      </w:tr>
    </w:tbl>
    <w:p>
      <w:pPr>
        <w:keepNext/>
        <w:spacing w:before="40" w:after="40"/>
      </w:pPr>
      <w:r>
        <w:rPr>
          <w:rFonts w:ascii="Arial" w:hAnsi="Arial"/>
          <w:b/>
          <w:i w:val="0"/>
          <w:color w:val="087FC3"/>
          <w:sz w:val="19"/>
        </w:rPr>
        <w:t xml:space="preserve">2.3  </w:t>
      </w:r>
      <w:r>
        <w:rPr>
          <w:rFonts w:ascii="Arial" w:hAnsi="Arial"/>
          <w:b/>
          <w:i w:val="0"/>
          <w:color w:val="087FC3"/>
          <w:sz w:val="20"/>
        </w:rPr>
        <w:t>REST API surface</w:t>
      </w:r>
    </w:p>
    <w:p>
      <w:pPr>
        <w:spacing w:before="0" w:after="50" w:line="240" w:lineRule="auto"/>
      </w:pPr>
      <w:r>
        <w:rPr>
          <w:rFonts w:ascii="Arial" w:hAnsi="Arial"/>
          <w:b w:val="0"/>
          <w:i w:val="0"/>
          <w:color w:val="18324A"/>
          <w:sz w:val="15"/>
        </w:rPr>
        <w:t>Public health: GET /health. Authenticated data: /turbines, /live-wind, /metrics, /readings, /analytics/daily, /history and /predictions. Report configurations: GET/POST /reports. Administrator-only: GET/POST /admin/users and GET/PUT /admin/wind-energy.</w:t>
      </w:r>
    </w:p>
    <w:p>
      <w:pPr>
        <w:spacing w:after="0"/>
      </w:pPr>
      <w:r>
        <w:br w:type="page"/>
      </w:r>
    </w:p>
    <w:p>
      <w:pPr>
        <w:keepNext/>
        <w:spacing w:before="60" w:after="40"/>
      </w:pPr>
      <w:r>
        <w:rPr>
          <w:rFonts w:ascii="Arial" w:hAnsi="Arial"/>
          <w:b/>
          <w:i w:val="0"/>
          <w:color w:val="087FC3"/>
          <w:sz w:val="24"/>
        </w:rPr>
        <w:t xml:space="preserve">3  </w:t>
      </w:r>
      <w:r>
        <w:rPr>
          <w:rFonts w:ascii="Arial" w:hAnsi="Arial"/>
          <w:b/>
          <w:i w:val="0"/>
          <w:color w:val="063B73"/>
          <w:sz w:val="28"/>
        </w:rPr>
        <w:t>Data, Integration and Frontend Architecture</w:t>
      </w:r>
    </w:p>
    <w:p>
      <w:pPr>
        <w:jc w:val="center"/>
      </w:pPr>
      <w:r>
        <w:drawing>
          <wp:inline xmlns:a="http://schemas.openxmlformats.org/drawingml/2006/main" xmlns:pic="http://schemas.openxmlformats.org/drawingml/2006/picture">
            <wp:extent cx="6336000" cy="2534400"/>
            <wp:docPr id="3" name="Picture 3"/>
            <wp:cNvGraphicFramePr>
              <a:graphicFrameLocks noChangeAspect="1"/>
            </wp:cNvGraphicFramePr>
            <a:graphic>
              <a:graphicData uri="http://schemas.openxmlformats.org/drawingml/2006/picture">
                <pic:pic>
                  <pic:nvPicPr>
                    <pic:cNvPr id="0" name="dataflow.png"/>
                    <pic:cNvPicPr/>
                  </pic:nvPicPr>
                  <pic:blipFill>
                    <a:blip r:embed="rId13"/>
                    <a:stretch>
                      <a:fillRect/>
                    </a:stretch>
                  </pic:blipFill>
                  <pic:spPr>
                    <a:xfrm>
                      <a:off x="0" y="0"/>
                      <a:ext cx="6336000" cy="2534400"/>
                    </a:xfrm>
                    <a:prstGeom prst="rect"/>
                  </pic:spPr>
                </pic:pic>
              </a:graphicData>
            </a:graphic>
          </wp:inline>
        </w:drawing>
      </w:r>
    </w:p>
    <w:p>
      <w:pPr>
        <w:keepNext/>
        <w:spacing w:before="40" w:after="40"/>
      </w:pPr>
      <w:r>
        <w:rPr>
          <w:rFonts w:ascii="Arial" w:hAnsi="Arial"/>
          <w:b/>
          <w:i w:val="0"/>
          <w:color w:val="087FC3"/>
          <w:sz w:val="19"/>
        </w:rPr>
        <w:t xml:space="preserve">3.1  </w:t>
      </w:r>
      <w:r>
        <w:rPr>
          <w:rFonts w:ascii="Arial" w:hAnsi="Arial"/>
          <w:b/>
          <w:i w:val="0"/>
          <w:color w:val="087FC3"/>
          <w:sz w:val="20"/>
        </w:rPr>
        <w:t>Operational and historical data architecture</w:t>
      </w:r>
    </w:p>
    <w:tbl>
      <w:tblPr>
        <w:tblW w:type="auto" w:w="0"/>
        <w:jc w:val="center"/>
        <w:tblLayout w:type="fixed"/>
        <w:tblLook w:firstColumn="1" w:firstRow="1" w:lastColumn="0" w:lastRow="0" w:noHBand="0" w:noVBand="1" w:val="04A0"/>
      </w:tblPr>
      <w:tblGrid>
        <w:gridCol w:w="1757"/>
        <w:gridCol w:w="8107"/>
      </w:tblGrid>
      <w:tr>
        <w:trPr>
          <w:tblHeader w:val="true"/>
          <w:cantSplit/>
        </w:trPr>
        <w:tc>
          <w:tcPr>
            <w:tcW w:type="dxa" w:w="5131"/>
            <w:shd w:fill="063B73"/>
            <w:tcBorders>
              <w:top w:val="single" w:sz="5" w:color="063B73"/>
              <w:left w:val="single" w:sz="5" w:color="063B73"/>
              <w:bottom w:val="single" w:sz="5" w:color="063B73"/>
              <w:right w:val="single" w:sz="5" w:color="063B73"/>
            </w:tcBorders>
            <w:tcMar>
              <w:top w:w="65" w:type="dxa"/>
              <w:start w:w="90" w:type="dxa"/>
              <w:bottom w:w="65" w:type="dxa"/>
              <w:end w:w="90" w:type="dxa"/>
            </w:tcMar>
            <w:vAlign w:val="center"/>
          </w:tcPr>
          <w:p>
            <w:r>
              <w:rPr>
                <w:rFonts w:ascii="Arial" w:hAnsi="Arial"/>
                <w:b/>
                <w:i w:val="0"/>
                <w:color w:val="FFFFFF"/>
                <w:sz w:val="14"/>
              </w:rPr>
              <w:t>Domain</w:t>
            </w:r>
          </w:p>
        </w:tc>
        <w:tc>
          <w:tcPr>
            <w:tcW w:type="dxa" w:w="5131"/>
            <w:shd w:fill="063B73"/>
            <w:tcBorders>
              <w:top w:val="single" w:sz="5" w:color="063B73"/>
              <w:left w:val="single" w:sz="5" w:color="063B73"/>
              <w:bottom w:val="single" w:sz="5" w:color="063B73"/>
              <w:right w:val="single" w:sz="5" w:color="063B73"/>
            </w:tcBorders>
            <w:tcMar>
              <w:top w:w="65" w:type="dxa"/>
              <w:start w:w="90" w:type="dxa"/>
              <w:bottom w:w="65" w:type="dxa"/>
              <w:end w:w="90" w:type="dxa"/>
            </w:tcMar>
            <w:vAlign w:val="center"/>
          </w:tcPr>
          <w:p>
            <w:r>
              <w:rPr>
                <w:rFonts w:ascii="Arial" w:hAnsi="Arial"/>
                <w:b/>
                <w:i w:val="0"/>
                <w:color w:val="FFFFFF"/>
                <w:sz w:val="14"/>
              </w:rPr>
              <w:t>Design and current behaviour</w:t>
            </w:r>
          </w:p>
        </w:tc>
      </w:tr>
      <w:tr>
        <w:trPr>
          <w:cantSplit/>
        </w:trPr>
        <w:tc>
          <w:tcPr>
            <w:tcW w:type="dxa" w:w="1757"/>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Wind-point master</w:t>
            </w:r>
          </w:p>
        </w:tc>
        <w:tc>
          <w:tcPr>
            <w:tcW w:type="dxa" w:w="8107"/>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8 point identities, folders/logger IDs, coordinates, province/locality, assumed 2.5 MW assessment capacity, record coverage and status.</w:t>
            </w:r>
          </w:p>
        </w:tc>
      </w:tr>
      <w:tr>
        <w:trPr>
          <w:cantSplit/>
        </w:trPr>
        <w:tc>
          <w:tcPr>
            <w:tcW w:type="dxa" w:w="1757"/>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Telemetry</w:t>
            </w:r>
          </w:p>
        </w:tc>
        <w:tc>
          <w:tcPr>
            <w:tcW w:type="dxa" w:w="8107"/>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Wind speed/min/max/direction, temperature, humidity and pressure; derived density, power, energy, revenue, availability, capacity factor and quality.</w:t>
            </w:r>
          </w:p>
        </w:tc>
      </w:tr>
      <w:tr>
        <w:trPr>
          <w:cantSplit/>
        </w:trPr>
        <w:tc>
          <w:tcPr>
            <w:tcW w:type="dxa" w:w="1757"/>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Runtime storage</w:t>
            </w:r>
          </w:p>
        </w:tc>
        <w:tc>
          <w:tcPr>
            <w:tcW w:type="dxa" w:w="8107"/>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wind_points.json.gz is loaded into process memory at API startup; Open-Meteo and formula settings are JSON files. User additions and saved reports exist only in memory.</w:t>
            </w:r>
          </w:p>
        </w:tc>
      </w:tr>
      <w:tr>
        <w:trPr>
          <w:cantSplit/>
        </w:trPr>
        <w:tc>
          <w:tcPr>
            <w:tcW w:type="dxa" w:w="1757"/>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Historical access</w:t>
            </w:r>
          </w:p>
        </w:tc>
        <w:tc>
          <w:tcPr>
            <w:tcW w:type="dxa" w:w="8107"/>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Cached daily summaries serve up to 90 latest days per point; monthly history covers the full imported archive with point and day drill-down.</w:t>
            </w:r>
          </w:p>
        </w:tc>
      </w:tr>
      <w:tr>
        <w:trPr>
          <w:cantSplit/>
        </w:trPr>
        <w:tc>
          <w:tcPr>
            <w:tcW w:type="dxa" w:w="1757"/>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Provisioned database</w:t>
            </w:r>
          </w:p>
        </w:tc>
        <w:tc>
          <w:tcPr>
            <w:tcW w:type="dxa" w:w="8107"/>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Docker Compose starts PostgreSQL/TimescaleDB. Migration 001 defines provinces, turbines, readings hypertable, predictions, users and reports.</w:t>
            </w:r>
          </w:p>
        </w:tc>
      </w:tr>
      <w:tr>
        <w:trPr>
          <w:cantSplit/>
        </w:trPr>
        <w:tc>
          <w:tcPr>
            <w:tcW w:type="dxa" w:w="1757"/>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Critical distinction</w:t>
            </w:r>
          </w:p>
        </w:tc>
        <w:tc>
          <w:tcPr>
            <w:tcW w:type="dxa" w:w="8107"/>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No database client/ORM is installed and the FastAPI runtime does not use DATABASE_URL; the provisioned schema is a target, not active persistence.</w:t>
            </w:r>
          </w:p>
        </w:tc>
      </w:tr>
    </w:tbl>
    <w:p>
      <w:pPr>
        <w:keepNext/>
        <w:spacing w:before="40" w:after="40"/>
      </w:pPr>
      <w:r>
        <w:rPr>
          <w:rFonts w:ascii="Arial" w:hAnsi="Arial"/>
          <w:b/>
          <w:i w:val="0"/>
          <w:color w:val="087FC3"/>
          <w:sz w:val="19"/>
        </w:rPr>
        <w:t xml:space="preserve">3.2  </w:t>
      </w:r>
      <w:r>
        <w:rPr>
          <w:rFonts w:ascii="Arial" w:hAnsi="Arial"/>
          <w:b/>
          <w:i w:val="0"/>
          <w:color w:val="087FC3"/>
          <w:sz w:val="20"/>
        </w:rPr>
        <w:t>Frontend, reporting and mapping</w:t>
      </w:r>
    </w:p>
    <w:tbl>
      <w:tblPr>
        <w:tblW w:type="auto" w:w="0"/>
        <w:jc w:val="center"/>
        <w:tblLook w:firstColumn="1" w:firstRow="1" w:lastColumn="0" w:lastRow="0" w:noHBand="0" w:noVBand="1" w:val="04A0"/>
      </w:tblPr>
      <w:tblGrid>
        <w:gridCol w:w="5131"/>
        <w:gridCol w:w="5131"/>
      </w:tblGrid>
      <w:tr>
        <w:tc>
          <w:tcPr>
            <w:tcW w:type="dxa" w:w="5131"/>
            <w:tcBorders>
              <w:top w:val="single" w:sz="5" w:color="C9DAE7"/>
              <w:left w:val="single" w:sz="5" w:color="C9DAE7"/>
              <w:bottom w:val="single" w:sz="5" w:color="C9DAE7"/>
              <w:right w:val="single" w:sz="5" w:color="C9DAE7"/>
            </w:tcBorders>
            <w:tcMar>
              <w:top w:w="85" w:type="dxa"/>
              <w:start w:w="115" w:type="dxa"/>
              <w:bottom w:w="85" w:type="dxa"/>
              <w:end w:w="115" w:type="dxa"/>
            </w:tcMar>
            <w:shd w:fill="E3F4FD"/>
          </w:tcPr>
          <w:p>
            <w:r>
              <w:rPr>
                <w:rFonts w:ascii="Arial" w:hAnsi="Arial"/>
                <w:b/>
                <w:i w:val="0"/>
                <w:color w:val="063B73"/>
                <w:sz w:val="16"/>
              </w:rPr>
              <w:t>Frontend architecture</w:t>
            </w:r>
          </w:p>
          <w:p>
            <w:pPr>
              <w:pStyle w:val="ListBullet"/>
              <w:spacing w:after="20"/>
            </w:pPr>
            <w:r>
              <w:rPr>
                <w:rFonts w:ascii="Arial" w:hAnsi="Arial"/>
                <w:b w:val="0"/>
                <w:i w:val="0"/>
                <w:color w:val="18324A"/>
                <w:sz w:val="14"/>
              </w:rPr>
              <w:t>React 18 + TypeScript + Vite 6; React Router routes overview, point detail, reports, analytics, compare, predictions, history and admin.</w:t>
            </w:r>
          </w:p>
          <w:p>
            <w:pPr>
              <w:pStyle w:val="ListBullet"/>
              <w:spacing w:after="20"/>
            </w:pPr>
            <w:r>
              <w:rPr>
                <w:rFonts w:ascii="Arial" w:hAnsi="Arial"/>
                <w:b w:val="0"/>
                <w:i w:val="0"/>
                <w:color w:val="18324A"/>
                <w:sz w:val="14"/>
              </w:rPr>
              <w:t>Recharts renders line, area, bar and comparison visualisations; the data client caches identical GET requests for 60 seconds.</w:t>
            </w:r>
          </w:p>
          <w:p>
            <w:pPr>
              <w:pStyle w:val="ListBullet"/>
              <w:spacing w:after="20"/>
            </w:pPr>
            <w:r>
              <w:rPr>
                <w:rFonts w:ascii="Arial" w:hAnsi="Arial"/>
                <w:b w:val="0"/>
                <w:i w:val="0"/>
                <w:color w:val="18324A"/>
                <w:sz w:val="14"/>
              </w:rPr>
              <w:t>Reports filter by data source, ZETDC region, province, wind point and latest 1/7/30/90 days; source and derived measures are labelled.</w:t>
            </w:r>
          </w:p>
        </w:tc>
        <w:tc>
          <w:tcPr>
            <w:tcW w:type="dxa" w:w="5131"/>
            <w:tcBorders>
              <w:top w:val="single" w:sz="5" w:color="C9DAE7"/>
              <w:left w:val="single" w:sz="5" w:color="C9DAE7"/>
              <w:bottom w:val="single" w:sz="5" w:color="C9DAE7"/>
              <w:right w:val="single" w:sz="5" w:color="C9DAE7"/>
            </w:tcBorders>
            <w:tcMar>
              <w:top w:w="85" w:type="dxa"/>
              <w:start w:w="115" w:type="dxa"/>
              <w:bottom w:w="85" w:type="dxa"/>
              <w:end w:w="115" w:type="dxa"/>
            </w:tcMar>
            <w:shd w:fill="E8F5F1"/>
          </w:tcPr>
          <w:p>
            <w:r>
              <w:rPr>
                <w:rFonts w:ascii="Arial" w:hAnsi="Arial"/>
                <w:b/>
                <w:i w:val="0"/>
                <w:color w:val="063B73"/>
                <w:sz w:val="16"/>
              </w:rPr>
              <w:t>Geographic architecture</w:t>
            </w:r>
          </w:p>
          <w:p>
            <w:pPr>
              <w:pStyle w:val="ListBullet"/>
              <w:spacing w:after="20"/>
            </w:pPr>
            <w:r>
              <w:rPr>
                <w:rFonts w:ascii="Arial" w:hAnsi="Arial"/>
                <w:b w:val="0"/>
                <w:i w:val="0"/>
                <w:color w:val="18324A"/>
                <w:sz w:val="14"/>
              </w:rPr>
              <w:t>Leaflet renders OpenStreetMap tiles and local ZETDC region boundaries; markers join directly to point IDs and coordinates.</w:t>
            </w:r>
          </w:p>
          <w:p>
            <w:pPr>
              <w:pStyle w:val="ListBullet"/>
              <w:spacing w:after="20"/>
            </w:pPr>
            <w:r>
              <w:rPr>
                <w:rFonts w:ascii="Arial" w:hAnsi="Arial"/>
                <w:b w:val="0"/>
                <w:i w:val="0"/>
                <w:color w:val="18324A"/>
                <w:sz w:val="14"/>
              </w:rPr>
              <w:t>Server-side point-in-polygon logic assigns each site to authoritative region and district GeoJSON features.</w:t>
            </w:r>
          </w:p>
          <w:p>
            <w:pPr>
              <w:pStyle w:val="ListBullet"/>
              <w:spacing w:after="20"/>
            </w:pPr>
            <w:r>
              <w:rPr>
                <w:rFonts w:ascii="Arial" w:hAnsi="Arial"/>
                <w:b w:val="0"/>
                <w:i w:val="0"/>
                <w:color w:val="18324A"/>
                <w:sz w:val="14"/>
              </w:rPr>
              <w:t>A local grid GeoJSON overlay shows stations, transformers, overhead lines and cables and calculates nearest-asset distances in the browser.</w:t>
            </w:r>
          </w:p>
        </w:tc>
      </w:tr>
    </w:tbl>
    <w:p>
      <w:pPr>
        <w:keepNext/>
        <w:spacing w:before="40" w:after="40"/>
      </w:pPr>
      <w:r>
        <w:rPr>
          <w:rFonts w:ascii="Arial" w:hAnsi="Arial"/>
          <w:b/>
          <w:i w:val="0"/>
          <w:color w:val="087FC3"/>
          <w:sz w:val="19"/>
        </w:rPr>
        <w:t xml:space="preserve">3.3  </w:t>
      </w:r>
      <w:r>
        <w:rPr>
          <w:rFonts w:ascii="Arial" w:hAnsi="Arial"/>
          <w:b/>
          <w:i w:val="0"/>
          <w:color w:val="087FC3"/>
          <w:sz w:val="20"/>
        </w:rPr>
        <w:t>Reports and outputs</w:t>
      </w:r>
    </w:p>
    <w:p>
      <w:pPr>
        <w:spacing w:before="0" w:after="50" w:line="240" w:lineRule="auto"/>
      </w:pPr>
      <w:r>
        <w:rPr>
          <w:rFonts w:ascii="Arial" w:hAnsi="Arial"/>
          <w:b w:val="0"/>
          <w:i w:val="0"/>
          <w:color w:val="18324A"/>
          <w:sz w:val="15"/>
        </w:rPr>
        <w:t>Implemented report groups are Measured Wind Summary, Environmental Summary, Derived Assessment Measures and Analysis Library. Advanced analytics adds wind/resource ranking, wind-to-power assessment, environmental conditions, estimated energy/revenue, data quality and source coverage. The comparison workspace supports point-versus-point and region-versus-region. History provides month and day registers. Exports include CSV and JSON forecasts, CSV analytics/comparisons, Excel-compatible historical workbooks, browser print/PDF, clipboard, email and operating-system share actions.</w:t>
      </w:r>
    </w:p>
    <w:p>
      <w:pPr>
        <w:spacing w:after="0"/>
      </w:pPr>
      <w:r>
        <w:br w:type="page"/>
      </w:r>
    </w:p>
    <w:p>
      <w:pPr>
        <w:keepNext/>
        <w:spacing w:before="60" w:after="40"/>
      </w:pPr>
      <w:r>
        <w:rPr>
          <w:rFonts w:ascii="Arial" w:hAnsi="Arial"/>
          <w:b/>
          <w:i w:val="0"/>
          <w:color w:val="087FC3"/>
          <w:sz w:val="24"/>
        </w:rPr>
        <w:t xml:space="preserve">4  </w:t>
      </w:r>
      <w:r>
        <w:rPr>
          <w:rFonts w:ascii="Arial" w:hAnsi="Arial"/>
          <w:b/>
          <w:i w:val="0"/>
          <w:color w:val="063B73"/>
          <w:sz w:val="28"/>
        </w:rPr>
        <w:t>AI, Machine Learning and Predictive Architecture</w:t>
      </w:r>
    </w:p>
    <w:tbl>
      <w:tblPr>
        <w:tblW w:type="auto" w:w="0"/>
        <w:jc w:val="center"/>
        <w:tblLook w:firstColumn="1" w:firstRow="1" w:lastColumn="0" w:lastRow="0" w:noHBand="0" w:noVBand="1" w:val="04A0"/>
      </w:tblPr>
      <w:tblGrid>
        <w:gridCol w:w="10262"/>
      </w:tblGrid>
      <w:tr>
        <w:tc>
          <w:tcPr>
            <w:tcW w:type="dxa" w:w="10262"/>
            <w:shd w:fill="FFF7D8"/>
            <w:tcBorders>
              <w:top w:val="single" w:sz="8" w:color="D49E16"/>
              <w:left w:val="single" w:sz="8" w:color="D49E16"/>
              <w:bottom w:val="single" w:sz="8" w:color="D49E16"/>
              <w:right w:val="single" w:sz="8" w:color="D49E16"/>
            </w:tcBorders>
            <w:tcMar>
              <w:top w:w="75" w:type="dxa"/>
              <w:start w:w="110" w:type="dxa"/>
              <w:bottom w:w="75" w:type="dxa"/>
              <w:end w:w="110" w:type="dxa"/>
            </w:tcMar>
          </w:tcPr>
          <w:p>
            <w:pPr>
              <w:spacing w:after="0"/>
            </w:pPr>
            <w:r>
              <w:rPr>
                <w:rFonts w:ascii="Arial" w:hAnsi="Arial"/>
                <w:b/>
                <w:i w:val="0"/>
                <w:color w:val="735C00"/>
                <w:sz w:val="15"/>
              </w:rPr>
              <w:t xml:space="preserve">Implementation status: </w:t>
            </w:r>
            <w:r>
              <w:rPr>
                <w:rFonts w:ascii="Arial" w:hAnsi="Arial"/>
                <w:b w:val="0"/>
                <w:i w:val="0"/>
                <w:color w:val="735C00"/>
                <w:sz w:val="15"/>
              </w:rPr>
              <w:t>The runtime contains a deterministic statistical forecast—not a trained AI/ML library. There is no Prophet, ARIMA/SARIMA, Random Forest, XGBoost, LSTM, anomaly model, LLM service, failure-probability model or remaining-useful-life model wired into the application.</w:t>
            </w:r>
          </w:p>
        </w:tc>
      </w:tr>
    </w:tbl>
    <w:p>
      <w:pPr>
        <w:jc w:val="center"/>
      </w:pPr>
      <w:r>
        <w:drawing>
          <wp:inline xmlns:a="http://schemas.openxmlformats.org/drawingml/2006/main" xmlns:pic="http://schemas.openxmlformats.org/drawingml/2006/picture">
            <wp:extent cx="6336000" cy="2675200"/>
            <wp:docPr id="4" name="Picture 4"/>
            <wp:cNvGraphicFramePr>
              <a:graphicFrameLocks noChangeAspect="1"/>
            </wp:cNvGraphicFramePr>
            <a:graphic>
              <a:graphicData uri="http://schemas.openxmlformats.org/drawingml/2006/picture">
                <pic:pic>
                  <pic:nvPicPr>
                    <pic:cNvPr id="0" name="ai.png"/>
                    <pic:cNvPicPr/>
                  </pic:nvPicPr>
                  <pic:blipFill>
                    <a:blip r:embed="rId14"/>
                    <a:stretch>
                      <a:fillRect/>
                    </a:stretch>
                  </pic:blipFill>
                  <pic:spPr>
                    <a:xfrm>
                      <a:off x="0" y="0"/>
                      <a:ext cx="6336000" cy="2675200"/>
                    </a:xfrm>
                    <a:prstGeom prst="rect"/>
                  </pic:spPr>
                </pic:pic>
              </a:graphicData>
            </a:graphic>
          </wp:inline>
        </w:drawing>
      </w:r>
    </w:p>
    <w:p>
      <w:pPr>
        <w:keepNext/>
        <w:spacing w:before="40" w:after="40"/>
      </w:pPr>
      <w:r>
        <w:rPr>
          <w:rFonts w:ascii="Arial" w:hAnsi="Arial"/>
          <w:b/>
          <w:i w:val="0"/>
          <w:color w:val="087FC3"/>
          <w:sz w:val="19"/>
        </w:rPr>
        <w:t xml:space="preserve">4.1  </w:t>
      </w:r>
      <w:r>
        <w:rPr>
          <w:rFonts w:ascii="Arial" w:hAnsi="Arial"/>
          <w:b/>
          <w:i w:val="0"/>
          <w:color w:val="087FC3"/>
          <w:sz w:val="20"/>
        </w:rPr>
        <w:t>Implemented prediction pipeline</w:t>
      </w:r>
    </w:p>
    <w:tbl>
      <w:tblPr>
        <w:tblW w:type="auto" w:w="0"/>
        <w:jc w:val="center"/>
        <w:tblLayout w:type="fixed"/>
        <w:tblLook w:firstColumn="1" w:firstRow="1" w:lastColumn="0" w:lastRow="0" w:noHBand="0" w:noVBand="1" w:val="04A0"/>
      </w:tblPr>
      <w:tblGrid>
        <w:gridCol w:w="1587"/>
        <w:gridCol w:w="8277"/>
      </w:tblGrid>
      <w:tr>
        <w:trPr>
          <w:tblHeader w:val="true"/>
          <w:cantSplit/>
        </w:trPr>
        <w:tc>
          <w:tcPr>
            <w:tcW w:type="dxa" w:w="5131"/>
            <w:shd w:fill="063B73"/>
            <w:tcBorders>
              <w:top w:val="single" w:sz="5" w:color="063B73"/>
              <w:left w:val="single" w:sz="5" w:color="063B73"/>
              <w:bottom w:val="single" w:sz="5" w:color="063B73"/>
              <w:right w:val="single" w:sz="5" w:color="063B73"/>
            </w:tcBorders>
            <w:tcMar>
              <w:top w:w="65" w:type="dxa"/>
              <w:start w:w="90" w:type="dxa"/>
              <w:bottom w:w="65" w:type="dxa"/>
              <w:end w:w="90" w:type="dxa"/>
            </w:tcMar>
            <w:vAlign w:val="center"/>
          </w:tcPr>
          <w:p>
            <w:r>
              <w:rPr>
                <w:rFonts w:ascii="Arial" w:hAnsi="Arial"/>
                <w:b/>
                <w:i w:val="0"/>
                <w:color w:val="FFFFFF"/>
                <w:sz w:val="14"/>
              </w:rPr>
              <w:t>Stage</w:t>
            </w:r>
          </w:p>
        </w:tc>
        <w:tc>
          <w:tcPr>
            <w:tcW w:type="dxa" w:w="5131"/>
            <w:shd w:fill="063B73"/>
            <w:tcBorders>
              <w:top w:val="single" w:sz="5" w:color="063B73"/>
              <w:left w:val="single" w:sz="5" w:color="063B73"/>
              <w:bottom w:val="single" w:sz="5" w:color="063B73"/>
              <w:right w:val="single" w:sz="5" w:color="063B73"/>
            </w:tcBorders>
            <w:tcMar>
              <w:top w:w="65" w:type="dxa"/>
              <w:start w:w="90" w:type="dxa"/>
              <w:bottom w:w="65" w:type="dxa"/>
              <w:end w:w="90" w:type="dxa"/>
            </w:tcMar>
            <w:vAlign w:val="center"/>
          </w:tcPr>
          <w:p>
            <w:r>
              <w:rPr>
                <w:rFonts w:ascii="Arial" w:hAnsi="Arial"/>
                <w:b/>
                <w:i w:val="0"/>
                <w:color w:val="FFFFFF"/>
                <w:sz w:val="14"/>
              </w:rPr>
              <w:t>Technical behaviour</w:t>
            </w:r>
          </w:p>
        </w:tc>
      </w:tr>
      <w:tr>
        <w:trPr>
          <w:cantSplit/>
        </w:trPr>
        <w:tc>
          <w:tcPr>
            <w:tcW w:type="dxa" w:w="1587"/>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Inputs</w:t>
            </w:r>
          </w:p>
        </w:tc>
        <w:tc>
          <w:tcPr>
            <w:tcW w:type="dxa" w:w="8277"/>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Per-point historical wind and calculated air density. No rotor, vibration, gearbox, generator, fault or maintenance features exist.</w:t>
            </w:r>
          </w:p>
        </w:tc>
      </w:tr>
      <w:tr>
        <w:trPr>
          <w:cantSplit/>
        </w:trPr>
        <w:tc>
          <w:tcPr>
            <w:tcW w:type="dxa" w:w="1587"/>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Model</w:t>
            </w:r>
          </w:p>
        </w:tc>
        <w:tc>
          <w:tcPr>
            <w:tcW w:type="dxa" w:w="8277"/>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measured-weekday-baseline-1.0: daily averages; most recent 90 days; weekday means; 65% weekday adjustment; capped recent trend.</w:t>
            </w:r>
          </w:p>
        </w:tc>
      </w:tr>
      <w:tr>
        <w:trPr>
          <w:cantSplit/>
        </w:trPr>
        <w:tc>
          <w:tcPr>
            <w:tcW w:type="dxa" w:w="1587"/>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Outputs</w:t>
            </w:r>
          </w:p>
        </w:tc>
        <w:tc>
          <w:tcPr>
            <w:tcW w:type="dxa" w:w="8277"/>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Daily wind, air density, estimated power and energy for fleet and each point; API/UI limit is 1–180 days (six months).</w:t>
            </w:r>
          </w:p>
        </w:tc>
      </w:tr>
      <w:tr>
        <w:trPr>
          <w:cantSplit/>
        </w:trPr>
        <w:tc>
          <w:tcPr>
            <w:tcW w:type="dxa" w:w="1587"/>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Uncertainty</w:t>
            </w:r>
          </w:p>
        </w:tc>
        <w:tc>
          <w:tcPr>
            <w:tcW w:type="dxa" w:w="8277"/>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Planning half-width is the maximum of 0.25 m/s, validation MAE and 55% of recent standard deviation, multiplied by 1.64. It is not a calibrated probabilistic interval.</w:t>
            </w:r>
          </w:p>
        </w:tc>
      </w:tr>
      <w:tr>
        <w:trPr>
          <w:cantSplit/>
        </w:trPr>
        <w:tc>
          <w:tcPr>
            <w:tcW w:type="dxa" w:w="1587"/>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Validation</w:t>
            </w:r>
          </w:p>
        </w:tc>
        <w:tc>
          <w:tcPr>
            <w:tcW w:type="dxa" w:w="8277"/>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Last 14 daily observations are held out and compared with training weekday means; the displayed metric is wind-speed MAE. RMSE, MAPE and R² are not implemented.</w:t>
            </w:r>
          </w:p>
        </w:tc>
      </w:tr>
      <w:tr>
        <w:trPr>
          <w:cantSplit/>
        </w:trPr>
        <w:tc>
          <w:tcPr>
            <w:tcW w:type="dxa" w:w="1587"/>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Energy model</w:t>
            </w:r>
          </w:p>
        </w:tc>
        <w:tc>
          <w:tcPr>
            <w:tcW w:type="dxa" w:w="8277"/>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P = 0.5 × air density × rotor area × wind speed³ × Cp × efficiency, capped to assumed point capacity; energy = kW × interval hours / 1,000.</w:t>
            </w:r>
          </w:p>
        </w:tc>
      </w:tr>
    </w:tbl>
    <w:p>
      <w:pPr>
        <w:keepNext/>
        <w:spacing w:before="40" w:after="40"/>
      </w:pPr>
      <w:r>
        <w:rPr>
          <w:rFonts w:ascii="Arial" w:hAnsi="Arial"/>
          <w:b/>
          <w:i w:val="0"/>
          <w:color w:val="087FC3"/>
          <w:sz w:val="19"/>
        </w:rPr>
        <w:t xml:space="preserve">4.2  </w:t>
      </w:r>
      <w:r>
        <w:rPr>
          <w:rFonts w:ascii="Arial" w:hAnsi="Arial"/>
          <w:b/>
          <w:i w:val="0"/>
          <w:color w:val="087FC3"/>
          <w:sz w:val="20"/>
        </w:rPr>
        <w:t>Forecast horizons and predictive-maintenance roadmap</w:t>
      </w:r>
    </w:p>
    <w:tbl>
      <w:tblPr>
        <w:tblW w:type="auto" w:w="0"/>
        <w:jc w:val="center"/>
        <w:tblLook w:firstColumn="1" w:firstRow="1" w:lastColumn="0" w:lastRow="0" w:noHBand="0" w:noVBand="1" w:val="04A0"/>
      </w:tblPr>
      <w:tblGrid>
        <w:gridCol w:w="3421"/>
        <w:gridCol w:w="3421"/>
        <w:gridCol w:w="3421"/>
      </w:tblGrid>
      <w:tr>
        <w:tc>
          <w:tcPr>
            <w:tcW w:type="dxa" w:w="3421"/>
            <w:shd w:fill="E3F4FD"/>
            <w:tcBorders>
              <w:top w:val="single" w:sz="5" w:color="C9DAE7"/>
              <w:left w:val="single" w:sz="5" w:color="C9DAE7"/>
              <w:bottom w:val="single" w:sz="5" w:color="C9DAE7"/>
              <w:right w:val="single" w:sz="5" w:color="C9DAE7"/>
            </w:tcBorders>
            <w:tcMar>
              <w:top w:w="85" w:type="dxa"/>
              <w:start w:w="100" w:type="dxa"/>
              <w:bottom w:w="85" w:type="dxa"/>
              <w:end w:w="100" w:type="dxa"/>
            </w:tcMar>
          </w:tcPr>
          <w:p>
            <w:r>
              <w:rPr>
                <w:rFonts w:ascii="Arial" w:hAnsi="Arial"/>
                <w:b/>
                <w:i w:val="0"/>
                <w:color w:val="063B73"/>
                <w:sz w:val="15"/>
              </w:rPr>
              <w:t>Short term</w:t>
            </w:r>
          </w:p>
          <w:p>
            <w:pPr>
              <w:spacing w:after="20"/>
            </w:pPr>
            <w:r>
              <w:rPr>
                <w:rFonts w:ascii="Arial" w:hAnsi="Arial"/>
                <w:b/>
                <w:i w:val="0"/>
                <w:color w:val="087FC3"/>
                <w:sz w:val="14"/>
              </w:rPr>
              <w:t>7–30 days</w:t>
            </w:r>
          </w:p>
          <w:p>
            <w:pPr>
              <w:spacing w:after="0"/>
            </w:pPr>
            <w:r>
              <w:rPr>
                <w:rFonts w:ascii="Arial" w:hAnsi="Arial"/>
                <w:b w:val="0"/>
                <w:i w:val="0"/>
                <w:color w:val="18324A"/>
                <w:sz w:val="14"/>
              </w:rPr>
              <w:t>Operational wind and indicative power planning; most defensible current use.</w:t>
            </w:r>
          </w:p>
        </w:tc>
        <w:tc>
          <w:tcPr>
            <w:tcW w:type="dxa" w:w="3421"/>
            <w:shd w:fill="FFF7D8"/>
            <w:tcBorders>
              <w:top w:val="single" w:sz="5" w:color="C9DAE7"/>
              <w:left w:val="single" w:sz="5" w:color="C9DAE7"/>
              <w:bottom w:val="single" w:sz="5" w:color="C9DAE7"/>
              <w:right w:val="single" w:sz="5" w:color="C9DAE7"/>
            </w:tcBorders>
            <w:tcMar>
              <w:top w:w="85" w:type="dxa"/>
              <w:start w:w="100" w:type="dxa"/>
              <w:bottom w:w="85" w:type="dxa"/>
              <w:end w:w="100" w:type="dxa"/>
            </w:tcMar>
          </w:tcPr>
          <w:p>
            <w:r>
              <w:rPr>
                <w:rFonts w:ascii="Arial" w:hAnsi="Arial"/>
                <w:b/>
                <w:i w:val="0"/>
                <w:color w:val="063B73"/>
                <w:sz w:val="15"/>
              </w:rPr>
              <w:t>Medium / long term</w:t>
            </w:r>
          </w:p>
          <w:p>
            <w:pPr>
              <w:spacing w:after="20"/>
            </w:pPr>
            <w:r>
              <w:rPr>
                <w:rFonts w:ascii="Arial" w:hAnsi="Arial"/>
                <w:b/>
                <w:i w:val="0"/>
                <w:color w:val="087FC3"/>
                <w:sz w:val="14"/>
              </w:rPr>
              <w:t>90–180 days</w:t>
            </w:r>
          </w:p>
          <w:p>
            <w:pPr>
              <w:spacing w:after="0"/>
            </w:pPr>
            <w:r>
              <w:rPr>
                <w:rFonts w:ascii="Arial" w:hAnsi="Arial"/>
                <w:b w:val="0"/>
                <w:i w:val="0"/>
                <w:color w:val="18324A"/>
                <w:sz w:val="14"/>
              </w:rPr>
              <w:t>Scenario/trend view only; uncertainty should widen and accuracy must be independently validated.</w:t>
            </w:r>
          </w:p>
        </w:tc>
        <w:tc>
          <w:tcPr>
            <w:tcW w:type="dxa" w:w="3421"/>
            <w:shd w:fill="FFF0F0"/>
            <w:tcBorders>
              <w:top w:val="single" w:sz="5" w:color="C9DAE7"/>
              <w:left w:val="single" w:sz="5" w:color="C9DAE7"/>
              <w:bottom w:val="single" w:sz="5" w:color="C9DAE7"/>
              <w:right w:val="single" w:sz="5" w:color="C9DAE7"/>
            </w:tcBorders>
            <w:tcMar>
              <w:top w:w="85" w:type="dxa"/>
              <w:start w:w="100" w:type="dxa"/>
              <w:bottom w:w="85" w:type="dxa"/>
              <w:end w:w="100" w:type="dxa"/>
            </w:tcMar>
          </w:tcPr>
          <w:p>
            <w:r>
              <w:rPr>
                <w:rFonts w:ascii="Arial" w:hAnsi="Arial"/>
                <w:b/>
                <w:i w:val="0"/>
                <w:color w:val="B84B4B"/>
                <w:sz w:val="15"/>
              </w:rPr>
              <w:t>Predictive maintenance</w:t>
            </w:r>
          </w:p>
          <w:p>
            <w:pPr>
              <w:spacing w:after="20"/>
            </w:pPr>
            <w:r>
              <w:rPr>
                <w:rFonts w:ascii="Arial" w:hAnsi="Arial"/>
                <w:b/>
                <w:i w:val="0"/>
                <w:color w:val="087FC3"/>
                <w:sz w:val="14"/>
              </w:rPr>
              <w:t>Future</w:t>
            </w:r>
          </w:p>
          <w:p>
            <w:pPr>
              <w:spacing w:after="0"/>
            </w:pPr>
            <w:r>
              <w:rPr>
                <w:rFonts w:ascii="Arial" w:hAnsi="Arial"/>
                <w:b w:val="0"/>
                <w:i w:val="0"/>
                <w:color w:val="18324A"/>
                <w:sz w:val="14"/>
              </w:rPr>
              <w:t>Requires validated SCADA condition signals, fault labels and work-order history before RUL, failure risk or anomaly alerts can be claimed.</w:t>
            </w:r>
          </w:p>
        </w:tc>
      </w:tr>
    </w:tbl>
    <w:p>
      <w:pPr>
        <w:spacing w:before="40" w:after="50" w:line="240" w:lineRule="auto"/>
      </w:pPr>
      <w:r>
        <w:rPr>
          <w:rFonts w:ascii="Arial" w:hAnsi="Arial"/>
          <w:b w:val="0"/>
          <w:i w:val="0"/>
          <w:color w:val="18324A"/>
          <w:sz w:val="15"/>
        </w:rPr>
        <w:t>Recommended production ML path: ingest SCADA/weather/maintenance history → establish data-quality and feature pipelines → train forecast and condition models → validate by time-based backtests → store versioned predictions → monitor drift → expose approved risk scores to dashboards, alerts and CMMS. Use MAE/RMSE/MAPE/R² for regression and precision/recall/F1 for labelled failure or anomaly classification.</w:t>
      </w:r>
    </w:p>
    <w:p>
      <w:pPr>
        <w:spacing w:after="0"/>
      </w:pPr>
      <w:r>
        <w:br w:type="page"/>
      </w:r>
    </w:p>
    <w:p>
      <w:pPr>
        <w:keepNext/>
        <w:spacing w:before="60" w:after="40"/>
      </w:pPr>
      <w:r>
        <w:rPr>
          <w:rFonts w:ascii="Arial" w:hAnsi="Arial"/>
          <w:b/>
          <w:i w:val="0"/>
          <w:color w:val="087FC3"/>
          <w:sz w:val="24"/>
        </w:rPr>
        <w:t xml:space="preserve">5  </w:t>
      </w:r>
      <w:r>
        <w:rPr>
          <w:rFonts w:ascii="Arial" w:hAnsi="Arial"/>
          <w:b/>
          <w:i w:val="0"/>
          <w:color w:val="063B73"/>
          <w:sz w:val="28"/>
        </w:rPr>
        <w:t>Integration, Security and Deployment Architecture</w:t>
      </w:r>
    </w:p>
    <w:p>
      <w:pPr>
        <w:jc w:val="center"/>
      </w:pPr>
      <w:r>
        <w:drawing>
          <wp:inline xmlns:a="http://schemas.openxmlformats.org/drawingml/2006/main" xmlns:pic="http://schemas.openxmlformats.org/drawingml/2006/picture">
            <wp:extent cx="6336000" cy="1601600"/>
            <wp:docPr id="5" name="Picture 5"/>
            <wp:cNvGraphicFramePr>
              <a:graphicFrameLocks noChangeAspect="1"/>
            </wp:cNvGraphicFramePr>
            <a:graphic>
              <a:graphicData uri="http://schemas.openxmlformats.org/drawingml/2006/picture">
                <pic:pic>
                  <pic:nvPicPr>
                    <pic:cNvPr id="0" name="deployment.png"/>
                    <pic:cNvPicPr/>
                  </pic:nvPicPr>
                  <pic:blipFill>
                    <a:blip r:embed="rId15"/>
                    <a:stretch>
                      <a:fillRect/>
                    </a:stretch>
                  </pic:blipFill>
                  <pic:spPr>
                    <a:xfrm>
                      <a:off x="0" y="0"/>
                      <a:ext cx="6336000" cy="1601600"/>
                    </a:xfrm>
                    <a:prstGeom prst="rect"/>
                  </pic:spPr>
                </pic:pic>
              </a:graphicData>
            </a:graphic>
          </wp:inline>
        </w:drawing>
      </w:r>
    </w:p>
    <w:p>
      <w:pPr>
        <w:spacing w:before="0" w:after="50" w:line="240" w:lineRule="auto"/>
      </w:pPr>
      <w:r>
        <w:rPr>
          <w:rFonts w:ascii="Arial" w:hAnsi="Arial"/>
          <w:b w:val="0"/>
          <w:i w:val="0"/>
          <w:color w:val="18324A"/>
          <w:sz w:val="15"/>
        </w:rPr>
        <w:t>Local execution uses start-system.sh to create a Python virtual environment, install dependencies and launch Uvicorn plus Vite. Docker Compose defines frontend, backend and TimescaleDB containers. The frontend Dockerfile still runs the Vite development server; no reverse proxy, TLS termination, cloud configuration or CI/CD workflow is present.</w:t>
      </w:r>
    </w:p>
    <w:p>
      <w:pPr>
        <w:keepNext/>
        <w:spacing w:before="40" w:after="40"/>
      </w:pPr>
      <w:r>
        <w:rPr>
          <w:rFonts w:ascii="Arial" w:hAnsi="Arial"/>
          <w:b/>
          <w:i w:val="0"/>
          <w:color w:val="087FC3"/>
          <w:sz w:val="19"/>
        </w:rPr>
        <w:t xml:space="preserve">5.1  </w:t>
      </w:r>
      <w:r>
        <w:rPr>
          <w:rFonts w:ascii="Arial" w:hAnsi="Arial"/>
          <w:b/>
          <w:i w:val="0"/>
          <w:color w:val="087FC3"/>
          <w:sz w:val="20"/>
        </w:rPr>
        <w:t>Integration register</w:t>
      </w:r>
    </w:p>
    <w:tbl>
      <w:tblPr>
        <w:tblW w:type="auto" w:w="0"/>
        <w:jc w:val="center"/>
        <w:tblLayout w:type="fixed"/>
        <w:tblLook w:firstColumn="1" w:firstRow="1" w:lastColumn="0" w:lastRow="0" w:noHBand="0" w:noVBand="1" w:val="04A0"/>
      </w:tblPr>
      <w:tblGrid>
        <w:gridCol w:w="2268"/>
        <w:gridCol w:w="1361"/>
        <w:gridCol w:w="6236"/>
      </w:tblGrid>
      <w:tr>
        <w:trPr>
          <w:tblHeader w:val="true"/>
          <w:cantSplit/>
        </w:trPr>
        <w:tc>
          <w:tcPr>
            <w:tcW w:type="dxa" w:w="3421"/>
            <w:shd w:fill="063B73"/>
            <w:tcBorders>
              <w:top w:val="single" w:sz="5" w:color="063B73"/>
              <w:left w:val="single" w:sz="5" w:color="063B73"/>
              <w:bottom w:val="single" w:sz="5" w:color="063B73"/>
              <w:right w:val="single" w:sz="5" w:color="063B73"/>
            </w:tcBorders>
            <w:tcMar>
              <w:top w:w="65" w:type="dxa"/>
              <w:start w:w="90" w:type="dxa"/>
              <w:bottom w:w="65" w:type="dxa"/>
              <w:end w:w="90" w:type="dxa"/>
            </w:tcMar>
            <w:vAlign w:val="center"/>
          </w:tcPr>
          <w:p>
            <w:r>
              <w:rPr>
                <w:rFonts w:ascii="Arial" w:hAnsi="Arial"/>
                <w:b/>
                <w:i w:val="0"/>
                <w:color w:val="FFFFFF"/>
                <w:sz w:val="14"/>
              </w:rPr>
              <w:t>Integration</w:t>
            </w:r>
          </w:p>
        </w:tc>
        <w:tc>
          <w:tcPr>
            <w:tcW w:type="dxa" w:w="3421"/>
            <w:shd w:fill="063B73"/>
            <w:tcBorders>
              <w:top w:val="single" w:sz="5" w:color="063B73"/>
              <w:left w:val="single" w:sz="5" w:color="063B73"/>
              <w:bottom w:val="single" w:sz="5" w:color="063B73"/>
              <w:right w:val="single" w:sz="5" w:color="063B73"/>
            </w:tcBorders>
            <w:tcMar>
              <w:top w:w="65" w:type="dxa"/>
              <w:start w:w="90" w:type="dxa"/>
              <w:bottom w:w="65" w:type="dxa"/>
              <w:end w:w="90" w:type="dxa"/>
            </w:tcMar>
            <w:vAlign w:val="center"/>
          </w:tcPr>
          <w:p>
            <w:r>
              <w:rPr>
                <w:rFonts w:ascii="Arial" w:hAnsi="Arial"/>
                <w:b/>
                <w:i w:val="0"/>
                <w:color w:val="FFFFFF"/>
                <w:sz w:val="14"/>
              </w:rPr>
              <w:t>Status</w:t>
            </w:r>
          </w:p>
        </w:tc>
        <w:tc>
          <w:tcPr>
            <w:tcW w:type="dxa" w:w="3421"/>
            <w:shd w:fill="063B73"/>
            <w:tcBorders>
              <w:top w:val="single" w:sz="5" w:color="063B73"/>
              <w:left w:val="single" w:sz="5" w:color="063B73"/>
              <w:bottom w:val="single" w:sz="5" w:color="063B73"/>
              <w:right w:val="single" w:sz="5" w:color="063B73"/>
            </w:tcBorders>
            <w:tcMar>
              <w:top w:w="65" w:type="dxa"/>
              <w:start w:w="90" w:type="dxa"/>
              <w:bottom w:w="65" w:type="dxa"/>
              <w:end w:w="90" w:type="dxa"/>
            </w:tcMar>
            <w:vAlign w:val="center"/>
          </w:tcPr>
          <w:p>
            <w:r>
              <w:rPr>
                <w:rFonts w:ascii="Arial" w:hAnsi="Arial"/>
                <w:b/>
                <w:i w:val="0"/>
                <w:color w:val="FFFFFF"/>
                <w:sz w:val="14"/>
              </w:rPr>
              <w:t>Technical note</w:t>
            </w:r>
          </w:p>
        </w:tc>
      </w:tr>
      <w:tr>
        <w:trPr>
          <w:cantSplit/>
        </w:trPr>
        <w:tc>
          <w:tcPr>
            <w:tcW w:type="dxa" w:w="2268"/>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Mast ZIP/CSV import</w:t>
            </w:r>
          </w:p>
        </w:tc>
        <w:tc>
          <w:tcPr>
            <w:tcW w:type="dxa" w:w="1361"/>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Implemented</w:t>
            </w:r>
          </w:p>
        </w:tc>
        <w:tc>
          <w:tcPr>
            <w:tcW w:type="dxa" w:w="6236"/>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Offline/manual import into normalised runtime dataset</w:t>
            </w:r>
          </w:p>
        </w:tc>
      </w:tr>
      <w:tr>
        <w:trPr>
          <w:cantSplit/>
        </w:trPr>
        <w:tc>
          <w:tcPr>
            <w:tcW w:type="dxa" w:w="2268"/>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Open-Meteo weather</w:t>
            </w:r>
          </w:p>
        </w:tc>
        <w:tc>
          <w:tcPr>
            <w:tcW w:type="dxa" w:w="1361"/>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Implemented</w:t>
            </w:r>
          </w:p>
        </w:tc>
        <w:tc>
          <w:tcPr>
            <w:tcW w:type="dxa" w:w="6236"/>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HTTPS REST; daily cached one-day hourly response</w:t>
            </w:r>
          </w:p>
        </w:tc>
      </w:tr>
      <w:tr>
        <w:trPr>
          <w:cantSplit/>
        </w:trPr>
        <w:tc>
          <w:tcPr>
            <w:tcW w:type="dxa" w:w="2268"/>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OpenStreetMap / Leaflet</w:t>
            </w:r>
          </w:p>
        </w:tc>
        <w:tc>
          <w:tcPr>
            <w:tcW w:type="dxa" w:w="1361"/>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Implemented</w:t>
            </w:r>
          </w:p>
        </w:tc>
        <w:tc>
          <w:tcPr>
            <w:tcW w:type="dxa" w:w="6236"/>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Internet tile service; local boundaries and grid layers</w:t>
            </w:r>
          </w:p>
        </w:tc>
      </w:tr>
      <w:tr>
        <w:trPr>
          <w:cantSplit/>
        </w:trPr>
        <w:tc>
          <w:tcPr>
            <w:tcW w:type="dxa" w:w="2268"/>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PostgreSQL/TimescaleDB</w:t>
            </w:r>
          </w:p>
        </w:tc>
        <w:tc>
          <w:tcPr>
            <w:tcW w:type="dxa" w:w="1361"/>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Provisioned</w:t>
            </w:r>
          </w:p>
        </w:tc>
        <w:tc>
          <w:tcPr>
            <w:tcW w:type="dxa" w:w="6236"/>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Container and schema exist; application connection is not implemented</w:t>
            </w:r>
          </w:p>
        </w:tc>
      </w:tr>
      <w:tr>
        <w:trPr>
          <w:cantSplit/>
        </w:trPr>
        <w:tc>
          <w:tcPr>
            <w:tcW w:type="dxa" w:w="2268"/>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ZETDC SSO</w:t>
            </w:r>
          </w:p>
        </w:tc>
        <w:tc>
          <w:tcPr>
            <w:tcW w:type="dxa" w:w="1361"/>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Future</w:t>
            </w:r>
          </w:p>
        </w:tc>
        <w:tc>
          <w:tcPr>
            <w:tcW w:type="dxa" w:w="6236"/>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Documented replacement point is authenticate_ec_number()</w:t>
            </w:r>
          </w:p>
        </w:tc>
      </w:tr>
      <w:tr>
        <w:trPr>
          <w:cantSplit/>
        </w:trPr>
        <w:tc>
          <w:tcPr>
            <w:tcW w:type="dxa" w:w="2268"/>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SCADA / IoT gateways</w:t>
            </w:r>
          </w:p>
        </w:tc>
        <w:tc>
          <w:tcPr>
            <w:tcW w:type="dxa" w:w="1361"/>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Future</w:t>
            </w:r>
          </w:p>
        </w:tc>
        <w:tc>
          <w:tcPr>
            <w:tcW w:type="dxa" w:w="6236"/>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Define secure MQTT/OPC-UA/Modbus or REST ingestion after source assessment</w:t>
            </w:r>
          </w:p>
        </w:tc>
      </w:tr>
      <w:tr>
        <w:trPr>
          <w:cantSplit/>
        </w:trPr>
        <w:tc>
          <w:tcPr>
            <w:tcW w:type="dxa" w:w="2268"/>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CMMS, ERP, email/SMS</w:t>
            </w:r>
          </w:p>
        </w:tc>
        <w:tc>
          <w:tcPr>
            <w:tcW w:type="dxa" w:w="1361"/>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Future</w:t>
            </w:r>
          </w:p>
        </w:tc>
        <w:tc>
          <w:tcPr>
            <w:tcW w:type="dxa" w:w="6236"/>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3"/>
              </w:rPr>
              <w:t>No work-order, enterprise, alert or notification connector exists</w:t>
            </w:r>
          </w:p>
        </w:tc>
      </w:tr>
    </w:tbl>
    <w:p>
      <w:pPr>
        <w:keepNext/>
        <w:spacing w:before="40" w:after="40"/>
      </w:pPr>
      <w:r>
        <w:rPr>
          <w:rFonts w:ascii="Arial" w:hAnsi="Arial"/>
          <w:b/>
          <w:i w:val="0"/>
          <w:color w:val="087FC3"/>
          <w:sz w:val="19"/>
        </w:rPr>
        <w:t xml:space="preserve">5.2  </w:t>
      </w:r>
      <w:r>
        <w:rPr>
          <w:rFonts w:ascii="Arial" w:hAnsi="Arial"/>
          <w:b/>
          <w:i w:val="0"/>
          <w:color w:val="087FC3"/>
          <w:sz w:val="20"/>
        </w:rPr>
        <w:t>Security architecture and production actions</w:t>
      </w:r>
    </w:p>
    <w:tbl>
      <w:tblPr>
        <w:tblW w:type="auto" w:w="0"/>
        <w:jc w:val="center"/>
        <w:tblLayout w:type="fixed"/>
        <w:tblLook w:firstColumn="1" w:firstRow="1" w:lastColumn="0" w:lastRow="0" w:noHBand="0" w:noVBand="1" w:val="04A0"/>
      </w:tblPr>
      <w:tblGrid>
        <w:gridCol w:w="1701"/>
        <w:gridCol w:w="8164"/>
      </w:tblGrid>
      <w:tr>
        <w:trPr>
          <w:tblHeader w:val="true"/>
          <w:cantSplit/>
        </w:trPr>
        <w:tc>
          <w:tcPr>
            <w:tcW w:type="dxa" w:w="5131"/>
            <w:shd w:fill="063B73"/>
            <w:tcBorders>
              <w:top w:val="single" w:sz="5" w:color="063B73"/>
              <w:left w:val="single" w:sz="5" w:color="063B73"/>
              <w:bottom w:val="single" w:sz="5" w:color="063B73"/>
              <w:right w:val="single" w:sz="5" w:color="063B73"/>
            </w:tcBorders>
            <w:tcMar>
              <w:top w:w="65" w:type="dxa"/>
              <w:start w:w="90" w:type="dxa"/>
              <w:bottom w:w="65" w:type="dxa"/>
              <w:end w:w="90" w:type="dxa"/>
            </w:tcMar>
            <w:vAlign w:val="center"/>
          </w:tcPr>
          <w:p>
            <w:r>
              <w:rPr>
                <w:rFonts w:ascii="Arial" w:hAnsi="Arial"/>
                <w:b/>
                <w:i w:val="0"/>
                <w:color w:val="FFFFFF"/>
                <w:sz w:val="14"/>
              </w:rPr>
              <w:t>Control area</w:t>
            </w:r>
          </w:p>
        </w:tc>
        <w:tc>
          <w:tcPr>
            <w:tcW w:type="dxa" w:w="5131"/>
            <w:shd w:fill="063B73"/>
            <w:tcBorders>
              <w:top w:val="single" w:sz="5" w:color="063B73"/>
              <w:left w:val="single" w:sz="5" w:color="063B73"/>
              <w:bottom w:val="single" w:sz="5" w:color="063B73"/>
              <w:right w:val="single" w:sz="5" w:color="063B73"/>
            </w:tcBorders>
            <w:tcMar>
              <w:top w:w="65" w:type="dxa"/>
              <w:start w:w="90" w:type="dxa"/>
              <w:bottom w:w="65" w:type="dxa"/>
              <w:end w:w="90" w:type="dxa"/>
            </w:tcMar>
            <w:vAlign w:val="center"/>
          </w:tcPr>
          <w:p>
            <w:r>
              <w:rPr>
                <w:rFonts w:ascii="Arial" w:hAnsi="Arial"/>
                <w:b/>
                <w:i w:val="0"/>
                <w:color w:val="FFFFFF"/>
                <w:sz w:val="14"/>
              </w:rPr>
              <w:t>Assessment</w:t>
            </w:r>
          </w:p>
        </w:tc>
      </w:tr>
      <w:tr>
        <w:trPr>
          <w:cantSplit/>
        </w:trPr>
        <w:tc>
          <w:tcPr>
            <w:tcW w:type="dxa" w:w="1701"/>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Implemented</w:t>
            </w:r>
          </w:p>
        </w:tc>
        <w:tc>
          <w:tcPr>
            <w:tcW w:type="dxa" w:w="8164"/>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Eight-hour HS256 JWT bearer tokens; authentication dependency on protected APIs; admin authorization guard; Pydantic request validation; localhost-only CORS; constrained numeric formula settings.</w:t>
            </w:r>
          </w:p>
        </w:tc>
      </w:tr>
      <w:tr>
        <w:trPr>
          <w:cantSplit/>
        </w:trPr>
        <w:tc>
          <w:tcPr>
            <w:tcW w:type="dxa" w:w="1701"/>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Prototype limitations</w:t>
            </w:r>
          </w:p>
        </w:tc>
        <w:tc>
          <w:tcPr>
            <w:tcW w:type="dxa" w:w="8164"/>
            <w:shd w:fill="FFFFFF"/>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Hard-coded mock users/passwords; development JWT fallback; browser localStorage token; HTTP development servers; no password hashing, refresh/revocation, audit trail, rate limiting, secrets manager or backup policy.</w:t>
            </w:r>
          </w:p>
        </w:tc>
      </w:tr>
      <w:tr>
        <w:trPr>
          <w:cantSplit/>
        </w:trPr>
        <w:tc>
          <w:tcPr>
            <w:tcW w:type="dxa" w:w="1701"/>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Required for production</w:t>
            </w:r>
          </w:p>
        </w:tc>
        <w:tc>
          <w:tcPr>
            <w:tcW w:type="dxa" w:w="8164"/>
            <w:shd w:fill="F2F7FB"/>
            <w:tcBorders>
              <w:top w:val="single" w:sz="4" w:color="C9DAE7"/>
              <w:left w:val="single" w:sz="4" w:color="C9DAE7"/>
              <w:bottom w:val="single" w:sz="4" w:color="C9DAE7"/>
              <w:right w:val="single" w:sz="4" w:color="C9DAE7"/>
            </w:tcBorders>
            <w:tcMar>
              <w:top w:w="65" w:type="dxa"/>
              <w:start w:w="90" w:type="dxa"/>
              <w:bottom w:w="65" w:type="dxa"/>
              <w:end w:w="90" w:type="dxa"/>
            </w:tcMar>
            <w:vAlign w:val="center"/>
          </w:tcPr>
          <w:p>
            <w:pPr>
              <w:spacing w:after="0"/>
            </w:pPr>
            <w:r>
              <w:rPr>
                <w:rFonts w:ascii="Arial" w:hAnsi="Arial"/>
                <w:b w:val="0"/>
                <w:i w:val="0"/>
                <w:color w:val="18324A"/>
                <w:sz w:val="14"/>
              </w:rPr>
              <w:t>Integrate ZETDC SSO, rotate managed signing keys, enforce HTTPS, define viewer/admin permissions centrally, add audit logging and rate limits, connect durable database storage, encrypt backups and test recovery.</w:t>
            </w:r>
          </w:p>
        </w:tc>
      </w:tr>
    </w:tbl>
    <w:p>
      <w:pPr>
        <w:keepNext/>
        <w:spacing w:before="40" w:after="40"/>
      </w:pPr>
      <w:r>
        <w:rPr>
          <w:rFonts w:ascii="Arial" w:hAnsi="Arial"/>
          <w:b/>
          <w:i w:val="0"/>
          <w:color w:val="087FC3"/>
          <w:sz w:val="19"/>
        </w:rPr>
        <w:t xml:space="preserve">5.3  </w:t>
      </w:r>
      <w:r>
        <w:rPr>
          <w:rFonts w:ascii="Arial" w:hAnsi="Arial"/>
          <w:b/>
          <w:i w:val="0"/>
          <w:color w:val="087FC3"/>
          <w:sz w:val="20"/>
        </w:rPr>
        <w:t>End-to-end system data flow</w:t>
      </w:r>
    </w:p>
    <w:tbl>
      <w:tblPr>
        <w:tblW w:type="auto" w:w="0"/>
        <w:jc w:val="center"/>
        <w:tblLook w:firstColumn="1" w:firstRow="1" w:lastColumn="0" w:lastRow="0" w:noHBand="0" w:noVBand="1" w:val="04A0"/>
      </w:tblPr>
      <w:tblGrid>
        <w:gridCol w:w="10262"/>
      </w:tblGrid>
      <w:tr>
        <w:tc>
          <w:tcPr>
            <w:tcW w:type="dxa" w:w="10262"/>
            <w:shd w:fill="E3F4FD"/>
            <w:tcBorders>
              <w:top w:val="single" w:sz="8" w:color="087FC3"/>
              <w:left w:val="single" w:sz="8" w:color="087FC3"/>
              <w:bottom w:val="single" w:sz="8" w:color="087FC3"/>
              <w:right w:val="single" w:sz="8" w:color="087FC3"/>
            </w:tcBorders>
            <w:tcMar>
              <w:top w:w="75" w:type="dxa"/>
              <w:start w:w="110" w:type="dxa"/>
              <w:bottom w:w="75" w:type="dxa"/>
              <w:end w:w="110" w:type="dxa"/>
            </w:tcMar>
          </w:tcPr>
          <w:p>
            <w:pPr>
              <w:spacing w:after="0"/>
            </w:pPr>
            <w:r>
              <w:rPr>
                <w:rFonts w:ascii="Arial" w:hAnsi="Arial"/>
                <w:b/>
                <w:i w:val="0"/>
                <w:color w:val="063B73"/>
                <w:sz w:val="14"/>
              </w:rPr>
              <w:t xml:space="preserve">Example: </w:t>
            </w:r>
            <w:r>
              <w:rPr>
                <w:rFonts w:ascii="Arial" w:hAnsi="Arial"/>
                <w:b w:val="0"/>
                <w:i w:val="0"/>
                <w:color w:val="063B73"/>
                <w:sz w:val="14"/>
              </w:rPr>
              <w:t>A mast logger row is read from a site CSV → the importer parses its Africa/Harare timestamp, converts wind from cm/s to m/s, calculates completeness and attaches the site coordinates → the normalised record is stored in the compressed dataset → at API startup, air density and configured power/energy/revenue estimates are applied → daily/monthly aggregations and fleet/site KPIs are produced → JWT-protected REST endpoints return the selected source and scope → React renders maps, cards, charts, tables and exports. The current flow does not evaluate turbine faults or issue maintenance alerts.</w:t>
            </w:r>
          </w:p>
        </w:tc>
      </w:tr>
    </w:tbl>
    <w:p>
      <w:pPr>
        <w:keepNext/>
        <w:spacing w:before="40" w:after="40"/>
      </w:pPr>
      <w:r>
        <w:rPr>
          <w:rFonts w:ascii="Arial" w:hAnsi="Arial"/>
          <w:b/>
          <w:i w:val="0"/>
          <w:color w:val="087FC3"/>
          <w:sz w:val="19"/>
        </w:rPr>
        <w:t xml:space="preserve">5.4  </w:t>
      </w:r>
      <w:r>
        <w:rPr>
          <w:rFonts w:ascii="Arial" w:hAnsi="Arial"/>
          <w:b/>
          <w:i w:val="0"/>
          <w:color w:val="087FC3"/>
          <w:sz w:val="20"/>
        </w:rPr>
        <w:t>Technical summary</w:t>
      </w:r>
    </w:p>
    <w:p>
      <w:pPr>
        <w:spacing w:before="0" w:after="50" w:line="240" w:lineRule="auto"/>
      </w:pPr>
      <w:r>
        <w:rPr>
          <w:rFonts w:ascii="Arial" w:hAnsi="Arial"/>
          <w:b w:val="0"/>
          <w:i w:val="0"/>
          <w:color w:val="18324A"/>
          <w:sz w:val="15"/>
        </w:rPr>
        <w:t>The repository is a coherent, transparent wind-assessment prototype with strong source labelling, useful GIS/reporting workflows and an explainable six-month baseline. Production readiness depends on replacing file/in-memory persistence and mock identity, hardening deployment/security, and acquiring real turbine condition, fault and maintenance data before positioning the product as a real-time turbine-monitoring or predictive-maintenance platform.</w:t>
      </w:r>
    </w:p>
    <w:sectPr w:rsidR="00FC693F" w:rsidRPr="0006063C" w:rsidSect="00034616">
      <w:headerReference w:type="default" r:id="rId9"/>
      <w:footerReference w:type="default" r:id="rId10"/>
      <w:pgSz w:w="11906" w:h="16838"/>
      <w:pgMar w:top="709" w:right="822" w:bottom="709" w:left="822"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0758A"/>
        <w:sz w:val="14"/>
      </w:rPr>
      <w:t xml:space="preserve">System Overview &amp; Technical Architecture  •  Version 1.0  •  18 September 2026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102"/>
      <w:gridCol w:w="5102"/>
    </w:tblGrid>
    <w:tr>
      <w:tc>
        <w:tcPr>
          <w:tcW w:type="dxa" w:w="5102"/>
        </w:tcPr>
        <w:p>
          <w:r>
            <w:rPr>
              <w:rFonts w:ascii="Arial" w:hAnsi="Arial"/>
              <w:b/>
              <w:color w:val="063B73"/>
              <w:sz w:val="15"/>
            </w:rPr>
            <w:t>ZETDC  |  Wind Assessment System</w:t>
          </w:r>
        </w:p>
      </w:tc>
      <w:tc>
        <w:tcPr>
          <w:tcW w:type="dxa" w:w="5102"/>
        </w:tcPr>
        <w:p>
          <w:pPr>
            <w:jc w:val="right"/>
          </w:pPr>
          <w:r>
            <w:drawing>
              <wp:inline xmlns:a="http://schemas.openxmlformats.org/drawingml/2006/main" xmlns:pic="http://schemas.openxmlformats.org/drawingml/2006/picture">
                <wp:extent cx="141192" cy="180000"/>
                <wp:docPr id="1" name="Picture 1"/>
                <wp:cNvGraphicFramePr>
                  <a:graphicFrameLocks noChangeAspect="1"/>
                </wp:cNvGraphicFramePr>
                <a:graphic>
                  <a:graphicData uri="http://schemas.openxmlformats.org/drawingml/2006/picture">
                    <pic:pic>
                      <pic:nvPicPr>
                        <pic:cNvPr id="0" name="zesa-logo.png"/>
                        <pic:cNvPicPr/>
                      </pic:nvPicPr>
                      <pic:blipFill>
                        <a:blip r:embed="rId1"/>
                        <a:stretch>
                          <a:fillRect/>
                        </a:stretch>
                      </pic:blipFill>
                      <pic:spPr>
                        <a:xfrm>
                          <a:off x="0" y="0"/>
                          <a:ext cx="141192" cy="1800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Arial" w:hAnsi="Arial"/>
      <w:color w:val="18324A"/>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 Turbine Monitoring, Analytics &amp; Predictive Intelligence Platform — System Overview &amp; Technical Architecture</dc:title>
  <dc:subject>Architecture of the ZETDC Wind Assessment System repository</dc:subject>
  <dc:creator>ZETDC</dc:creator>
  <cp:keywords>wind assessment, architecture, FastAPI, React, forecasting, GIS, TimescaleDB</cp:keywords>
  <dc:description>Prepared from the repository implementation inspected on 18 September 2026.</dc:description>
  <cp:lastModifiedBy/>
  <cp:revision>1</cp:revision>
  <dcterms:created xsi:type="dcterms:W3CDTF">2013-12-23T23:15:00Z</dcterms:created>
  <dcterms:modified xsi:type="dcterms:W3CDTF">2013-12-23T23:15:00Z</dcterms:modified>
  <cp:category/>
</cp:coreProperties>
</file>