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C2F0" w14:textId="77777777" w:rsidR="009E09E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6A847" wp14:editId="2DB27CA4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CF6E" w14:textId="77777777" w:rsidR="009E09E4" w:rsidRDefault="00000000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3DA10790" wp14:editId="65AC05D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7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Translated from English to Serbian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Translated from English to Serbian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C13A65" w14:textId="584A95A8" w:rsidR="00E22304" w:rsidRPr="00732263" w:rsidRDefault="00E22304" w:rsidP="00E22304">
      <w:pPr>
        <w:pStyle w:val="NormalWeb"/>
        <w:spacing w:before="240" w:beforeAutospacing="0" w:after="200" w:afterAutospacing="0"/>
        <w:jc w:val="center"/>
        <w:rPr>
          <w:b/>
        </w:rPr>
      </w:pPr>
      <w:r w:rsidRPr="00732263">
        <w:rPr>
          <w:b/>
          <w:color w:val="000000"/>
          <w:sz w:val="28"/>
          <w:szCs w:val="28"/>
        </w:rPr>
        <w:t>ШКОЛСКИ ПРОГРАМИ ВЕЖБАЊА ЗА ПРОМОВИСАЊЕ КАРДИОРЕСПИРАТОРНОГ ФИТНЕСА КОД ДЕЦЕ ОД 6 ДО 10 ГОДИНА: СИСТЕМАТСКИ ПРЕГЛЕД</w:t>
      </w:r>
    </w:p>
    <w:p w14:paraId="6BE9F9EC" w14:textId="7570CA39" w:rsidR="001517C0" w:rsidRPr="0092597E" w:rsidRDefault="006F67E2" w:rsidP="001517C0">
      <w:pPr>
        <w:pStyle w:val="NormalWeb"/>
        <w:spacing w:before="240" w:beforeAutospacing="0" w:after="200" w:afterAutospacing="0"/>
        <w:jc w:val="both"/>
        <w:rPr>
          <w:sz w:val="22"/>
        </w:rPr>
      </w:pPr>
      <w:r w:rsidRPr="0092597E">
        <w:rPr>
          <w:b/>
          <w:color w:val="000000"/>
          <w:sz w:val="22"/>
        </w:rPr>
        <w:t>Апстракт:</w:t>
      </w:r>
      <w:r w:rsidR="00DB0861" w:rsidRPr="0092597E">
        <w:rPr>
          <w:color w:val="000000"/>
          <w:sz w:val="22"/>
        </w:rPr>
        <w:t>Циљ ове студије био је да се спроведе систематски преглед школских програма вежбања за унапређење кардиореспираторне кондиције код гојазне и гојазне деце узраста од 6 до 10 година.</w:t>
      </w:r>
      <w:r w:rsidR="00A87787" w:rsidRPr="0092597E">
        <w:rPr>
          <w:i/>
          <w:sz w:val="22"/>
        </w:rPr>
        <w:t>Електронске базе података (Веб оф Сциенце и ПубМед) коришћене су као алати за претраживање за прикупљање адекватних студија, објављених у последњих 20 година. Укупно 12 студија је испунило критеријуме за укључивање у овај преглед,</w:t>
      </w:r>
      <w:r w:rsidR="00B47713" w:rsidRPr="0092597E">
        <w:rPr>
          <w:rFonts w:ascii="Arial" w:hAnsi="Arial" w:cs="Arial"/>
          <w:i/>
          <w:color w:val="222222"/>
          <w:sz w:val="18"/>
          <w:szCs w:val="20"/>
          <w:shd w:val="clear" w:color="auto" w:fill="FFFFFF"/>
        </w:rPr>
        <w:t xml:space="preserve"> </w:t>
      </w:r>
      <w:r w:rsidR="00B47713" w:rsidRPr="0092597E">
        <w:rPr>
          <w:i/>
          <w:sz w:val="22"/>
          <w:szCs w:val="20"/>
          <w:shd w:val="clear" w:color="auto" w:fill="FFFFFF"/>
        </w:rPr>
        <w:t>са укупно 2810 учесника, мушкараца и жена.</w:t>
      </w:r>
      <w:r w:rsidR="001517C0" w:rsidRPr="0092597E">
        <w:rPr>
          <w:i/>
          <w:sz w:val="22"/>
        </w:rPr>
        <w:t>Резултати су указали на то да су интервенције за промоцију интервалног тренинга високог интензитета, мултидисциплинарног програма смањења тежине, интензитета максималне оксидације масти, вежбања, малог фудбала, аеробних и умерених до јаких физичких активности.</w:t>
      </w:r>
      <w:r w:rsidR="00B47713" w:rsidRPr="0092597E">
        <w:rPr>
          <w:rFonts w:eastAsiaTheme="minorHAnsi"/>
          <w:i/>
          <w:color w:val="000000"/>
          <w:sz w:val="22"/>
        </w:rPr>
        <w:t xml:space="preserve"> </w:t>
      </w:r>
      <w:r w:rsidR="00B47713" w:rsidRPr="0092597E">
        <w:rPr>
          <w:i/>
          <w:sz w:val="22"/>
        </w:rPr>
        <w:t>кардиореспираторни фитнес. Штавише, дуготрајне интервенције су довеле до већег побољшања кардиореспираторне кондиције од краће интервенције.</w:t>
      </w:r>
    </w:p>
    <w:p w14:paraId="0A25CCA5" w14:textId="77777777" w:rsidR="006F67E2" w:rsidRPr="0092597E" w:rsidRDefault="006F67E2" w:rsidP="001517C0">
      <w:pPr>
        <w:pStyle w:val="NormalWeb"/>
        <w:spacing w:before="240" w:beforeAutospacing="0" w:after="200" w:afterAutospacing="0"/>
        <w:jc w:val="both"/>
        <w:rPr>
          <w:b/>
          <w:sz w:val="22"/>
        </w:rPr>
      </w:pPr>
      <w:r w:rsidRPr="0092597E">
        <w:rPr>
          <w:b/>
          <w:color w:val="000000"/>
          <w:sz w:val="22"/>
        </w:rPr>
        <w:t>Кључне речи:</w:t>
      </w:r>
      <w:r w:rsidR="001517C0" w:rsidRPr="0092597E">
        <w:rPr>
          <w:i/>
          <w:color w:val="000000"/>
          <w:sz w:val="22"/>
        </w:rPr>
        <w:t>основна школа, деца предшколског узраста, максимална потрошња кисеоника, рад срца.</w:t>
      </w:r>
    </w:p>
    <w:p w14:paraId="67289DCC" w14:textId="77777777" w:rsidR="00E22304" w:rsidRPr="008B1231" w:rsidRDefault="006C5E59" w:rsidP="008B1231">
      <w:pPr>
        <w:pStyle w:val="Naslov1"/>
        <w:numPr>
          <w:ilvl w:val="0"/>
          <w:numId w:val="3"/>
        </w:numPr>
        <w:rPr>
          <w:rFonts w:ascii="Times New Roman" w:hAnsi="Times New Roman" w:cs="Times New Roman"/>
        </w:rPr>
      </w:pPr>
      <w:r w:rsidRPr="008B1231">
        <w:rPr>
          <w:rFonts w:ascii="Times New Roman" w:hAnsi="Times New Roman" w:cs="Times New Roman"/>
          <w:color w:val="auto"/>
        </w:rPr>
        <w:t>УВОД</w:t>
      </w:r>
    </w:p>
    <w:p w14:paraId="1C3A7C5E" w14:textId="77777777" w:rsidR="00E22304" w:rsidRDefault="00E22304" w:rsidP="00640926">
      <w:pPr>
        <w:pStyle w:val="NormalWeb"/>
        <w:spacing w:before="240" w:beforeAutospacing="0" w:after="240" w:afterAutospacing="0"/>
        <w:ind w:firstLine="720"/>
        <w:jc w:val="both"/>
      </w:pPr>
      <w:r>
        <w:rPr>
          <w:color w:val="000000"/>
        </w:rPr>
        <w:t>Кардиореспираторна кондиција (ЦРФ) је једна од најважнијих здравствених компоненти физичке спремности (Веијалаинен ет ал., 2016), која се углавном изражава у максималном уносу кисеоника (ВО2мак) или у метаболичким еквивалентима (МЕТ) (Лее, Артеро, Суи, и Блер, 2010). Добро је документовано да је ЦРФ код деце директно повезан са општим здрављем током детињства и може смањити ризик од кардиоваскуларних болести (КВБ) касније у животу (Ортега ет ал., 2008; Руиз ет ал., 2009; Руиз ет ал. , 2016). Такође, показало се да постоји веза између ниског ЦРФ-а у детињству и раног морталитета у одраслом добу (Суи, ет ал., 2007). Стога је веома препоручљиво радити на побољшању ЦРФ-а већ у детињству како би се смањиле последице КВБ касније у животу и спречила прерана смрт (Цао, ет ал., 2020; Родригуес, Перез, Царлетти, Биссоли, &amp; Абреу,</w:t>
      </w:r>
    </w:p>
    <w:p w14:paraId="0AC1F326" w14:textId="77777777" w:rsidR="00E22304" w:rsidRDefault="00E22304" w:rsidP="00640926">
      <w:pPr>
        <w:pStyle w:val="NormalWeb"/>
        <w:spacing w:before="240" w:beforeAutospacing="0" w:after="240" w:afterAutospacing="0"/>
        <w:ind w:firstLine="720"/>
        <w:jc w:val="both"/>
      </w:pPr>
      <w:r>
        <w:rPr>
          <w:color w:val="000000"/>
        </w:rPr>
        <w:t>Постоји повећање школских интервенција које имају за циљ да побољшају и промовишу ЦРФ у раном детињству (Јанковски, Ниедзиелска, Брзезински и Драбик, 2015; Мартинез ет ал., 2016; Менг, Иуцхенг, Сху и Иу, 2022; Ларсен ет ал. , 2018; Ие, Попе, Лее, &amp; Гао, 2019). Цастро-Пинеро ет ал., (2017), наводе у својој студији да двогодишњи школски програм вежбања за побољшање ЦРФ-а има ефекат смањења инциденције КВБ код деце са прекомерном тежином и гојазношћу узраста од 6 до 10 година. Такође су закључили да ЦРФ треба да буде надгледан систем како би се спречила потенцијална појава КВБ. Што се тиче учесталости програма, да би гојазна и гојазна деца имала позитивне резултате, програм вежби ЦРФ треба да се спроводи 3 до 4 пута недељно у трајању од најмање 6 недеља (</w:t>
      </w:r>
      <w:r w:rsidRPr="008526E6">
        <w:t>Брааксма ет ал., 2018</w:t>
      </w:r>
      <w:r>
        <w:rPr>
          <w:color w:val="000000"/>
        </w:rPr>
        <w:t xml:space="preserve">). Недавно се кружни тренинг високог интензитета (ХИИТ) показао као ефикасна интервенција вежбања која је довела до значајних побољшања и стога би се могла укључити у редовну наставу (Енгел, ет ал., 2019). Студије сугеришу да ХИИТ метода доводи до великог побољшања ЦРФ-а код деце и утиче на параметре везане за </w:t>
      </w:r>
      <w:r>
        <w:rPr>
          <w:color w:val="000000"/>
        </w:rPr>
        <w:lastRenderedPageBreak/>
        <w:t>неуромишићне и аеробне перформансе (Бауер, Сперлицх, Холмберг, &amp; Енгел, 2022). Такође, Станли &amp; Дхаруман (2020), у својој студији наводе да су се таи-цхи, пилатес и јога показали као методе које у великој мери утичу на побољшање ЦРФ-а.</w:t>
      </w:r>
    </w:p>
    <w:p w14:paraId="4D99B9D8" w14:textId="77777777" w:rsidR="001E1E3D" w:rsidRPr="006F67E2" w:rsidRDefault="00E22304" w:rsidP="00640926">
      <w:pPr>
        <w:pStyle w:val="NormalWeb"/>
        <w:spacing w:before="240" w:beforeAutospacing="0" w:after="240" w:afterAutospacing="0"/>
        <w:ind w:firstLine="720"/>
        <w:jc w:val="both"/>
        <w:rPr>
          <w:color w:val="000000"/>
        </w:rPr>
      </w:pPr>
      <w:r>
        <w:rPr>
          <w:color w:val="000000"/>
        </w:rPr>
        <w:t>Неопходно је подићи свест људи о томе колико низак ЦРФ може довести до бројних последица током живота, а његово побољшање треба почети у детињству. Стога би унапређење ЦРФ-а требало да буде саставни део програма физичког васпитања у свим нижим разредима основних школа. Циљ овог рада био је да се изврши систематски преглед школских програма вежби за промоцију ЦРФ-а код гојазне и гојазне деце узраста од 6 до 10 година.</w:t>
      </w:r>
    </w:p>
    <w:p w14:paraId="1D7B606C" w14:textId="77777777" w:rsidR="00E22304" w:rsidRPr="008B1231" w:rsidRDefault="008B1231" w:rsidP="008B1231">
      <w:pPr>
        <w:pStyle w:val="Naslov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МЕТОДА</w:t>
      </w:r>
    </w:p>
    <w:p w14:paraId="212ED79E" w14:textId="77777777" w:rsidR="00E22304" w:rsidRPr="008B1231" w:rsidRDefault="00E22304" w:rsidP="008B1231">
      <w:pPr>
        <w:pStyle w:val="Naslov2"/>
        <w:rPr>
          <w:rFonts w:ascii="Times New Roman" w:hAnsi="Times New Roman" w:cs="Times New Roman"/>
          <w:color w:val="auto"/>
          <w:sz w:val="24"/>
        </w:rPr>
      </w:pPr>
      <w:r w:rsidRPr="008B1231">
        <w:rPr>
          <w:rFonts w:ascii="Times New Roman" w:hAnsi="Times New Roman" w:cs="Times New Roman"/>
          <w:color w:val="auto"/>
          <w:sz w:val="24"/>
        </w:rPr>
        <w:t>2.1 Идентификација литературе</w:t>
      </w:r>
    </w:p>
    <w:p w14:paraId="1D128DB6" w14:textId="77777777" w:rsidR="00D07328" w:rsidRDefault="000D139B" w:rsidP="00D07328">
      <w:pPr>
        <w:pStyle w:val="NormalWeb"/>
        <w:spacing w:before="240" w:beforeAutospacing="0" w:after="200" w:afterAutospacing="0"/>
        <w:ind w:firstLine="720"/>
        <w:jc w:val="both"/>
        <w:rPr>
          <w:color w:val="000000"/>
        </w:rPr>
      </w:pPr>
      <w:r w:rsidRPr="000D139B">
        <w:rPr>
          <w:szCs w:val="20"/>
          <w:shd w:val="clear" w:color="auto" w:fill="FFFFFF"/>
        </w:rPr>
        <w:t>Студије су претражене и анализиране у складу са ПРИСМА смерницама (Де Мортон, 2009).</w:t>
      </w:r>
      <w:r w:rsidR="00E22304">
        <w:rPr>
          <w:color w:val="000000"/>
        </w:rPr>
        <w:t>Претражене су следеће базе података како би се прикупила релевантна литература за ову студију: ПубМед, Веб оф Сциенце. Током претраге коришћени су следећи термини: ((школски ИЛИ школски програм ИЛИ интервенција ИЛИ предшколска установа ИЛИ основна школа ИЛИ основна школа) И (кардио-респираторни фитнес ИЛИ ЦРФ ОР кардио фитнес ИЛИ ВО2мак ИЛИ максимална потрошња кисеоника ИЛИ откуцаји срца) ) И (прекомерна тежина ИЛИ гојазност) НЕ болест. Дете: 6-12 година филтер је укључен. Студије се бирају на основу наслова, кључних речи, сажетака, али првенствено на основу садржаја студије објављене у целини.</w:t>
      </w:r>
    </w:p>
    <w:p w14:paraId="6BD33344" w14:textId="77777777" w:rsidR="00BD6EB6" w:rsidRPr="008B1231" w:rsidRDefault="00F647CE" w:rsidP="008B1231">
      <w:pPr>
        <w:pStyle w:val="Natpis"/>
        <w:keepNext/>
        <w:jc w:val="both"/>
        <w:rPr>
          <w:rFonts w:ascii="Times New Roman" w:hAnsi="Times New Roman" w:cs="Times New Roman"/>
          <w:color w:val="auto"/>
          <w:sz w:val="20"/>
        </w:rPr>
      </w:pPr>
      <w:r w:rsidRPr="00F647CE">
        <w:rPr>
          <w:rFonts w:ascii="Times New Roman" w:hAnsi="Times New Roman" w:cs="Times New Roman"/>
          <w:color w:val="auto"/>
          <w:sz w:val="20"/>
        </w:rPr>
        <w:t>Сто</w:t>
      </w:r>
      <w:r w:rsidRPr="00F647CE">
        <w:rPr>
          <w:rFonts w:ascii="Times New Roman" w:hAnsi="Times New Roman" w:cs="Times New Roman"/>
          <w:color w:val="auto"/>
          <w:sz w:val="20"/>
        </w:rPr>
        <w:fldChar w:fldCharType="begin"/>
      </w:r>
      <w:r w:rsidRPr="00F647CE">
        <w:rPr>
          <w:rFonts w:ascii="Times New Roman" w:hAnsi="Times New Roman" w:cs="Times New Roman"/>
          <w:color w:val="auto"/>
          <w:sz w:val="20"/>
        </w:rPr>
        <w:instrText xml:space="preserve"> SEQ Table \* ARABIC </w:instrText>
      </w:r>
      <w:r w:rsidRPr="00F647CE">
        <w:rPr>
          <w:rFonts w:ascii="Times New Roman" w:hAnsi="Times New Roman" w:cs="Times New Roman"/>
          <w:color w:val="auto"/>
          <w:sz w:val="20"/>
        </w:rPr>
        <w:fldChar w:fldCharType="separate"/>
      </w:r>
      <w:r w:rsidRPr="00F647CE">
        <w:rPr>
          <w:rFonts w:ascii="Times New Roman" w:hAnsi="Times New Roman" w:cs="Times New Roman"/>
          <w:noProof/>
          <w:color w:val="auto"/>
          <w:sz w:val="20"/>
        </w:rPr>
        <w:t>1</w:t>
      </w:r>
      <w:r w:rsidRPr="00F647CE">
        <w:rPr>
          <w:rFonts w:ascii="Times New Roman" w:hAnsi="Times New Roman" w:cs="Times New Roman"/>
          <w:color w:val="auto"/>
          <w:sz w:val="20"/>
        </w:rPr>
        <w:fldChar w:fldCharType="end"/>
      </w:r>
      <w:r w:rsidRPr="00F647CE">
        <w:rPr>
          <w:rFonts w:ascii="Times New Roman" w:hAnsi="Times New Roman" w:cs="Times New Roman"/>
          <w:color w:val="auto"/>
          <w:sz w:val="20"/>
        </w:rPr>
        <w:t>Стратегија претраживања за идентификацију чланака</w:t>
      </w:r>
    </w:p>
    <w:tbl>
      <w:tblPr>
        <w:tblStyle w:val="Koordinatnamreatabele"/>
        <w:tblW w:w="102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3102"/>
        <w:gridCol w:w="2394"/>
        <w:gridCol w:w="2394"/>
      </w:tblGrid>
      <w:tr w:rsidR="00BD6EB6" w:rsidRPr="001517C0" w14:paraId="533E2D16" w14:textId="77777777" w:rsidTr="008B1231">
        <w:trPr>
          <w:jc w:val="center"/>
        </w:trPr>
        <w:tc>
          <w:tcPr>
            <w:tcW w:w="2394" w:type="dxa"/>
            <w:tcBorders>
              <w:bottom w:val="single" w:sz="4" w:space="0" w:color="auto"/>
            </w:tcBorders>
          </w:tcPr>
          <w:p w14:paraId="2062A1BB" w14:textId="77777777" w:rsidR="00BD6EB6" w:rsidRPr="001517C0" w:rsidRDefault="00BD6EB6" w:rsidP="00F647CE">
            <w:pPr>
              <w:pStyle w:val="NormalWeb"/>
              <w:spacing w:before="240" w:beforeAutospacing="0" w:after="200" w:afterAutospacing="0"/>
              <w:jc w:val="both"/>
              <w:rPr>
                <w:color w:val="000000"/>
              </w:rPr>
            </w:pPr>
            <w:r w:rsidRPr="001517C0">
              <w:t>Претрага 1</w:t>
            </w:r>
          </w:p>
        </w:tc>
        <w:tc>
          <w:tcPr>
            <w:tcW w:w="3102" w:type="dxa"/>
            <w:tcBorders>
              <w:bottom w:val="single" w:sz="4" w:space="0" w:color="auto"/>
            </w:tcBorders>
          </w:tcPr>
          <w:p w14:paraId="02E33750" w14:textId="77777777" w:rsidR="00BD6EB6" w:rsidRPr="001517C0" w:rsidRDefault="00BD6EB6" w:rsidP="00F647CE">
            <w:pPr>
              <w:pStyle w:val="NormalWeb"/>
              <w:spacing w:before="240" w:beforeAutospacing="0" w:after="200" w:afterAutospacing="0"/>
              <w:jc w:val="both"/>
              <w:rPr>
                <w:color w:val="000000"/>
              </w:rPr>
            </w:pPr>
            <w:r w:rsidRPr="001517C0">
              <w:t>Претрага 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61CDAA43" w14:textId="77777777" w:rsidR="00BD6EB6" w:rsidRPr="001517C0" w:rsidRDefault="00BD6EB6" w:rsidP="00F647CE">
            <w:pPr>
              <w:pStyle w:val="NormalWeb"/>
              <w:spacing w:before="240" w:beforeAutospacing="0" w:after="200" w:afterAutospacing="0"/>
              <w:jc w:val="both"/>
              <w:rPr>
                <w:color w:val="000000"/>
              </w:rPr>
            </w:pPr>
            <w:r w:rsidRPr="001517C0">
              <w:t>Претрага 3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A09C102" w14:textId="77777777" w:rsidR="00BD6EB6" w:rsidRPr="001517C0" w:rsidRDefault="00BD6EB6" w:rsidP="00F647CE">
            <w:pPr>
              <w:pStyle w:val="NormalWeb"/>
              <w:spacing w:before="240" w:beforeAutospacing="0" w:after="200" w:afterAutospacing="0"/>
              <w:jc w:val="both"/>
              <w:rPr>
                <w:color w:val="000000"/>
              </w:rPr>
            </w:pPr>
            <w:r w:rsidRPr="001517C0">
              <w:t>Филтери</w:t>
            </w:r>
          </w:p>
        </w:tc>
      </w:tr>
      <w:tr w:rsidR="00BD6EB6" w:rsidRPr="001517C0" w14:paraId="05E060E6" w14:textId="77777777" w:rsidTr="008B1231">
        <w:trPr>
          <w:jc w:val="center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13548A26" w14:textId="77777777" w:rsidR="008B1231" w:rsidRPr="001517C0" w:rsidRDefault="008B1231" w:rsidP="008B1231">
            <w:pPr>
              <w:rPr>
                <w:rFonts w:ascii="Times New Roman" w:hAnsi="Times New Roman" w:cs="Times New Roman"/>
              </w:rPr>
            </w:pPr>
            <w:r w:rsidRPr="001517C0">
              <w:rPr>
                <w:rFonts w:ascii="Times New Roman" w:hAnsi="Times New Roman" w:cs="Times New Roman"/>
              </w:rPr>
              <w:t>школског</w:t>
            </w:r>
          </w:p>
          <w:p w14:paraId="2D448F86" w14:textId="77777777" w:rsidR="008B1231" w:rsidRPr="001517C0" w:rsidRDefault="008B1231" w:rsidP="008B1231">
            <w:pPr>
              <w:rPr>
                <w:rFonts w:ascii="Times New Roman" w:hAnsi="Times New Roman" w:cs="Times New Roman"/>
              </w:rPr>
            </w:pPr>
            <w:r w:rsidRPr="001517C0">
              <w:rPr>
                <w:rFonts w:ascii="Times New Roman" w:hAnsi="Times New Roman" w:cs="Times New Roman"/>
              </w:rPr>
              <w:t>школски програм</w:t>
            </w:r>
            <w:r w:rsidRPr="001517C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A42D89A" w14:textId="77777777" w:rsidR="008B1231" w:rsidRPr="001517C0" w:rsidRDefault="008B1231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Интервенција</w:t>
            </w:r>
          </w:p>
          <w:p w14:paraId="317C6C61" w14:textId="77777777" w:rsidR="00BD6EB6" w:rsidRPr="001517C0" w:rsidRDefault="005E6566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предшколска основна школа основна школа</w:t>
            </w: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</w:tcBorders>
          </w:tcPr>
          <w:p w14:paraId="0D569650" w14:textId="77777777" w:rsidR="005E6566" w:rsidRPr="001517C0" w:rsidRDefault="008B1231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кардио-респираторни фитнес</w:t>
            </w:r>
          </w:p>
          <w:p w14:paraId="4DD14311" w14:textId="77777777" w:rsidR="008B1231" w:rsidRPr="001517C0" w:rsidRDefault="008B1231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ЦРФ</w:t>
            </w:r>
          </w:p>
          <w:p w14:paraId="7006D25E" w14:textId="77777777" w:rsidR="008B1231" w:rsidRPr="001517C0" w:rsidRDefault="008B1231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кардио фитнес</w:t>
            </w:r>
          </w:p>
          <w:p w14:paraId="50C14F44" w14:textId="77777777" w:rsidR="008B1231" w:rsidRPr="001517C0" w:rsidRDefault="008B1231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ВО2мак</w:t>
            </w:r>
          </w:p>
          <w:p w14:paraId="230ACBEE" w14:textId="77777777" w:rsidR="00BD6EB6" w:rsidRPr="001517C0" w:rsidRDefault="005E6566" w:rsidP="008B1231">
            <w:pPr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максимална потрошња кисеоника број откуцаја срца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703E3656" w14:textId="77777777" w:rsidR="008B1231" w:rsidRPr="001517C0" w:rsidRDefault="008B1231" w:rsidP="008B123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прекомерна тежина</w:t>
            </w:r>
          </w:p>
          <w:p w14:paraId="1DB76905" w14:textId="77777777" w:rsidR="00BD6EB6" w:rsidRPr="001517C0" w:rsidRDefault="008B1231" w:rsidP="008B123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17C0">
              <w:rPr>
                <w:rFonts w:ascii="Times New Roman" w:hAnsi="Times New Roman" w:cs="Times New Roman"/>
                <w:color w:val="000000"/>
              </w:rPr>
              <w:t>гојазни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2044AE53" w14:textId="77777777" w:rsidR="00BD6EB6" w:rsidRPr="001517C0" w:rsidRDefault="00633EBF" w:rsidP="008B1231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1517C0">
              <w:t>дете: 6-12 год</w:t>
            </w:r>
          </w:p>
        </w:tc>
      </w:tr>
    </w:tbl>
    <w:p w14:paraId="0BF21A9E" w14:textId="77777777" w:rsidR="00D07328" w:rsidRDefault="00D07328" w:rsidP="008B1231">
      <w:pPr>
        <w:pStyle w:val="NormalWeb"/>
        <w:spacing w:before="240" w:beforeAutospacing="0" w:after="200" w:afterAutospacing="0"/>
        <w:ind w:firstLine="720"/>
        <w:jc w:val="both"/>
        <w:rPr>
          <w:color w:val="000000"/>
        </w:rPr>
      </w:pPr>
      <w:r w:rsidRPr="00D07328">
        <w:rPr>
          <w:color w:val="000000"/>
        </w:rPr>
        <w:t>За анализу добијених података коришћена је дескриптивна метода, а могуће укључивање у студију урађено је на основу наслова и сажетака. Након детаљног процеса идентификације, студије су се сматрале релевантним ако су испуњавале критеријуме за укључивање. Претраживање студије, процену вредности и екстракцију података спровела су два аутора (ДС и СМ), након чега је сваки аутор извршио унакрсну идентификацију студија, након чега је студија укључена у даљу анализу или одбацивање.</w:t>
      </w:r>
    </w:p>
    <w:p w14:paraId="61F3E8AD" w14:textId="77777777" w:rsidR="00E22304" w:rsidRPr="008B1231" w:rsidRDefault="00E22304" w:rsidP="008B1231">
      <w:pPr>
        <w:pStyle w:val="Naslov2"/>
        <w:rPr>
          <w:rFonts w:ascii="Times New Roman" w:hAnsi="Times New Roman" w:cs="Times New Roman"/>
          <w:color w:val="auto"/>
          <w:sz w:val="24"/>
        </w:rPr>
      </w:pPr>
      <w:r w:rsidRPr="008B1231">
        <w:rPr>
          <w:rFonts w:ascii="Times New Roman" w:hAnsi="Times New Roman" w:cs="Times New Roman"/>
          <w:color w:val="auto"/>
          <w:sz w:val="24"/>
        </w:rPr>
        <w:t>2.2. Критеријуми за укључивање</w:t>
      </w:r>
    </w:p>
    <w:p w14:paraId="65322769" w14:textId="77777777" w:rsidR="000F4866" w:rsidRDefault="00E22304" w:rsidP="0092597E">
      <w:pPr>
        <w:pStyle w:val="NormalWeb"/>
        <w:spacing w:before="240" w:beforeAutospacing="0" w:after="200" w:afterAutospacing="0"/>
        <w:ind w:firstLine="720"/>
        <w:jc w:val="both"/>
        <w:rPr>
          <w:color w:val="000000"/>
        </w:rPr>
      </w:pPr>
      <w:r w:rsidRPr="00E22304">
        <w:rPr>
          <w:color w:val="000000"/>
          <w:sz w:val="32"/>
        </w:rPr>
        <w:t xml:space="preserve"> </w:t>
      </w:r>
      <w:r w:rsidRPr="00B6059D">
        <w:rPr>
          <w:szCs w:val="20"/>
          <w:shd w:val="clear" w:color="auto" w:fill="FFFFFF"/>
        </w:rPr>
        <w:t>Да би студија била укључена у коначну анализу, морала је да испуни следеће критеријуме:</w:t>
      </w:r>
      <w:r>
        <w:rPr>
          <w:color w:val="000000"/>
        </w:rPr>
        <w:t>Први</w:t>
      </w:r>
      <w:r w:rsidRPr="00D07328">
        <w:t xml:space="preserve">Критеријум за узимање студије је био да је њен примарни циљ био везан </w:t>
      </w:r>
      <w:r w:rsidRPr="00D07328">
        <w:lastRenderedPageBreak/>
        <w:t>за утицај школског програма вежби</w:t>
      </w:r>
      <w:r>
        <w:rPr>
          <w:color w:val="000000"/>
        </w:rPr>
        <w:t>о кардиореспираторној кондицији код гојазне и гојазне деце узраста од 6 до 10 година. Разлог за овај критеријум избора је елиминисање студија које су обухватиле децу која нису припадала овом узрасту и студија чији циљ није био утицај школског програма вежбања на кардиореспираторну способност. фитнес су такође били искључени. Други критеријум је био да деца која су учествовала у студијама имају прекомерну тежину и гојазност. Трећи критеријум је био да су студије објављене у протеклих 20 година. Четврти критеријум је био да су студије објављене на енглеском језику. Пети критеријум је био да су студије оригинално истраживање.</w:t>
      </w:r>
      <w:bookmarkStart w:id="0" w:name="_Hlk106450741"/>
    </w:p>
    <w:p w14:paraId="501EDCEE" w14:textId="77777777" w:rsidR="001E1E3D" w:rsidRPr="000F4866" w:rsidRDefault="008B1231" w:rsidP="000F4866">
      <w:pPr>
        <w:pStyle w:val="NormalWeb"/>
        <w:spacing w:before="240" w:beforeAutospacing="0" w:after="200" w:afterAutospacing="0"/>
        <w:ind w:firstLine="720"/>
        <w:jc w:val="both"/>
        <w:rPr>
          <w:color w:val="000000"/>
        </w:rPr>
      </w:pPr>
      <w:r w:rsidRPr="005253F3">
        <w:rPr>
          <w:sz w:val="20"/>
        </w:rPr>
        <w:t>Фигура</w:t>
      </w:r>
      <w:r w:rsidRPr="005253F3">
        <w:rPr>
          <w:sz w:val="20"/>
        </w:rPr>
        <w:fldChar w:fldCharType="begin"/>
      </w:r>
      <w:r w:rsidRPr="005253F3">
        <w:rPr>
          <w:sz w:val="20"/>
        </w:rPr>
        <w:instrText xml:space="preserve"> SEQ Figure \* ARABIC </w:instrText>
      </w:r>
      <w:r w:rsidRPr="005253F3">
        <w:rPr>
          <w:sz w:val="20"/>
        </w:rPr>
        <w:fldChar w:fldCharType="separate"/>
      </w:r>
      <w:r w:rsidRPr="005253F3">
        <w:rPr>
          <w:noProof/>
          <w:sz w:val="20"/>
        </w:rPr>
        <w:t>1</w:t>
      </w:r>
      <w:r w:rsidRPr="005253F3">
        <w:rPr>
          <w:sz w:val="20"/>
        </w:rPr>
        <w:fldChar w:fldCharType="end"/>
      </w:r>
      <w:r w:rsidRPr="005253F3">
        <w:rPr>
          <w:sz w:val="20"/>
        </w:rPr>
        <w:t>ПРИСМА дијаграм тока</w:t>
      </w:r>
      <w:bookmarkEnd w:id="0"/>
    </w:p>
    <w:p w14:paraId="4B0E84FB" w14:textId="77777777" w:rsidR="003654A2" w:rsidRPr="003654A2" w:rsidRDefault="003654A2" w:rsidP="003654A2">
      <w:pPr>
        <w:pStyle w:val="NormalWeb"/>
        <w:spacing w:before="240" w:beforeAutospacing="0" w:after="200" w:afterAutospacing="0"/>
        <w:ind w:firstLine="72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3364790B" wp14:editId="30847031">
                <wp:extent cx="4876800" cy="6045200"/>
                <wp:effectExtent l="0" t="0" r="19050" b="1270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6045200"/>
                          <a:chOff x="0" y="0"/>
                          <a:chExt cx="4836160" cy="5547679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>
                            <a:off x="1295400" y="240792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303020" y="322326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4836160" cy="5547679"/>
                            <a:chOff x="0" y="0"/>
                            <a:chExt cx="4836160" cy="5547679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457200" y="2698750"/>
                              <a:ext cx="1887220" cy="526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14735" w14:textId="77777777" w:rsidR="000F4866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560609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Траже се извештаји за преузимање</w:t>
                                </w:r>
                              </w:p>
                              <w:p w14:paraId="0245A289" w14:textId="77777777" w:rsidR="000F4866" w:rsidRPr="00560609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(н = 47)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4836160" cy="5547679"/>
                              <a:chOff x="0" y="0"/>
                              <a:chExt cx="4836160" cy="5547679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450850" y="1873250"/>
                                <a:ext cx="1887220" cy="526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D7C791" w14:textId="77777777" w:rsidR="000F4866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56060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Записи приказани</w:t>
                                  </w:r>
                                </w:p>
                                <w:p w14:paraId="381002BB" w14:textId="77777777" w:rsidR="000F4866" w:rsidRPr="00560609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(н = 1324)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4836160" cy="5547679"/>
                                <a:chOff x="0" y="0"/>
                                <a:chExt cx="4836160" cy="5547679"/>
                              </a:xfrm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449580" y="342900"/>
                                  <a:ext cx="1887220" cy="1243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14C7FF" w14:textId="77777777" w:rsidR="000F4866" w:rsidRDefault="000F4866" w:rsidP="003654A2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Записи идентификовани од*:</w:t>
                                    </w:r>
                                  </w:p>
                                  <w:p w14:paraId="3B49625F" w14:textId="77777777" w:rsidR="000F4866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Базе података (н = 2)</w:t>
                                    </w:r>
                                  </w:p>
                                  <w:p w14:paraId="094F9D19" w14:textId="77777777" w:rsidR="000F4866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Веб оф Сциенце (н = 948)</w:t>
                                    </w:r>
                                  </w:p>
                                  <w:p w14:paraId="4E4A7F9A" w14:textId="77777777" w:rsidR="000F4866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ПубМед (н = 503)</w:t>
                                    </w:r>
                                  </w:p>
                                  <w:p w14:paraId="1B0E27A4" w14:textId="77777777" w:rsidR="000F4866" w:rsidRPr="00560609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Регистри (н = 1451)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2933700" y="342900"/>
                                  <a:ext cx="1887220" cy="1242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1F4858" w14:textId="77777777" w:rsidR="000F4866" w:rsidRDefault="000F4866" w:rsidP="003654A2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5606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Записи уклоњени пре прегледа:</w:t>
                                    </w:r>
                                  </w:p>
                                  <w:p w14:paraId="0A272560" w14:textId="77777777" w:rsidR="000F4866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Уклоњени дупликати записа (н = 102 (откривено 204)</w:t>
                                    </w:r>
                                  </w:p>
                                  <w:p w14:paraId="1AD17957" w14:textId="77777777" w:rsidR="000F4866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Записи означени као неподобни од стране алата за аутоматизацију (н = 25)</w:t>
                                    </w:r>
                                  </w:p>
                                  <w:p w14:paraId="7128D18C" w14:textId="77777777" w:rsidR="000F4866" w:rsidRPr="00560609" w:rsidRDefault="000F4866" w:rsidP="003654A2">
                                    <w:pPr>
                                      <w:spacing w:after="0" w:line="240" w:lineRule="auto"/>
                                      <w:ind w:left="284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Записи уклоњени из других разлога (н = 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Straight Arrow Connector 66"/>
                              <wps:cNvCnPr/>
                              <wps:spPr>
                                <a:xfrm>
                                  <a:off x="2346960" y="952500"/>
                                  <a:ext cx="5632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Flowchart: Alternate Process 67"/>
                              <wps:cNvSpPr/>
                              <wps:spPr>
                                <a:xfrm>
                                  <a:off x="457200" y="0"/>
                                  <a:ext cx="4345229" cy="262966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729A97" w14:textId="77777777" w:rsidR="000F4866" w:rsidRPr="001502CF" w:rsidRDefault="000F4866" w:rsidP="003654A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502CF"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Идентификација студија путем база података и регистара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Flowchart: Alternate Process 68"/>
                              <wps:cNvSpPr/>
                              <wps:spPr>
                                <a:xfrm rot="16200000">
                                  <a:off x="-506730" y="826770"/>
                                  <a:ext cx="1276985" cy="26289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C24FC0" w14:textId="77777777" w:rsidR="000F4866" w:rsidRPr="001502CF" w:rsidRDefault="000F4866" w:rsidP="003654A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502CF"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Идентификација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>
                                  <a:off x="1295400" y="1584960"/>
                                  <a:ext cx="0" cy="281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1874520"/>
                                  <a:ext cx="4836160" cy="3673159"/>
                                  <a:chOff x="0" y="0"/>
                                  <a:chExt cx="4836160" cy="3673159"/>
                                </a:xfrm>
                              </wpg:grpSpPr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2941320" y="0"/>
                                    <a:ext cx="1887220" cy="526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2403FB0" w14:textId="77777777" w:rsidR="000F4866" w:rsidRDefault="000F4866" w:rsidP="003654A2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560609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Записи искључени од стране људи</w:t>
                                      </w:r>
                                    </w:p>
                                    <w:p w14:paraId="55D81E0D" w14:textId="77777777" w:rsidR="000F4866" w:rsidRPr="00560609" w:rsidRDefault="000F4866" w:rsidP="003654A2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(н = 1277)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2941320" y="845820"/>
                                    <a:ext cx="1887220" cy="526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E81842" w14:textId="77777777" w:rsidR="000F4866" w:rsidRDefault="000F4866" w:rsidP="003654A2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560609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Извештаји нису преузети</w:t>
                                      </w:r>
                                    </w:p>
                                    <w:p w14:paraId="1DF796F0" w14:textId="77777777" w:rsidR="000F4866" w:rsidRPr="00560609" w:rsidRDefault="000F4866" w:rsidP="003654A2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(н = 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2948940" y="1638300"/>
                                    <a:ext cx="1887220" cy="1133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A00E83" w14:textId="77777777" w:rsidR="000F4866" w:rsidRPr="008B1231" w:rsidRDefault="000F4866" w:rsidP="003654A2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8B1231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Извештаји искључени:</w:t>
                                      </w:r>
                                    </w:p>
                                    <w:p w14:paraId="4759B432" w14:textId="77777777" w:rsidR="000F4866" w:rsidRPr="008B1231" w:rsidRDefault="000F4866" w:rsidP="003654A2">
                                      <w:pPr>
                                        <w:spacing w:after="0" w:line="240" w:lineRule="auto"/>
                                        <w:ind w:left="284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8B1231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Дизајн студије који не испуњава услове (н = 8)</w:t>
                                      </w:r>
                                    </w:p>
                                    <w:p w14:paraId="5762BEB3" w14:textId="77777777" w:rsidR="000F4866" w:rsidRPr="008B1231" w:rsidRDefault="000F4866" w:rsidP="003654A2">
                                      <w:pPr>
                                        <w:spacing w:after="0" w:line="240" w:lineRule="auto"/>
                                        <w:ind w:left="284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8B1231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Неприхватљиво становништво (н = 21)</w:t>
                                      </w:r>
                                    </w:p>
                                    <w:p w14:paraId="023ABF62" w14:textId="77777777" w:rsidR="000F4866" w:rsidRPr="008B1231" w:rsidRDefault="00592F05" w:rsidP="003654A2">
                                      <w:pPr>
                                        <w:spacing w:after="0" w:line="240" w:lineRule="auto"/>
                                        <w:ind w:left="284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Неприхватљива интервенција (н = 5)</w:t>
                                      </w:r>
                                    </w:p>
                                    <w:p w14:paraId="22CCCABA" w14:textId="77777777" w:rsidR="000F4866" w:rsidRPr="00560609" w:rsidRDefault="000F4866" w:rsidP="003654A2">
                                      <w:pPr>
                                        <w:spacing w:after="0" w:line="240" w:lineRule="auto"/>
                                        <w:ind w:left="284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Straight Arrow Connector 74"/>
                                <wps:cNvCnPr/>
                                <wps:spPr>
                                  <a:xfrm>
                                    <a:off x="2346960" y="251460"/>
                                    <a:ext cx="56324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Arrow Connector 75"/>
                                <wps:cNvCnPr/>
                                <wps:spPr>
                                  <a:xfrm>
                                    <a:off x="2354580" y="1097280"/>
                                    <a:ext cx="56324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Arrow Connector 76"/>
                                <wps:cNvCnPr/>
                                <wps:spPr>
                                  <a:xfrm>
                                    <a:off x="2369820" y="1927860"/>
                                    <a:ext cx="56324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0"/>
                                    <a:ext cx="2347117" cy="3673159"/>
                                    <a:chOff x="0" y="0"/>
                                    <a:chExt cx="2347117" cy="3673159"/>
                                  </a:xfrm>
                                </wpg:grpSpPr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459897" y="1643223"/>
                                      <a:ext cx="1887220" cy="526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D292CD" w14:textId="77777777" w:rsidR="000F4866" w:rsidRDefault="000F4866" w:rsidP="003654A2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56060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  <w:t>Извештаји процењени за подобност</w:t>
                                        </w:r>
                                      </w:p>
                                      <w:p w14:paraId="01569EDD" w14:textId="77777777" w:rsidR="000F4866" w:rsidRPr="00560609" w:rsidRDefault="000F4866" w:rsidP="003654A2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  <w:t>(н = 46)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437037" y="2931003"/>
                                      <a:ext cx="188722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94667F9" w14:textId="77777777" w:rsidR="000F4866" w:rsidRDefault="000F4866" w:rsidP="003654A2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  <w:t>Студије укључене у преглед</w:t>
                                        </w:r>
                                      </w:p>
                                      <w:p w14:paraId="0D0F7BAD" w14:textId="77777777" w:rsidR="000F4866" w:rsidRDefault="00592F05" w:rsidP="003654A2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  <w:t>(н = 12)</w:t>
                                        </w:r>
                                      </w:p>
                                      <w:p w14:paraId="26084283" w14:textId="77777777" w:rsidR="000F4866" w:rsidRPr="00560609" w:rsidRDefault="000F4866" w:rsidP="003654A2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Flowchart: Alternate Process 80"/>
                                  <wps:cNvSpPr/>
                                  <wps:spPr>
                                    <a:xfrm rot="16200000">
                                      <a:off x="-1262223" y="1262223"/>
                                      <a:ext cx="2787335" cy="26289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chemeClr val="accent5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CF60BC" w14:textId="77777777" w:rsidR="000F4866" w:rsidRDefault="000F4866" w:rsidP="003654A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Сцреенинг</w:t>
                                        </w:r>
                                      </w:p>
                                      <w:p w14:paraId="23BF0D8D" w14:textId="77777777" w:rsidR="000F4866" w:rsidRPr="001502CF" w:rsidRDefault="000F4866" w:rsidP="003654A2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Flowchart: Alternate Process 81"/>
                                  <wps:cNvSpPr/>
                                  <wps:spPr>
                                    <a:xfrm rot="16200000">
                                      <a:off x="-241143" y="3159603"/>
                                      <a:ext cx="764223" cy="26289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chemeClr val="accent5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6C87B7" w14:textId="77777777" w:rsidR="000F4866" w:rsidRPr="001502CF" w:rsidRDefault="000F4866" w:rsidP="003654A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Укључено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Straight Arrow Connector 82"/>
                                  <wps:cNvCnPr/>
                                  <wps:spPr>
                                    <a:xfrm>
                                      <a:off x="1298097" y="2169003"/>
                                      <a:ext cx="0" cy="74615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490ABA" id="Group 56" o:spid="_x0000_s1026" style="width:384pt;height:476pt;mso-position-horizontal-relative:char;mso-position-vertical-relative:line" coordsize="48361,5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27" type="#_x0000_t32" style="position:absolute;left:12954;top:24079;width:0;height:2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5I8UAAADbAAAADwAAAGRycy9kb3ducmV2LnhtbESPQUsDMRSE70L/Q3iF3my2glXWpsVW&#10;hNJT3Sri7bF5blY3L9sk3d3++6YgeBxm5htmsRpsIzryoXasYDbNQBCXTtdcKXg/vN4+gggRWWPj&#10;mBScKcBqObpZYK5dz2/UFbESCcIhRwUmxjaXMpSGLIapa4mT9+28xZikr6T22Ce4beRdls2lxZrT&#10;gsGWNobK3+JkFTTdrj9+nH6O5mXfHYrN55dZ+1apyXh4fgIRaYj/4b/2Viu4f4D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u5I8UAAADbAAAADwAAAAAAAAAA&#10;AAAAAAChAgAAZHJzL2Rvd25yZXYueG1sUEsFBgAAAAAEAAQA+QAAAJMDAAAAAA==&#10;" strokecolor="black [3213]">
                  <v:stroke endarrow="block"/>
                </v:shape>
                <v:shape id="Straight Arrow Connector 58" o:spid="_x0000_s1028" type="#_x0000_t32" style="position:absolute;left:13030;top:32232;width:0;height:2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tUcIAAADbAAAADwAAAGRycy9kb3ducmV2LnhtbERPz2vCMBS+D/wfwhO8zXQDx6hGcY7B&#10;8OTqRLw9mmdTbV5qEtvuv18Ogx0/vt+L1WAb0ZEPtWMFT9MMBHHpdM2Vgu/9x+MriBCRNTaOScEP&#10;BVgtRw8LzLXr+Yu6IlYihXDIUYGJsc2lDKUhi2HqWuLEnZ23GBP0ldQe+xRuG/mcZS/SYs2pwWBL&#10;G0PltbhbBU237W+H++Vm3nfdvtgcT+bNt0pNxsN6DiLSEP/Ff+5PrWCWxqY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QtUcIAAADbAAAADwAAAAAAAAAAAAAA&#10;AAChAgAAZHJzL2Rvd25yZXYueG1sUEsFBgAAAAAEAAQA+QAAAJADAAAAAA==&#10;" strokecolor="black [3213]">
                  <v:stroke endarrow="block"/>
                </v:shape>
                <v:group id="Group 59" o:spid="_x0000_s1029" style="position:absolute;width:48361;height:55476" coordsize="48361,55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0" o:spid="_x0000_s1030" style="position:absolute;left:4572;top:26987;width:18872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wPMEA&#10;AADbAAAADwAAAGRycy9kb3ducmV2LnhtbERPy4rCMBTdC/MP4Q64EU3HhUjHKCI4lgEFH7Nwd2mu&#10;TbG5CU3Uzt+bheDycN6zRWcbcac21I4VfI0yEMSl0zVXCk7H9XAKIkRkjY1jUvBPARbzj94Mc+0e&#10;vKf7IVYihXDIUYGJ0edShtKQxTBynjhxF9dajAm2ldQtPlK4beQ4yybSYs2pwaCnlaHyerhZBeuN&#10;GSzl7/bPF2F3sePC/2wGZ6X6n93yG0SkLr7FL3ehFUzS+vQl/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c8DzBAAAA2wAAAA8AAAAAAAAAAAAAAAAAmAIAAGRycy9kb3du&#10;cmV2LnhtbFBLBQYAAAAABAAEAPUAAACGAwAAAAA=&#10;" filled="f" strokecolor="black [3213]" strokeweight="2pt">
                    <v:textbox>
                      <w:txbxContent>
                        <w:p w:rsidR="000F4866" w:rsidRDefault="000F4866" w:rsidP="003654A2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56060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20"/>
                            </w:rPr>
                            <w:t>Траже се извештаји за преузимање</w:t>
                          </w:r>
                        </w:p>
                        <w:p w:rsidR="000F4866" w:rsidRPr="00560609" w:rsidRDefault="000F4866" w:rsidP="003654A2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20"/>
                            </w:rPr>
                            <w:t>(н = 47)</w:t>
                          </w:r>
                        </w:p>
                      </w:txbxContent>
                    </v:textbox>
                  </v:rect>
                  <v:group id="Group 61" o:spid="_x0000_s1031" style="position:absolute;width:48361;height:55476" coordsize="48361,55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62" o:spid="_x0000_s1032" style="position:absolute;left:4508;top:18732;width:18872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L0M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WCaw/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Cy9DEAAAA2wAAAA8AAAAAAAAAAAAAAAAAmAIAAGRycy9k&#10;b3ducmV2LnhtbFBLBQYAAAAABAAEAPUAAACJAwAAAAA=&#10;" filled="f" strokecolor="black [3213]" strokeweight="2pt">
                      <v:textbox>
                        <w:txbxContent>
                          <w:p w:rsidR="000F4866" w:rsidRDefault="000F4866" w:rsidP="003654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Записи приказани</w:t>
                            </w:r>
                          </w:p>
                          <w:p w:rsidR="000F4866" w:rsidRPr="00560609" w:rsidRDefault="000F4866" w:rsidP="003654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(н = 1324)</w:t>
                            </w:r>
                          </w:p>
                        </w:txbxContent>
                      </v:textbox>
                    </v:rect>
                    <v:group id="Group 63" o:spid="_x0000_s1033" style="position:absolute;width:48361;height:55476" coordsize="48361,55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rect id="Rectangle 64" o:spid="_x0000_s1034" style="position:absolute;left:4495;top:3429;width:18873;height:1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>
                        <v:textbox>
                          <w:txbxContent>
                            <w:p w:rsidR="000F4866" w:rsidRDefault="000F4866" w:rsidP="003654A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Записи идентификовани од*:</w:t>
                              </w:r>
                            </w:p>
                            <w:p w:rsidR="000F4866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Базе података (н = 2)</w:t>
                              </w:r>
                            </w:p>
                            <w:p w:rsidR="000F4866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Веб оф Сциенце (н = 948)</w:t>
                              </w:r>
                            </w:p>
                            <w:p w:rsidR="000F4866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ПубМед (н = 503)</w:t>
                              </w:r>
                            </w:p>
                            <w:p w:rsidR="000F4866" w:rsidRPr="00560609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Регистри (н = 1451)</w:t>
                              </w:r>
                            </w:p>
                          </w:txbxContent>
                        </v:textbox>
                      </v:rect>
                      <v:rect id="Rectangle 65" o:spid="_x0000_s1035" style="position:absolute;left:29337;top:3429;width:18872;height:12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TpM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rU6TEAAAA2wAAAA8AAAAAAAAAAAAAAAAAmAIAAGRycy9k&#10;b3ducmV2LnhtbFBLBQYAAAAABAAEAPUAAACJAwAAAAA=&#10;" filled="f" strokecolor="black [3213]" strokeweight="2pt">
                        <v:textbox>
                          <w:txbxContent>
                            <w:p w:rsidR="000F4866" w:rsidRDefault="000F4866" w:rsidP="003654A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Записи уклоњени пре прегледа:</w:t>
                              </w:r>
                            </w:p>
                            <w:p w:rsidR="000F4866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Уклоњени дупликати записа (н = 102 (откривено 204)</w:t>
                              </w:r>
                              <w:proofErr w:type="gramStart"/>
                              <w:proofErr w:type="gramEnd"/>
                            </w:p>
                            <w:p w:rsidR="000F4866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Записи означени као неподобни од стране алата за аутоматизацију (н = 25)</w:t>
                              </w:r>
                            </w:p>
                            <w:p w:rsidR="000F4866" w:rsidRPr="00560609" w:rsidRDefault="000F4866" w:rsidP="003654A2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Записи уклоњени из других разлога (н = 0)</w:t>
                              </w:r>
                            </w:p>
                          </w:txbxContent>
                        </v:textbox>
                      </v:rect>
                      <v:shape id="Straight Arrow Connector 66" o:spid="_x0000_s1036" type="#_x0000_t32" style="position:absolute;left:23469;top:9525;width:5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vWBcUAAADbAAAADwAAAGRycy9kb3ducmV2LnhtbESPzWrDMBCE74W+g9hCb42cHkxxooT8&#10;ECg9tU5CyG2xNpZba+VIiu2+fVUo9DjMzDfMfDnaVvTkQ+NYwXSSgSCunG64VnDY755eQISIrLF1&#10;TAq+KcBycX83x0K7gT+oL2MtEoRDgQpMjF0hZagMWQwT1xEn7+K8xZikr6X2OCS4beVzluXSYsNp&#10;wWBHG0PVV3mzCtr+bbgeb59Xs33v9+XmdDZr3yn1+DCuZiAijfE//Nd+1QryHH6/p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vWBcUAAADbAAAADwAAAAAAAAAA&#10;AAAAAAChAgAAZHJzL2Rvd25yZXYueG1sUEsFBgAAAAAEAAQA+QAAAJMDAAAAAA==&#10;" strokecolor="black [3213]">
                        <v:stroke endarrow="block"/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67" o:spid="_x0000_s1037" type="#_x0000_t176" style="position:absolute;left:4572;width:43452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rPMUA&#10;AADbAAAADwAAAGRycy9kb3ducmV2LnhtbESPQWsCMRSE70L/Q3iF3jSrLWvZGqUU2kpFoerF2+vm&#10;mV1NXpZNqtt/3wiCx2FmvmEms85ZcaI21J4VDAcZCOLS65qNgu3mvf8MIkRkjdYzKfijALPpXW+C&#10;hfZn/qbTOhqRIBwKVFDF2BRShrIih2HgG+Lk7X3rMCbZGqlbPCe4s3KUZbl0WHNaqLCht4rK4/rX&#10;KbBl82jzxZNZfm5XX+ZgR7v5z4dSD/fd6wuISF28ha/tuVaQj+HyJf0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s8xQAAANsAAAAPAAAAAAAAAAAAAAAAAJgCAABkcnMv&#10;ZG93bnJldi54bWxQSwUGAAAAAAQABAD1AAAAigMAAAAA&#10;" fillcolor="#8064a2 [3207]" strokecolor="#3f3151 [1607]" strokeweight="2pt">
                        <v:textbox>
                          <w:txbxContent>
                            <w:p w:rsidR="000F4866" w:rsidRPr="001502CF" w:rsidRDefault="000F4866" w:rsidP="003654A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Идентификација студија путем база података и регистара</w:t>
                              </w:r>
                            </w:p>
                          </w:txbxContent>
                        </v:textbox>
                      </v:shape>
                      <v:shape id="Flowchart: Alternate Process 68" o:spid="_x0000_s1038" type="#_x0000_t176" style="position:absolute;left:-5067;top:8267;width:12770;height:26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YH8cEA&#10;AADbAAAADwAAAGRycy9kb3ducmV2LnhtbERPTYvCMBC9C/sfwgh701QPItVYusLiohe1XrwNzWxb&#10;2kxKk9bu/npzEDw+3vc2GU0jBupcZVnBYh6BIM6trrhQcMu+Z2sQziNrbCyTgj9ykOw+JluMtX3w&#10;hYarL0QIYRejgtL7NpbS5SUZdHPbEgfu13YGfYBdIXWHjxBuGrmMopU0WHFoKLGlfUl5fe2NAhy+&#10;jufhaNKsvmf7U3+pD//9TanP6ZhuQHga/Vv8cv9oBaswNnwJP0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2B/HBAAAA2wAAAA8AAAAAAAAAAAAAAAAAmAIAAGRycy9kb3du&#10;cmV2LnhtbFBLBQYAAAAABAAEAPUAAACGAwAAAAA=&#10;" fillcolor="#92cddc [1944]" strokecolor="black [3213]" strokeweight="2pt">
                        <v:textbox>
                          <w:txbxContent>
                            <w:p w:rsidR="000F4866" w:rsidRPr="001502CF" w:rsidRDefault="000F4866" w:rsidP="003654A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Идентификација</w:t>
                              </w:r>
                            </w:p>
                          </w:txbxContent>
                        </v:textbox>
                      </v:shape>
                      <v:shape id="Straight Arrow Connector 69" o:spid="_x0000_s1039" type="#_x0000_t32" style="position:absolute;left:12954;top:15849;width:0;height:2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Cd8UAAADbAAAADwAAAGRycy9kb3ducmV2LnhtbESPzWrDMBCE74W8g9hAb42cHELrRgn5&#10;oVB6apyW0ttibS031sqRFNt5+yhQ6HGYmW+YxWqwjejIh9qxgukkA0FcOl1zpeDj8PLwCCJEZI2N&#10;Y1JwoQCr5ehugbl2Pe+pK2IlEoRDjgpMjG0uZSgNWQwT1xIn78d5izFJX0ntsU9w28hZls2lxZrT&#10;gsGWtobKY3G2CprurT99nn9PZvfeHYrt17fZ+Fap+/GwfgYRaYj/4b/2q1Ywf4Lbl/Q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Cd8UAAADbAAAADwAAAAAAAAAA&#10;AAAAAAChAgAAZHJzL2Rvd25yZXYueG1sUEsFBgAAAAAEAAQA+QAAAJMDAAAAAA==&#10;" strokecolor="black [3213]">
                        <v:stroke endarrow="block"/>
                      </v:shape>
                      <v:group id="Group 70" o:spid="_x0000_s1040" style="position:absolute;top:18745;width:48361;height:36731" coordsize="48361,36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rect id="Rectangle 71" o:spid="_x0000_s1041" style="position:absolute;left:29413;width:18872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DesUA&#10;AADbAAAADwAAAGRycy9kb3ducmV2LnhtbESPT2sCMRTE74V+h/CEXkSzerCyNYoU1EVowX+H3h6b&#10;52Zx8xI2UbffvhGEHoeZ+Q0zW3S2ETdqQ+1YwWiYgSAuna65UnA8rAZTECEia2wck4JfCrCYv77M&#10;MNfuzju67WMlEoRDjgpMjD6XMpSGLIah88TJO7vWYkyyraRu8Z7gtpHjLJtIizWnBYOePg2Vl/3V&#10;KlhtTH8pt18nX4Tvsx0Xfr3p/yj11uuWHyAidfE//GwXWsH7CB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cN6xQAAANsAAAAPAAAAAAAAAAAAAAAAAJgCAABkcnMv&#10;ZG93bnJldi54bWxQSwUGAAAAAAQABAD1AAAAigMAAAAA&#10;" filled="f" strokecolor="black [3213]" strokeweight="2pt">
                          <v:textbox>
                            <w:txbxContent>
                              <w:p w:rsidR="000F4866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560609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Записи искључени од стране људи</w:t>
                                </w:r>
                              </w:p>
                              <w:p w:rsidR="000F4866" w:rsidRPr="00560609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(н = 1277)</w:t>
                                </w:r>
                              </w:p>
                            </w:txbxContent>
                          </v:textbox>
                        </v:rect>
                        <v:rect id="Rectangle 72" o:spid="_x0000_s1042" style="position:absolute;left:29413;top:8458;width:18872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dDc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W85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10NxQAAANsAAAAPAAAAAAAAAAAAAAAAAJgCAABkcnMv&#10;ZG93bnJldi54bWxQSwUGAAAAAAQABAD1AAAAigMAAAAA&#10;" filled="f" strokecolor="black [3213]" strokeweight="2pt">
                          <v:textbox>
                            <w:txbxContent>
                              <w:p w:rsidR="000F4866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560609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Извештаји нису преузети</w:t>
                                </w:r>
                              </w:p>
                              <w:p w:rsidR="000F4866" w:rsidRPr="00560609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(н = 1)</w:t>
                                </w:r>
                              </w:p>
                            </w:txbxContent>
                          </v:textbox>
                        </v:rect>
                        <v:rect id="Rectangle 73" o:spid="_x0000_s1043" style="position:absolute;left:29489;top:16383;width:18872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4lsUA&#10;AADbAAAADwAAAGRycy9kb3ducmV2LnhtbESPT2sCMRTE74LfIbxCL6LZWqiyGkUE6yK0UP8cvD02&#10;z83SzUvYpLr99qZQ8DjMzG+Y+bKzjbhSG2rHCl5GGQji0umaKwXHw2Y4BREissbGMSn4pQDLRb83&#10;x1y7G3/RdR8rkSAcclRgYvS5lKE0ZDGMnCdO3sW1FmOSbSV1i7cEt40cZ9mbtFhzWjDoaW2o/N7/&#10;WAWbrRms5O7j5IvwebHjwr9vB2elnp+61QxEpC4+wv/tQiuYvM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F/iWxQAAANsAAAAPAAAAAAAAAAAAAAAAAJgCAABkcnMv&#10;ZG93bnJldi54bWxQSwUGAAAAAAQABAD1AAAAigMAAAAA&#10;" filled="f" strokecolor="black [3213]" strokeweight="2pt">
                          <v:textbox>
                            <w:txbxContent>
                              <w:p w:rsidR="000F4866" w:rsidRPr="008B1231" w:rsidRDefault="000F4866" w:rsidP="003654A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8B1231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Извештаји искључени:</w:t>
                                </w:r>
                              </w:p>
                              <w:p w:rsidR="000F4866" w:rsidRPr="008B1231" w:rsidRDefault="000F4866" w:rsidP="003654A2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8B1231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Дизајн студије који не испуњава услове (н = 8)</w:t>
                                </w:r>
                              </w:p>
                              <w:p w:rsidR="000F4866" w:rsidRPr="008B1231" w:rsidRDefault="000F4866" w:rsidP="003654A2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8B1231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Неприхватљиво становништво (н = 21)</w:t>
                                </w:r>
                              </w:p>
                              <w:p w:rsidR="000F4866" w:rsidRPr="008B1231" w:rsidRDefault="00592F05" w:rsidP="003654A2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Неприхватљива интервенција (н = 5)</w:t>
                                </w:r>
                              </w:p>
                              <w:p w:rsidR="000F4866" w:rsidRPr="00560609" w:rsidRDefault="000F4866" w:rsidP="003654A2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traight Arrow Connector 74" o:spid="_x0000_s1044" type="#_x0000_t32" style="position:absolute;left:23469;top:2514;width:5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7NMUAAADbAAAADwAAAGRycy9kb3ducmV2LnhtbESPQUsDMRSE70L/Q3iF3my2IlXWpsVW&#10;hNJT3Sri7bF5blY3L9sk3d3++6YgeBxm5htmsRpsIzryoXasYDbNQBCXTtdcKXg/vN4+gggRWWPj&#10;mBScKcBqObpZYK5dz2/UFbESCcIhRwUmxjaXMpSGLIapa4mT9+28xZikr6T22Ce4beRdls2lxZrT&#10;gsGWNobK3+JkFTTdrj9+nH6O5mXfHYrN55dZ+1apyXh4fgIRaYj/4b/2Vit4u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x7NMUAAADbAAAADwAAAAAAAAAA&#10;AAAAAAChAgAAZHJzL2Rvd25yZXYueG1sUEsFBgAAAAAEAAQA+QAAAJMDAAAAAA==&#10;" strokecolor="black [3213]">
                          <v:stroke endarrow="block"/>
                        </v:shape>
                        <v:shape id="Straight Arrow Connector 75" o:spid="_x0000_s1045" type="#_x0000_t32" style="position:absolute;left:23545;top:10972;width:5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Der8UAAADbAAAADwAAAGRycy9kb3ducmV2LnhtbESPQUsDMRSE70L/Q3iF3my2glXWpsVW&#10;hNJT3Sri7bF5blY3L9sk3d3++6YgeBxm5htmsRpsIzryoXasYDbNQBCXTtdcKXg/vN4+gggRWWPj&#10;mBScKcBqObpZYK5dz2/UFbESCcIhRwUmxjaXMpSGLIapa4mT9+28xZikr6T22Ce4beRdls2lxZrT&#10;gsGWNobK3+JkFTTdrj9+nH6O5mXfHYrN55dZ+1apyXh4fgIRaYj/4b/2Vit4u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Der8UAAADbAAAADwAAAAAAAAAA&#10;AAAAAAChAgAAZHJzL2Rvd25yZXYueG1sUEsFBgAAAAAEAAQA+QAAAJMDAAAAAA==&#10;" strokecolor="black [3213]">
                          <v:stroke endarrow="block"/>
                        </v:shape>
                        <v:shape id="Straight Arrow Connector 76" o:spid="_x0000_s1046" type="#_x0000_t32" style="position:absolute;left:23698;top:19278;width:56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JA2MUAAADbAAAADwAAAGRycy9kb3ducmV2LnhtbESPzWrDMBCE74W8g9hAb42cHNLiRgn5&#10;oVB6apyW0ttibS031sqRFNt5+yhQ6HGYmW+YxWqwjejIh9qxgukkA0FcOl1zpeDj8PLwBCJEZI2N&#10;Y1JwoQCr5ehugbl2Pe+pK2IlEoRDjgpMjG0uZSgNWQwT1xIn78d5izFJX0ntsU9w28hZls2lxZrT&#10;gsGWtobKY3G2CprurT99nn9PZvfeHYrt17fZ+Fap+/GwfgYRaYj/4b/2q1bwOIfbl/Q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JA2MUAAADbAAAADwAAAAAAAAAA&#10;AAAAAAChAgAAZHJzL2Rvd25yZXYueG1sUEsFBgAAAAAEAAQA+QAAAJMDAAAAAA==&#10;" strokecolor="black [3213]">
                          <v:stroke endarrow="block"/>
                        </v:shape>
                        <v:group id="Group 77" o:spid="_x0000_s1047" style="position:absolute;width:23471;height:36731" coordsize="23471,36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rect id="Rectangle 78" o:spid="_x0000_s1048" style="position:absolute;left:4598;top:16432;width:18873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q58IA&#10;AADbAAAADwAAAGRycy9kb3ducmV2LnhtbERPz2vCMBS+C/sfwhvsIprOw5RqKjJwloGCbh68PZrX&#10;pqx5CU2m3X+/HASPH9/v1XqwnbhSH1rHCl6nGQjiyumWGwXfX9vJAkSIyBo7x6TgjwKsi6fRCnPt&#10;bnyk6yk2IoVwyFGBidHnUobKkMUwdZ44cbXrLcYE+0bqHm8p3HZylmVv0mLLqcGgp3dD1c/p1yrY&#10;7sx4Iz/3Z1+GQ21npf/YjS9KvTwPmyWISEN8iO/uUiuYp7H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2rnwgAAANsAAAAPAAAAAAAAAAAAAAAAAJgCAABkcnMvZG93&#10;bnJldi54bWxQSwUGAAAAAAQABAD1AAAAhwMAAAAA&#10;" filled="f" strokecolor="black [3213]" strokeweight="2pt">
                            <v:textbox>
                              <w:txbxContent>
                                <w:p w:rsidR="000F4866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56060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Извештаји процењени за подобност</w:t>
                                  </w:r>
                                </w:p>
                                <w:p w:rsidR="000F4866" w:rsidRPr="00560609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(н = 46)</w:t>
                                  </w:r>
                                </w:p>
                              </w:txbxContent>
                            </v:textbox>
                          </v:rect>
                          <v:rect id="Rectangle 79" o:spid="_x0000_s1049" style="position:absolute;left:4370;top:29310;width:1887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PfMUA&#10;AADbAAAADwAAAGRycy9kb3ducmV2LnhtbESPT2sCMRTE74LfIbxCL6LZemh1NYoI1kVoof45eHts&#10;npulm5ewSXX77U2h4HGYmd8w82VnG3GlNtSOFbyMMhDEpdM1VwqOh81wAiJEZI2NY1LwSwGWi35v&#10;jrl2N/6i6z5WIkE45KjAxOhzKUNpyGIYOU+cvItrLcYk20rqFm8Jbhs5zrJXabHmtGDQ09pQ+b3/&#10;sQo2WzNYyd3HyRfh82LHhX/fDs5KPT91qxmISF18hP/bhVbwNoW/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898xQAAANsAAAAPAAAAAAAAAAAAAAAAAJgCAABkcnMv&#10;ZG93bnJldi54bWxQSwUGAAAAAAQABAD1AAAAigMAAAAA&#10;" filled="f" strokecolor="black [3213]" strokeweight="2pt">
                            <v:textbox>
                              <w:txbxContent>
                                <w:p w:rsidR="000F4866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Студије укључене у преглед</w:t>
                                  </w:r>
                                </w:p>
                                <w:p w:rsidR="000F4866" w:rsidRDefault="00592F05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(н = 12)</w:t>
                                  </w:r>
                                </w:p>
                                <w:p w:rsidR="000F4866" w:rsidRPr="00560609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Flowchart: Alternate Process 80" o:spid="_x0000_s1050" type="#_x0000_t176" style="position:absolute;left:-12623;top:12623;width:27873;height:26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tDcEA&#10;AADbAAAADwAAAGRycy9kb3ducmV2LnhtbERPTYvCMBC9C/sfwgh701QPi1Rj6QqLi17UevE2NLNt&#10;aTMpTVq7/npzEDw+3vcmGU0jBupcZVnBYh6BIM6trrhQcM1+ZisQziNrbCyTgn9ykGw/JhuMtb3z&#10;mYaLL0QIYRejgtL7NpbS5SUZdHPbEgfuz3YGfYBdIXWH9xBuGrmMoi9psOLQUGJLu5Ly+tIbBTh8&#10;H07DwaRZfct2x/5c7x/9VanP6ZiuQXga/Vv8cv9qBauwPnw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7Q3BAAAA2wAAAA8AAAAAAAAAAAAAAAAAmAIAAGRycy9kb3du&#10;cmV2LnhtbFBLBQYAAAAABAAEAPUAAACGAwAAAAA=&#10;" fillcolor="#92cddc [1944]" strokecolor="black [3213]" strokeweight="2pt">
                            <v:textbox>
                              <w:txbxContent>
                                <w:p w:rsidR="000F4866" w:rsidRDefault="000F4866" w:rsidP="003654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Сцреенинг</w:t>
                                  </w:r>
                                </w:p>
                                <w:p w:rsidR="000F4866" w:rsidRPr="001502CF" w:rsidRDefault="000F4866" w:rsidP="003654A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Alternate Process 81" o:spid="_x0000_s1051" type="#_x0000_t176" style="position:absolute;left:-2411;top:31595;width:7642;height:26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IlsUA&#10;AADbAAAADwAAAGRycy9kb3ducmV2LnhtbESPS2vDMBCE74H8B7GB3hI5PZTgRgmJobSkl/px6W2x&#10;NraxtTKW/Gh/fVUo9DjMzDfM8byYTkw0uMaygv0uAkFcWt1wpaDIX7YHEM4ja+wsk4IvcnA+rVdH&#10;jLWdOaUp85UIEHYxKqi972MpXVmTQbezPXHw7nYw6IMcKqkHnAPcdPIxip6kwYbDQo09JTWVbTYa&#10;BThdbx/TzVzy9jNP3se0ff0eC6UeNsvlGYSnxf+H/9pvWsFhD79fwg+Qp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EiWxQAAANsAAAAPAAAAAAAAAAAAAAAAAJgCAABkcnMv&#10;ZG93bnJldi54bWxQSwUGAAAAAAQABAD1AAAAigMAAAAA&#10;" fillcolor="#92cddc [1944]" strokecolor="black [3213]" strokeweight="2pt">
                            <v:textbox>
                              <w:txbxContent>
                                <w:p w:rsidR="000F4866" w:rsidRPr="001502CF" w:rsidRDefault="000F4866" w:rsidP="003654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Укључено</w:t>
                                  </w:r>
                                </w:p>
                              </w:txbxContent>
                            </v:textbox>
                          </v:shape>
                          <v:shape id="Straight Arrow Connector 82" o:spid="_x0000_s1052" type="#_x0000_t32" style="position:absolute;left:12980;top:21690;width:0;height:7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w2/MQAAADbAAAADwAAAGRycy9kb3ducmV2LnhtbESPQWsCMRSE7wX/Q3hCb5rVg8hqlKoU&#10;iqd2bZHeHpvXzdbNy5rE3e2/bwpCj8PMfMOst4NtREc+1I4VzKYZCOLS6ZorBe+n58kSRIjIGhvH&#10;pOCHAmw3o4c15tr1/EZdESuRIBxyVGBibHMpQ2nIYpi6ljh5X85bjEn6SmqPfYLbRs6zbCEt1pwW&#10;DLa0N1ReiptV0HTH/vpx+76aw2t3KvbnT7PzrVKP4+FpBSLSEP/D9/aLVrCcw9+X9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Db8xAAAANsAAAAPAAAAAAAAAAAA&#10;AAAAAKECAABkcnMvZG93bnJldi54bWxQSwUGAAAAAAQABAD5AAAAkgMAAAAA&#10;" strokecolor="black [3213]">
                            <v:stroke endarrow="block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71067F4" w14:textId="77777777" w:rsidR="003654A2" w:rsidRDefault="003654A2" w:rsidP="003654A2">
      <w:pPr>
        <w:pStyle w:val="NormalWeb"/>
        <w:spacing w:before="240" w:beforeAutospacing="0" w:after="200" w:afterAutospacing="0"/>
        <w:jc w:val="both"/>
        <w:rPr>
          <w:color w:val="000000"/>
        </w:rPr>
      </w:pPr>
    </w:p>
    <w:p w14:paraId="1B70BC28" w14:textId="77777777" w:rsidR="008526E6" w:rsidRPr="008B1231" w:rsidRDefault="008526E6" w:rsidP="008B1231">
      <w:pPr>
        <w:pStyle w:val="Naslov2"/>
        <w:rPr>
          <w:rFonts w:ascii="Times New Roman" w:hAnsi="Times New Roman" w:cs="Times New Roman"/>
          <w:color w:val="auto"/>
          <w:sz w:val="24"/>
        </w:rPr>
      </w:pPr>
      <w:r w:rsidRPr="008B1231">
        <w:rPr>
          <w:rFonts w:ascii="Times New Roman" w:hAnsi="Times New Roman" w:cs="Times New Roman"/>
          <w:color w:val="auto"/>
          <w:sz w:val="24"/>
        </w:rPr>
        <w:t>2.3. Процена ризика од пристрасности</w:t>
      </w:r>
    </w:p>
    <w:p w14:paraId="4EEF0D11" w14:textId="77777777" w:rsidR="008B1231" w:rsidRDefault="00272961" w:rsidP="00640926">
      <w:pPr>
        <w:pStyle w:val="NormalWeb"/>
        <w:spacing w:before="240" w:beforeAutospacing="0" w:after="200" w:afterAutospacing="0"/>
        <w:ind w:firstLine="720"/>
        <w:jc w:val="both"/>
        <w:rPr>
          <w:color w:val="000000"/>
        </w:rPr>
      </w:pPr>
      <w:r w:rsidRPr="00272961">
        <w:rPr>
          <w:color w:val="000000"/>
        </w:rPr>
        <w:t>Два независна аутора (ДМ и РМ) оценили су квалитет студије и могућност њеног укључивања у коначну анализу. Слепо рецензирање је обављено коришћењем веб алата „Раииан“. У случају неслагања у погледу налаза о процени ризика од пристрасности, добијене податке је проценио трећи рецензент (ВМ) који је донео коначну одлуку.</w:t>
      </w:r>
    </w:p>
    <w:p w14:paraId="43D52A67" w14:textId="77777777" w:rsidR="000F4866" w:rsidRPr="00EC1041" w:rsidRDefault="00167C41" w:rsidP="000F4866">
      <w:pPr>
        <w:pStyle w:val="Naslov1"/>
        <w:spacing w:before="0"/>
        <w:rPr>
          <w:rFonts w:ascii="Times New Roman" w:hAnsi="Times New Roman" w:cs="Times New Roman"/>
          <w:b w:val="0"/>
          <w:color w:val="auto"/>
          <w:lang w:val="sr-Cyrl-RS"/>
        </w:rPr>
      </w:pPr>
      <w:r w:rsidRPr="00EC1041">
        <w:rPr>
          <w:rStyle w:val="Naslov1Char"/>
          <w:rFonts w:ascii="Times New Roman" w:hAnsi="Times New Roman" w:cs="Times New Roman"/>
          <w:b/>
          <w:color w:val="auto"/>
        </w:rPr>
        <w:t>РЕЗУЛТАТИ</w:t>
      </w:r>
      <w:bookmarkStart w:id="1" w:name="m_-4951243547181760945__Hlk106450858"/>
    </w:p>
    <w:p w14:paraId="63C89A77" w14:textId="77777777" w:rsidR="000F4866" w:rsidRPr="006C5E59" w:rsidRDefault="000F4866" w:rsidP="006C5E59">
      <w:pPr>
        <w:pStyle w:val="Naslov2"/>
        <w:rPr>
          <w:rFonts w:ascii="Times New Roman" w:hAnsi="Times New Roman" w:cs="Times New Roman"/>
          <w:color w:val="auto"/>
          <w:sz w:val="24"/>
        </w:rPr>
      </w:pPr>
      <w:r w:rsidRPr="006C5E59">
        <w:rPr>
          <w:rFonts w:ascii="Times New Roman" w:hAnsi="Times New Roman" w:cs="Times New Roman"/>
          <w:color w:val="auto"/>
          <w:sz w:val="24"/>
        </w:rPr>
        <w:t>Квалитет студија</w:t>
      </w:r>
      <w:bookmarkEnd w:id="1"/>
    </w:p>
    <w:p w14:paraId="21DABA66" w14:textId="77777777" w:rsidR="000F4866" w:rsidRPr="00A062BE" w:rsidRDefault="000F4866" w:rsidP="00A062BE">
      <w:pPr>
        <w:shd w:val="clear" w:color="auto" w:fill="FFFFFF"/>
        <w:spacing w:before="120" w:after="360" w:line="235" w:lineRule="atLeast"/>
        <w:ind w:firstLine="720"/>
        <w:jc w:val="both"/>
        <w:rPr>
          <w:rFonts w:ascii="Times New Roman" w:hAnsi="Times New Roman" w:cs="Times New Roman"/>
          <w:color w:val="222222"/>
          <w:sz w:val="24"/>
          <w:lang w:val="sr-Cyrl-RS"/>
        </w:rPr>
      </w:pPr>
      <w:r w:rsidRPr="00A062BE">
        <w:rPr>
          <w:rFonts w:ascii="Times New Roman" w:hAnsi="Times New Roman" w:cs="Times New Roman"/>
          <w:color w:val="222222"/>
          <w:sz w:val="24"/>
          <w:lang w:val="en-AU"/>
        </w:rPr>
        <w:t>Резултати процене студије су израчунати коришћењем укупног броја студија укључених у квантитативну синтезу и поена које је свако истраживање добило на ПЕДро скали (Махер). Први критеријуми (критеријуми подобности) се односе на екстерну валидност и не рачунају се у коначни резултат.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9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436"/>
        <w:gridCol w:w="436"/>
        <w:gridCol w:w="345"/>
      </w:tblGrid>
      <w:tr w:rsidR="000F4866" w:rsidRPr="00B47713" w14:paraId="41E0557D" w14:textId="77777777" w:rsidTr="000F486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D957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D1D0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Критеријум</w:t>
            </w:r>
          </w:p>
        </w:tc>
      </w:tr>
      <w:tr w:rsidR="000F4866" w:rsidRPr="00B47713" w14:paraId="08480B0A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C674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Студија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260C9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EAF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E24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C572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347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1B1C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D064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B23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817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B5C2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AD91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7B6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∑</w:t>
            </w:r>
          </w:p>
        </w:tc>
      </w:tr>
      <w:tr w:rsidR="000F4866" w:rsidRPr="00B47713" w14:paraId="7492C4BA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C271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Тхивел ет ал. (2011)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4A0D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BC2E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087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C902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2315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B609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4A0F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50E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0C5A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C6A6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B6C4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5BEB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7</w:t>
            </w:r>
          </w:p>
        </w:tc>
      </w:tr>
      <w:tr w:rsidR="000F4866" w:rsidRPr="00B47713" w14:paraId="2D0D5603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207A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Раселанд ет ал. (2011)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BB9A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1EE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F78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F23C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2BD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807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394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485A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70D2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D28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C649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B4BF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4866" w:rsidRPr="00B47713" w14:paraId="1DF9C370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9756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Иин ет ал. (2012)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A34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5A13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D7E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742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692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3384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40B4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C30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0712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CDC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DEE0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E04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6</w:t>
            </w:r>
          </w:p>
        </w:tc>
      </w:tr>
      <w:tr w:rsidR="000F4866" w:rsidRPr="00B47713" w14:paraId="07B9F511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B74E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Круструп и др.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FC9B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AFDA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1A6A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3AE0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66C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C0CD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5ED3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B72D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24E1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B9D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4C74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D600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8</w:t>
            </w:r>
          </w:p>
        </w:tc>
      </w:tr>
      <w:tr w:rsidR="000F4866" w:rsidRPr="00B47713" w14:paraId="0CF88925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B3EB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Кхан ет ал.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15BB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D9D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D19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1687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A81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46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EDDF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4EE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B213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8D1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1E6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D24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8</w:t>
            </w:r>
          </w:p>
        </w:tc>
      </w:tr>
      <w:tr w:rsidR="000F4866" w:rsidRPr="00B47713" w14:paraId="0C2DB7B0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20F6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Тан ет ал. (2015)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EC4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68A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3D63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DC60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2263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231D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5DE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5DA49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FB2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7292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FF0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DC5E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7</w:t>
            </w:r>
          </w:p>
        </w:tc>
      </w:tr>
      <w:tr w:rsidR="000F4866" w:rsidRPr="00B47713" w14:paraId="2C4D7BBE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C981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Мартинез и др. (2016)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198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FBF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13DD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DBFD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55C1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E48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B52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3910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D7C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82C1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0E09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530C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7</w:t>
            </w:r>
          </w:p>
        </w:tc>
      </w:tr>
      <w:tr w:rsidR="000F4866" w:rsidRPr="00B47713" w14:paraId="6632DE35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0F10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Лееувен ет ал. (2018)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8A0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1AF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6F4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9751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2CA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E41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8BD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6FF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9E7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F04F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F471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7D7E9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3</w:t>
            </w:r>
          </w:p>
        </w:tc>
      </w:tr>
      <w:tr w:rsidR="000F4866" w:rsidRPr="00B47713" w14:paraId="1F75A4E2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8BE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Ие ет ал. (2019)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891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259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59B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4594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1429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59B1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8637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8C30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7FB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9AC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3913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2C7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5</w:t>
            </w:r>
          </w:p>
        </w:tc>
      </w:tr>
      <w:tr w:rsidR="000F4866" w:rsidRPr="00B47713" w14:paraId="0E9D9974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33409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Давис ет ал. (2019)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0377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270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FEE7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50A2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B302B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A8E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28F9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5C9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E225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9047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B89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92F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8</w:t>
            </w:r>
          </w:p>
        </w:tc>
      </w:tr>
      <w:tr w:rsidR="000F4866" w:rsidRPr="00B47713" w14:paraId="76B676D0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4AAB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Еспиноза-Силва и др. (2019)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20F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92D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50E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A032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140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3BB9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4EB7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1EF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833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58C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0948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DDF2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5</w:t>
            </w:r>
          </w:p>
        </w:tc>
      </w:tr>
      <w:tr w:rsidR="000F4866" w:rsidRPr="00B47713" w14:paraId="4E980F10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90AD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Леандро и др. (2021)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B423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B961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A592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B3B1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66F8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10175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1AB9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86C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28DD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802CA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D421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9BA2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7</w:t>
            </w:r>
          </w:p>
        </w:tc>
      </w:tr>
      <w:tr w:rsidR="000F4866" w:rsidRPr="00B47713" w14:paraId="7834F2EE" w14:textId="77777777" w:rsidTr="000F4866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6B3ED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Мартинез-Вискајано и др.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602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252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78450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A74F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E6F0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6042E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521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94674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07A8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45B8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17D3C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506" w14:textId="77777777" w:rsidR="000F4866" w:rsidRPr="00B47713" w:rsidRDefault="000F4866">
            <w:pPr>
              <w:jc w:val="both"/>
              <w:rPr>
                <w:rFonts w:ascii="Times New Roman" w:hAnsi="Times New Roman" w:cs="Times New Roman"/>
              </w:rPr>
            </w:pPr>
            <w:r w:rsidRPr="00B47713">
              <w:rPr>
                <w:rFonts w:ascii="Times New Roman" w:hAnsi="Times New Roman" w:cs="Times New Roman"/>
              </w:rPr>
              <w:t>9</w:t>
            </w:r>
          </w:p>
        </w:tc>
      </w:tr>
    </w:tbl>
    <w:p w14:paraId="225886CE" w14:textId="77777777" w:rsidR="00A22813" w:rsidRPr="00B47713" w:rsidRDefault="000F4866" w:rsidP="000F4866">
      <w:pPr>
        <w:shd w:val="clear" w:color="auto" w:fill="FFFFFF"/>
        <w:spacing w:after="160" w:line="235" w:lineRule="atLeast"/>
        <w:jc w:val="both"/>
        <w:rPr>
          <w:rFonts w:ascii="Times New Roman" w:hAnsi="Times New Roman" w:cs="Times New Roman"/>
        </w:rPr>
      </w:pPr>
      <w:r w:rsidRPr="00B47713">
        <w:rPr>
          <w:rFonts w:ascii="Times New Roman" w:hAnsi="Times New Roman" w:cs="Times New Roman"/>
          <w:lang w:val="en-AU"/>
        </w:rPr>
        <w:lastRenderedPageBreak/>
        <w:t>Легенда: 1—критеријуми подобности; 2—случајна алокација; 3—скривена алокација; 4—основна упоредивост; 5—слепи субјект; 6—слепи клиничар; 7—слепи проценитељ; 8—адекватно праћење; 9—намера да се лечи анализа; 10—анализа између група; 11 —процене поена и варијабилност; И—критеријум је задовољен; Н—критеријум није задовољен; ∑—укупан број бодова.</w:t>
      </w:r>
    </w:p>
    <w:p w14:paraId="39384781" w14:textId="77777777" w:rsidR="00D6359E" w:rsidRPr="00C8376B" w:rsidRDefault="00D6359E" w:rsidP="00626542">
      <w:pPr>
        <w:pStyle w:val="Naslov2"/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Hlk106451194"/>
      <w:r w:rsidRPr="00C8376B">
        <w:rPr>
          <w:rFonts w:ascii="Times New Roman" w:hAnsi="Times New Roman" w:cs="Times New Roman"/>
          <w:color w:val="auto"/>
          <w:sz w:val="24"/>
          <w:szCs w:val="24"/>
        </w:rPr>
        <w:t>Избор и карактеристике студија</w:t>
      </w:r>
    </w:p>
    <w:bookmarkEnd w:id="2"/>
    <w:p w14:paraId="3F1C0252" w14:textId="77777777" w:rsidR="00626542" w:rsidRPr="00A062BE" w:rsidRDefault="00377A63" w:rsidP="0064092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A062BE">
        <w:rPr>
          <w:rFonts w:ascii="Times New Roman" w:hAnsi="Times New Roman" w:cs="Times New Roman"/>
          <w:sz w:val="24"/>
        </w:rPr>
        <w:t>Пронађена је 1451 студија након претраживања електронских база података. Хиљаду триста двадесет четири студије су остале након уклањања дупликата, систематских прегледа и мета-анализе. Укупно 42 студије су процењене за подобност након што је 1277 студија одбијено због одређених захтева за укључивање. Коначно, преостале студије су прегледане и прочитане у целини, након чега је 12 студија укључено у коначну анализу.</w:t>
      </w:r>
    </w:p>
    <w:p w14:paraId="3091D131" w14:textId="77777777" w:rsidR="00761EE4" w:rsidRPr="00761EE4" w:rsidRDefault="00761EE4" w:rsidP="006C203A">
      <w:pPr>
        <w:ind w:firstLine="720"/>
        <w:jc w:val="both"/>
        <w:rPr>
          <w:rFonts w:cstheme="minorHAnsi"/>
          <w:i/>
          <w:lang w:val="sr-Latn-RS"/>
        </w:rPr>
      </w:pPr>
      <w:r w:rsidRPr="00761EE4">
        <w:rPr>
          <w:rFonts w:cstheme="minorHAnsi"/>
          <w:i/>
          <w:lang w:val="sr-Latn-RS"/>
        </w:rPr>
        <w:t>Табела 2 Преглед студија.</w:t>
      </w:r>
    </w:p>
    <w:tbl>
      <w:tblPr>
        <w:tblStyle w:val="TableGrid1"/>
        <w:tblW w:w="10048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757"/>
        <w:gridCol w:w="1015"/>
        <w:gridCol w:w="2377"/>
        <w:gridCol w:w="1433"/>
        <w:gridCol w:w="1407"/>
        <w:gridCol w:w="1781"/>
      </w:tblGrid>
      <w:tr w:rsidR="00F647CE" w:rsidRPr="00F647CE" w14:paraId="46A1E961" w14:textId="77777777" w:rsidTr="00D905EA">
        <w:trPr>
          <w:jc w:val="center"/>
        </w:trPr>
        <w:tc>
          <w:tcPr>
            <w:tcW w:w="1409" w:type="dxa"/>
            <w:vAlign w:val="center"/>
          </w:tcPr>
          <w:p w14:paraId="651310A0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Први аутор и година издања</w:t>
            </w:r>
            <w:bookmarkStart w:id="3" w:name="_Hlk106451331"/>
          </w:p>
        </w:tc>
        <w:tc>
          <w:tcPr>
            <w:tcW w:w="2033" w:type="dxa"/>
            <w:gridSpan w:val="2"/>
            <w:vAlign w:val="center"/>
          </w:tcPr>
          <w:p w14:paraId="2771C370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Узорак учесника</w:t>
            </w:r>
          </w:p>
        </w:tc>
        <w:tc>
          <w:tcPr>
            <w:tcW w:w="0" w:type="auto"/>
            <w:vAlign w:val="center"/>
          </w:tcPr>
          <w:p w14:paraId="52635616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ПФ</w:t>
            </w:r>
          </w:p>
        </w:tc>
        <w:tc>
          <w:tcPr>
            <w:tcW w:w="0" w:type="auto"/>
            <w:vAlign w:val="center"/>
          </w:tcPr>
          <w:p w14:paraId="47EA5EE3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Врста интервенције</w:t>
            </w:r>
          </w:p>
        </w:tc>
        <w:tc>
          <w:tcPr>
            <w:tcW w:w="0" w:type="auto"/>
            <w:vAlign w:val="center"/>
          </w:tcPr>
          <w:p w14:paraId="0546FC97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Трајање интервенције</w:t>
            </w:r>
          </w:p>
        </w:tc>
        <w:tc>
          <w:tcPr>
            <w:tcW w:w="1200" w:type="dxa"/>
            <w:vAlign w:val="center"/>
          </w:tcPr>
          <w:p w14:paraId="0F54E355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Резултати</w:t>
            </w:r>
          </w:p>
        </w:tc>
      </w:tr>
      <w:tr w:rsidR="00F647CE" w:rsidRPr="00F647CE" w14:paraId="62969277" w14:textId="77777777" w:rsidTr="00D905EA">
        <w:trPr>
          <w:jc w:val="center"/>
        </w:trPr>
        <w:tc>
          <w:tcPr>
            <w:tcW w:w="1409" w:type="dxa"/>
            <w:vAlign w:val="center"/>
          </w:tcPr>
          <w:p w14:paraId="4C82FC3D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897" w:type="dxa"/>
            <w:vAlign w:val="center"/>
          </w:tcPr>
          <w:p w14:paraId="58138D5F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Број</w:t>
            </w:r>
          </w:p>
        </w:tc>
        <w:tc>
          <w:tcPr>
            <w:tcW w:w="0" w:type="auto"/>
            <w:vAlign w:val="center"/>
          </w:tcPr>
          <w:p w14:paraId="01234DDB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Старост</w:t>
            </w:r>
          </w:p>
        </w:tc>
        <w:tc>
          <w:tcPr>
            <w:tcW w:w="0" w:type="auto"/>
            <w:vAlign w:val="center"/>
          </w:tcPr>
          <w:p w14:paraId="426E83F4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4C906BA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4F13DFC4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  <w:r w:rsidRPr="005467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  <w:t>месеци</w:t>
            </w:r>
          </w:p>
        </w:tc>
        <w:tc>
          <w:tcPr>
            <w:tcW w:w="1200" w:type="dxa"/>
            <w:vAlign w:val="center"/>
          </w:tcPr>
          <w:p w14:paraId="487C4602" w14:textId="77777777" w:rsidR="00F647CE" w:rsidRPr="0054675F" w:rsidRDefault="00F647CE" w:rsidP="00F647CE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F647CE" w:rsidRPr="00F647CE" w14:paraId="63E53D0E" w14:textId="77777777" w:rsidTr="00D905EA">
        <w:trPr>
          <w:jc w:val="center"/>
        </w:trPr>
        <w:tc>
          <w:tcPr>
            <w:tcW w:w="1409" w:type="dxa"/>
            <w:vAlign w:val="center"/>
          </w:tcPr>
          <w:p w14:paraId="457DD3F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Тхивел ет ал. (2011)</w:t>
            </w:r>
          </w:p>
        </w:tc>
        <w:tc>
          <w:tcPr>
            <w:tcW w:w="897" w:type="dxa"/>
            <w:vAlign w:val="center"/>
          </w:tcPr>
          <w:p w14:paraId="0739AAC9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457</w:t>
            </w:r>
          </w:p>
        </w:tc>
        <w:tc>
          <w:tcPr>
            <w:tcW w:w="1136" w:type="dxa"/>
            <w:vAlign w:val="center"/>
          </w:tcPr>
          <w:p w14:paraId="4A59A4C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6 - 10</w:t>
            </w:r>
          </w:p>
        </w:tc>
        <w:tc>
          <w:tcPr>
            <w:tcW w:w="2644" w:type="dxa"/>
            <w:vAlign w:val="center"/>
          </w:tcPr>
          <w:p w14:paraId="6C1261BE" w14:textId="77777777" w:rsidR="00F647CE" w:rsidRPr="00F647CE" w:rsidRDefault="00F647CE" w:rsidP="00F647CE">
            <w:pPr>
              <w:jc w:val="center"/>
              <w:rPr>
                <w:rFonts w:ascii="Calibri" w:eastAsia="Calibri" w:hAnsi="Calibri" w:cs="Calibri"/>
                <w:sz w:val="20"/>
                <w:szCs w:val="24"/>
                <w:lang w:eastAsia="zh-CN"/>
              </w:rPr>
            </w:pPr>
            <w:r w:rsidRPr="00F647CE">
              <w:rPr>
                <w:rFonts w:ascii="Calibri" w:eastAsia="Calibri" w:hAnsi="Calibri" w:cs="Calibri"/>
                <w:sz w:val="20"/>
                <w:szCs w:val="24"/>
                <w:lang w:eastAsia="zh-CN"/>
              </w:rPr>
              <w:t>СРТ</w:t>
            </w:r>
          </w:p>
        </w:tc>
        <w:tc>
          <w:tcPr>
            <w:tcW w:w="0" w:type="auto"/>
            <w:vAlign w:val="center"/>
          </w:tcPr>
          <w:p w14:paraId="183CA9DE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АЛ, 2/в</w:t>
            </w:r>
          </w:p>
        </w:tc>
        <w:tc>
          <w:tcPr>
            <w:tcW w:w="0" w:type="auto"/>
            <w:vAlign w:val="center"/>
          </w:tcPr>
          <w:p w14:paraId="6A4D563B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00" w:type="dxa"/>
            <w:vAlign w:val="center"/>
          </w:tcPr>
          <w:p w14:paraId="33F1F232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ЦРФ</w:t>
            </w:r>
            <w:r w:rsidRPr="00F647CE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F647CE" w:rsidRPr="00F647CE" w14:paraId="1B899094" w14:textId="77777777" w:rsidTr="00D905EA">
        <w:trPr>
          <w:trHeight w:val="386"/>
          <w:jc w:val="center"/>
        </w:trPr>
        <w:tc>
          <w:tcPr>
            <w:tcW w:w="1409" w:type="dxa"/>
            <w:vAlign w:val="center"/>
          </w:tcPr>
          <w:p w14:paraId="6C643A9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Раселанд ет ал. (2011)</w:t>
            </w:r>
          </w:p>
        </w:tc>
        <w:tc>
          <w:tcPr>
            <w:tcW w:w="897" w:type="dxa"/>
            <w:vAlign w:val="center"/>
          </w:tcPr>
          <w:p w14:paraId="5C27CFE0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256</w:t>
            </w:r>
          </w:p>
          <w:p w14:paraId="7E5EA04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125</w:t>
            </w:r>
          </w:p>
          <w:p w14:paraId="0F38F209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– 131</w:t>
            </w:r>
          </w:p>
        </w:tc>
        <w:tc>
          <w:tcPr>
            <w:tcW w:w="0" w:type="auto"/>
            <w:vAlign w:val="center"/>
          </w:tcPr>
          <w:p w14:paraId="16A9F626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9 - 10</w:t>
            </w:r>
          </w:p>
        </w:tc>
        <w:tc>
          <w:tcPr>
            <w:tcW w:w="0" w:type="auto"/>
            <w:vAlign w:val="center"/>
          </w:tcPr>
          <w:p w14:paraId="1154D019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Calibri" w:hAnsi="Calibri" w:cs="Calibri"/>
                <w:sz w:val="20"/>
                <w:szCs w:val="24"/>
                <w:lang w:eastAsia="zh-CN"/>
              </w:rPr>
              <w:t>ВО2пеак</w:t>
            </w:r>
          </w:p>
        </w:tc>
        <w:tc>
          <w:tcPr>
            <w:tcW w:w="0" w:type="auto"/>
            <w:vAlign w:val="center"/>
          </w:tcPr>
          <w:p w14:paraId="7DBFFCB6" w14:textId="77777777" w:rsidR="00F647CE" w:rsidRPr="00515377" w:rsidRDefault="00F647CE" w:rsidP="0054675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Дневно, МВПА</w:t>
            </w:r>
          </w:p>
        </w:tc>
        <w:tc>
          <w:tcPr>
            <w:tcW w:w="0" w:type="auto"/>
            <w:vAlign w:val="center"/>
          </w:tcPr>
          <w:p w14:paraId="494EC3B5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1200" w:type="dxa"/>
            <w:vAlign w:val="center"/>
          </w:tcPr>
          <w:p w14:paraId="6DB6DEA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ВО2пеак</w:t>
            </w:r>
            <w:r w:rsidRPr="00F647CE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F647CE" w:rsidRPr="00F647CE" w14:paraId="614E49EE" w14:textId="77777777" w:rsidTr="00D905EA">
        <w:trPr>
          <w:jc w:val="center"/>
        </w:trPr>
        <w:tc>
          <w:tcPr>
            <w:tcW w:w="1409" w:type="dxa"/>
            <w:vAlign w:val="center"/>
          </w:tcPr>
          <w:p w14:paraId="077C4FD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Иин ет ал. (2012)</w:t>
            </w:r>
          </w:p>
        </w:tc>
        <w:tc>
          <w:tcPr>
            <w:tcW w:w="897" w:type="dxa"/>
            <w:vAlign w:val="center"/>
          </w:tcPr>
          <w:p w14:paraId="470EB46E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574</w:t>
            </w:r>
          </w:p>
        </w:tc>
        <w:tc>
          <w:tcPr>
            <w:tcW w:w="0" w:type="auto"/>
            <w:vAlign w:val="center"/>
          </w:tcPr>
          <w:p w14:paraId="1A2CBFF2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8.7</w:t>
            </w:r>
            <w:r w:rsidRPr="00F647CE">
              <w:rPr>
                <w:rFonts w:ascii="Calibri" w:eastAsia="Calibri" w:hAnsi="Calibri" w:cs="Calibri"/>
                <w:sz w:val="20"/>
                <w:szCs w:val="24"/>
                <w:shd w:val="clear" w:color="auto" w:fill="FFFFFF"/>
                <w:lang w:eastAsia="zh-CN"/>
              </w:rPr>
              <w:t>± 0,5</w:t>
            </w:r>
          </w:p>
        </w:tc>
        <w:tc>
          <w:tcPr>
            <w:tcW w:w="0" w:type="auto"/>
            <w:vAlign w:val="center"/>
          </w:tcPr>
          <w:p w14:paraId="41CC748A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ХР; СТ</w:t>
            </w:r>
          </w:p>
        </w:tc>
        <w:tc>
          <w:tcPr>
            <w:tcW w:w="0" w:type="auto"/>
            <w:vAlign w:val="center"/>
          </w:tcPr>
          <w:p w14:paraId="5B9FB2DD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Дневно, Кидс4Фит</w:t>
            </w:r>
          </w:p>
        </w:tc>
        <w:tc>
          <w:tcPr>
            <w:tcW w:w="0" w:type="auto"/>
            <w:vAlign w:val="center"/>
          </w:tcPr>
          <w:p w14:paraId="189DB53C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1200" w:type="dxa"/>
            <w:vAlign w:val="center"/>
          </w:tcPr>
          <w:p w14:paraId="753E765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ЦРФ</w:t>
            </w:r>
            <w:r w:rsidRPr="00F647CE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  <w:p w14:paraId="784DF21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</w:p>
        </w:tc>
      </w:tr>
      <w:tr w:rsidR="00F647CE" w:rsidRPr="00F647CE" w14:paraId="199ECFE3" w14:textId="77777777" w:rsidTr="00D905EA">
        <w:trPr>
          <w:jc w:val="center"/>
        </w:trPr>
        <w:tc>
          <w:tcPr>
            <w:tcW w:w="1409" w:type="dxa"/>
            <w:vAlign w:val="center"/>
          </w:tcPr>
          <w:p w14:paraId="137711F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Круструп и др. (2014)</w:t>
            </w:r>
          </w:p>
        </w:tc>
        <w:tc>
          <w:tcPr>
            <w:tcW w:w="897" w:type="dxa"/>
            <w:vAlign w:val="center"/>
          </w:tcPr>
          <w:p w14:paraId="59FA11A4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51</w:t>
            </w:r>
          </w:p>
          <w:p w14:paraId="6983AEA5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21</w:t>
            </w:r>
          </w:p>
          <w:p w14:paraId="7BCFE99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- 30</w:t>
            </w:r>
          </w:p>
        </w:tc>
        <w:tc>
          <w:tcPr>
            <w:tcW w:w="0" w:type="auto"/>
            <w:vAlign w:val="center"/>
          </w:tcPr>
          <w:p w14:paraId="7242785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9 -10</w:t>
            </w:r>
          </w:p>
        </w:tc>
        <w:tc>
          <w:tcPr>
            <w:tcW w:w="0" w:type="auto"/>
            <w:vAlign w:val="center"/>
          </w:tcPr>
          <w:p w14:paraId="7B106E82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ЛВПВД; мировање ХР; БП у мировању</w:t>
            </w:r>
          </w:p>
        </w:tc>
        <w:tc>
          <w:tcPr>
            <w:tcW w:w="0" w:type="auto"/>
            <w:vAlign w:val="center"/>
          </w:tcPr>
          <w:p w14:paraId="406C72A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ССФ, 3к/в</w:t>
            </w:r>
          </w:p>
        </w:tc>
        <w:tc>
          <w:tcPr>
            <w:tcW w:w="0" w:type="auto"/>
            <w:vAlign w:val="center"/>
          </w:tcPr>
          <w:p w14:paraId="1B7658A4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1200" w:type="dxa"/>
            <w:vAlign w:val="center"/>
          </w:tcPr>
          <w:p w14:paraId="2633505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ЦРФ</w:t>
            </w:r>
            <w:r w:rsidRPr="00F647CE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2159E797" w14:textId="77777777" w:rsidTr="00D905EA">
        <w:trPr>
          <w:jc w:val="center"/>
        </w:trPr>
        <w:tc>
          <w:tcPr>
            <w:tcW w:w="1409" w:type="dxa"/>
            <w:vAlign w:val="center"/>
          </w:tcPr>
          <w:p w14:paraId="7C99F19B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Кхан ет ал. (2014)</w:t>
            </w:r>
          </w:p>
        </w:tc>
        <w:tc>
          <w:tcPr>
            <w:tcW w:w="897" w:type="dxa"/>
            <w:vAlign w:val="center"/>
          </w:tcPr>
          <w:p w14:paraId="38D6C5B7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220</w:t>
            </w:r>
          </w:p>
          <w:p w14:paraId="226BC17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117</w:t>
            </w:r>
          </w:p>
          <w:p w14:paraId="1AE8DC3A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– 103</w:t>
            </w:r>
          </w:p>
        </w:tc>
        <w:tc>
          <w:tcPr>
            <w:tcW w:w="0" w:type="auto"/>
            <w:vAlign w:val="center"/>
          </w:tcPr>
          <w:p w14:paraId="72555E2E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8 - 9</w:t>
            </w:r>
          </w:p>
        </w:tc>
        <w:tc>
          <w:tcPr>
            <w:tcW w:w="0" w:type="auto"/>
            <w:vAlign w:val="center"/>
          </w:tcPr>
          <w:p w14:paraId="500B04FE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Трака за трчање</w:t>
            </w:r>
          </w:p>
        </w:tc>
        <w:tc>
          <w:tcPr>
            <w:tcW w:w="0" w:type="auto"/>
            <w:vAlign w:val="center"/>
          </w:tcPr>
          <w:p w14:paraId="51CB6EE5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Дневни МВПА</w:t>
            </w:r>
          </w:p>
        </w:tc>
        <w:tc>
          <w:tcPr>
            <w:tcW w:w="0" w:type="auto"/>
            <w:vAlign w:val="center"/>
          </w:tcPr>
          <w:p w14:paraId="046A333E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00" w:type="dxa"/>
            <w:vAlign w:val="center"/>
          </w:tcPr>
          <w:p w14:paraId="793C8226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ЦРФ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7403029C" w14:textId="77777777" w:rsidTr="00D905EA">
        <w:trPr>
          <w:jc w:val="center"/>
        </w:trPr>
        <w:tc>
          <w:tcPr>
            <w:tcW w:w="1409" w:type="dxa"/>
            <w:vAlign w:val="center"/>
          </w:tcPr>
          <w:p w14:paraId="1116420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Тан ет ал. (2015)</w:t>
            </w:r>
          </w:p>
        </w:tc>
        <w:tc>
          <w:tcPr>
            <w:tcW w:w="897" w:type="dxa"/>
            <w:vAlign w:val="center"/>
          </w:tcPr>
          <w:p w14:paraId="1DEFECE6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- 46</w:t>
            </w:r>
          </w:p>
        </w:tc>
        <w:tc>
          <w:tcPr>
            <w:tcW w:w="0" w:type="auto"/>
            <w:vAlign w:val="center"/>
          </w:tcPr>
          <w:p w14:paraId="185FEBAE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8 -10</w:t>
            </w:r>
          </w:p>
        </w:tc>
        <w:tc>
          <w:tcPr>
            <w:tcW w:w="0" w:type="auto"/>
            <w:vAlign w:val="center"/>
          </w:tcPr>
          <w:p w14:paraId="32E12790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СРТ</w:t>
            </w:r>
          </w:p>
        </w:tc>
        <w:tc>
          <w:tcPr>
            <w:tcW w:w="0" w:type="auto"/>
            <w:vAlign w:val="center"/>
          </w:tcPr>
          <w:p w14:paraId="02B77F61" w14:textId="77777777" w:rsidR="00F647CE" w:rsidRPr="00515377" w:rsidRDefault="00F647CE" w:rsidP="0054675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Дневно, ФАТмак</w:t>
            </w:r>
          </w:p>
        </w:tc>
        <w:tc>
          <w:tcPr>
            <w:tcW w:w="0" w:type="auto"/>
            <w:vAlign w:val="center"/>
          </w:tcPr>
          <w:p w14:paraId="549E6B54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1200" w:type="dxa"/>
            <w:vAlign w:val="center"/>
          </w:tcPr>
          <w:p w14:paraId="5C884D1C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ЦРФ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0DFFD532" w14:textId="77777777" w:rsidTr="00D905EA">
        <w:trPr>
          <w:jc w:val="center"/>
        </w:trPr>
        <w:tc>
          <w:tcPr>
            <w:tcW w:w="1409" w:type="dxa"/>
            <w:vAlign w:val="center"/>
          </w:tcPr>
          <w:p w14:paraId="328819E7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Мартинез и др. (2016)</w:t>
            </w:r>
          </w:p>
        </w:tc>
        <w:tc>
          <w:tcPr>
            <w:tcW w:w="897" w:type="dxa"/>
            <w:vAlign w:val="center"/>
          </w:tcPr>
          <w:p w14:paraId="2A5676E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94</w:t>
            </w:r>
          </w:p>
          <w:p w14:paraId="521B65E9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52</w:t>
            </w:r>
          </w:p>
          <w:p w14:paraId="00218320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- 42</w:t>
            </w:r>
          </w:p>
          <w:p w14:paraId="20B0102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D699F56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7 - 9</w:t>
            </w:r>
          </w:p>
        </w:tc>
        <w:tc>
          <w:tcPr>
            <w:tcW w:w="0" w:type="auto"/>
            <w:vAlign w:val="center"/>
          </w:tcPr>
          <w:p w14:paraId="78127A4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ВО2мак, ЕПОЦ</w:t>
            </w:r>
          </w:p>
        </w:tc>
        <w:tc>
          <w:tcPr>
            <w:tcW w:w="0" w:type="auto"/>
            <w:vAlign w:val="center"/>
          </w:tcPr>
          <w:p w14:paraId="77EB2141" w14:textId="77777777" w:rsidR="00F647CE" w:rsidRPr="00515377" w:rsidRDefault="00F647CE" w:rsidP="0054675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ХИИТ, 2к недељно</w:t>
            </w:r>
          </w:p>
        </w:tc>
        <w:tc>
          <w:tcPr>
            <w:tcW w:w="0" w:type="auto"/>
            <w:vAlign w:val="center"/>
          </w:tcPr>
          <w:p w14:paraId="1267C4DC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00" w:type="dxa"/>
            <w:vAlign w:val="center"/>
          </w:tcPr>
          <w:p w14:paraId="31F7E458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sr-Latn-RS"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ВО2мак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↑;</w:t>
            </w: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ЕПОЦ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09F7C609" w14:textId="77777777" w:rsidTr="00D905EA">
        <w:trPr>
          <w:jc w:val="center"/>
        </w:trPr>
        <w:tc>
          <w:tcPr>
            <w:tcW w:w="1409" w:type="dxa"/>
            <w:vAlign w:val="center"/>
          </w:tcPr>
          <w:p w14:paraId="2AA28EB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Лееувен ет ал. (2018)</w:t>
            </w:r>
          </w:p>
        </w:tc>
        <w:tc>
          <w:tcPr>
            <w:tcW w:w="897" w:type="dxa"/>
            <w:vAlign w:val="center"/>
          </w:tcPr>
          <w:p w14:paraId="394AF5FA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154</w:t>
            </w:r>
          </w:p>
          <w:p w14:paraId="0BCB4154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66</w:t>
            </w:r>
          </w:p>
          <w:p w14:paraId="0F95EE43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– 88</w:t>
            </w:r>
          </w:p>
        </w:tc>
        <w:tc>
          <w:tcPr>
            <w:tcW w:w="0" w:type="auto"/>
            <w:vAlign w:val="center"/>
          </w:tcPr>
          <w:p w14:paraId="05E2436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8.5</w:t>
            </w:r>
            <w:r w:rsidRPr="00F647CE">
              <w:rPr>
                <w:rFonts w:ascii="Calibri" w:eastAsia="Calibri" w:hAnsi="Calibri" w:cs="Calibri"/>
                <w:sz w:val="20"/>
                <w:szCs w:val="24"/>
                <w:shd w:val="clear" w:color="auto" w:fill="FFFFFF"/>
                <w:lang w:eastAsia="zh-CN"/>
              </w:rPr>
              <w:t>± 1.8</w:t>
            </w:r>
          </w:p>
        </w:tc>
        <w:tc>
          <w:tcPr>
            <w:tcW w:w="0" w:type="auto"/>
            <w:vAlign w:val="center"/>
          </w:tcPr>
          <w:p w14:paraId="54408FB2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СРТ ВО2мак, БП</w:t>
            </w:r>
          </w:p>
        </w:tc>
        <w:tc>
          <w:tcPr>
            <w:tcW w:w="0" w:type="auto"/>
            <w:vAlign w:val="center"/>
          </w:tcPr>
          <w:p w14:paraId="4BD5923B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Кидс4Фит, 2квеек;1квеек</w:t>
            </w:r>
          </w:p>
        </w:tc>
        <w:tc>
          <w:tcPr>
            <w:tcW w:w="0" w:type="auto"/>
            <w:vAlign w:val="center"/>
          </w:tcPr>
          <w:p w14:paraId="5B57B0DB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00" w:type="dxa"/>
            <w:vAlign w:val="center"/>
          </w:tcPr>
          <w:p w14:paraId="4E28B014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СРТ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5823ED25" w14:textId="77777777" w:rsidTr="00D905EA">
        <w:trPr>
          <w:jc w:val="center"/>
        </w:trPr>
        <w:tc>
          <w:tcPr>
            <w:tcW w:w="1409" w:type="dxa"/>
            <w:vAlign w:val="center"/>
          </w:tcPr>
          <w:p w14:paraId="017507C9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lastRenderedPageBreak/>
              <w:t>Ие ет ал. (2019)</w:t>
            </w:r>
          </w:p>
        </w:tc>
        <w:tc>
          <w:tcPr>
            <w:tcW w:w="897" w:type="dxa"/>
            <w:vAlign w:val="center"/>
          </w:tcPr>
          <w:p w14:paraId="01B86C8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81</w:t>
            </w:r>
          </w:p>
          <w:p w14:paraId="1B2968D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42</w:t>
            </w:r>
          </w:p>
          <w:p w14:paraId="1EA6E81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- 39</w:t>
            </w:r>
          </w:p>
        </w:tc>
        <w:tc>
          <w:tcPr>
            <w:tcW w:w="0" w:type="auto"/>
            <w:vAlign w:val="center"/>
          </w:tcPr>
          <w:p w14:paraId="042364FC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Calibri" w:hAnsi="Calibri" w:cs="Calibri"/>
                <w:sz w:val="20"/>
                <w:szCs w:val="24"/>
                <w:shd w:val="clear" w:color="auto" w:fill="FFFFFF"/>
                <w:lang w:eastAsia="zh-CN"/>
              </w:rPr>
              <w:t>9,23 ± 0,62</w:t>
            </w:r>
          </w:p>
        </w:tc>
        <w:tc>
          <w:tcPr>
            <w:tcW w:w="0" w:type="auto"/>
            <w:vAlign w:val="center"/>
          </w:tcPr>
          <w:p w14:paraId="5CE5DB7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ХМР</w:t>
            </w:r>
          </w:p>
        </w:tc>
        <w:tc>
          <w:tcPr>
            <w:tcW w:w="0" w:type="auto"/>
            <w:vAlign w:val="center"/>
          </w:tcPr>
          <w:p w14:paraId="79216A76" w14:textId="77777777" w:rsidR="00F647CE" w:rsidRPr="00515377" w:rsidRDefault="0008130A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ЕКСГ, 1/недељно</w:t>
            </w:r>
          </w:p>
        </w:tc>
        <w:tc>
          <w:tcPr>
            <w:tcW w:w="0" w:type="auto"/>
            <w:vAlign w:val="center"/>
          </w:tcPr>
          <w:p w14:paraId="11FE2D8D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00" w:type="dxa"/>
            <w:vAlign w:val="center"/>
          </w:tcPr>
          <w:p w14:paraId="5F26374A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/</w:t>
            </w:r>
          </w:p>
        </w:tc>
      </w:tr>
      <w:tr w:rsidR="00515377" w:rsidRPr="00515377" w14:paraId="280D99B9" w14:textId="77777777" w:rsidTr="00D905EA">
        <w:trPr>
          <w:jc w:val="center"/>
        </w:trPr>
        <w:tc>
          <w:tcPr>
            <w:tcW w:w="1409" w:type="dxa"/>
            <w:vAlign w:val="center"/>
          </w:tcPr>
          <w:p w14:paraId="754D876B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Давис ет ал. (2019)</w:t>
            </w:r>
          </w:p>
        </w:tc>
        <w:tc>
          <w:tcPr>
            <w:tcW w:w="897" w:type="dxa"/>
            <w:vAlign w:val="center"/>
          </w:tcPr>
          <w:p w14:paraId="3A51120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75</w:t>
            </w:r>
          </w:p>
          <w:p w14:paraId="532E521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29</w:t>
            </w:r>
          </w:p>
          <w:p w14:paraId="330F2BB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– 46</w:t>
            </w:r>
          </w:p>
        </w:tc>
        <w:tc>
          <w:tcPr>
            <w:tcW w:w="0" w:type="auto"/>
            <w:vAlign w:val="center"/>
          </w:tcPr>
          <w:p w14:paraId="680E027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9,5 - 9,8</w:t>
            </w:r>
          </w:p>
        </w:tc>
        <w:tc>
          <w:tcPr>
            <w:tcW w:w="0" w:type="auto"/>
            <w:vAlign w:val="center"/>
          </w:tcPr>
          <w:p w14:paraId="7C82A03E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ПВВ, БП, ВО2пеак (трака за трчање)</w:t>
            </w:r>
          </w:p>
        </w:tc>
        <w:tc>
          <w:tcPr>
            <w:tcW w:w="0" w:type="auto"/>
            <w:vAlign w:val="center"/>
          </w:tcPr>
          <w:p w14:paraId="3A4A701F" w14:textId="77777777" w:rsidR="00F647CE" w:rsidRPr="00515377" w:rsidRDefault="00F647CE" w:rsidP="00B05FE7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Дневно, АСАЕ</w:t>
            </w:r>
          </w:p>
        </w:tc>
        <w:tc>
          <w:tcPr>
            <w:tcW w:w="0" w:type="auto"/>
            <w:vAlign w:val="center"/>
          </w:tcPr>
          <w:p w14:paraId="54BC2A01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00" w:type="dxa"/>
            <w:vAlign w:val="center"/>
          </w:tcPr>
          <w:p w14:paraId="51A452E9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ВО2пеак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5E28969E" w14:textId="77777777" w:rsidTr="00D905EA">
        <w:trPr>
          <w:jc w:val="center"/>
        </w:trPr>
        <w:tc>
          <w:tcPr>
            <w:tcW w:w="1409" w:type="dxa"/>
            <w:vAlign w:val="center"/>
          </w:tcPr>
          <w:p w14:paraId="2CCF2952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Еспиноза-Силва и др. (2019)</w:t>
            </w:r>
          </w:p>
        </w:tc>
        <w:tc>
          <w:tcPr>
            <w:tcW w:w="897" w:type="dxa"/>
            <w:vAlign w:val="center"/>
          </w:tcPr>
          <w:p w14:paraId="227103D6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274</w:t>
            </w:r>
          </w:p>
          <w:p w14:paraId="64ACE26F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120</w:t>
            </w:r>
          </w:p>
          <w:p w14:paraId="5777B74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– 154</w:t>
            </w:r>
          </w:p>
        </w:tc>
        <w:tc>
          <w:tcPr>
            <w:tcW w:w="0" w:type="auto"/>
            <w:vAlign w:val="center"/>
          </w:tcPr>
          <w:p w14:paraId="26BF21C5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7 - 9</w:t>
            </w:r>
          </w:p>
        </w:tc>
        <w:tc>
          <w:tcPr>
            <w:tcW w:w="0" w:type="auto"/>
            <w:vAlign w:val="center"/>
          </w:tcPr>
          <w:p w14:paraId="0D7F4987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БП; 6МВТ</w:t>
            </w:r>
          </w:p>
        </w:tc>
        <w:tc>
          <w:tcPr>
            <w:tcW w:w="0" w:type="auto"/>
            <w:vAlign w:val="center"/>
          </w:tcPr>
          <w:p w14:paraId="6734740B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ХИИТ, 2к/в</w:t>
            </w:r>
          </w:p>
        </w:tc>
        <w:tc>
          <w:tcPr>
            <w:tcW w:w="0" w:type="auto"/>
            <w:vAlign w:val="center"/>
          </w:tcPr>
          <w:p w14:paraId="6254A615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 w14:paraId="64745688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sr-Latn-RS"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val="sr-Latn-RS" w:eastAsia="zh-CN"/>
              </w:rPr>
              <w:t>ВО2мак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</w:t>
            </w:r>
          </w:p>
        </w:tc>
      </w:tr>
      <w:tr w:rsidR="00515377" w:rsidRPr="00515377" w14:paraId="735C1D15" w14:textId="77777777" w:rsidTr="00D905EA">
        <w:trPr>
          <w:jc w:val="center"/>
        </w:trPr>
        <w:tc>
          <w:tcPr>
            <w:tcW w:w="1409" w:type="dxa"/>
            <w:vAlign w:val="center"/>
          </w:tcPr>
          <w:p w14:paraId="562704DD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Мартинез-Вискајано и др. (2022)</w:t>
            </w:r>
          </w:p>
        </w:tc>
        <w:tc>
          <w:tcPr>
            <w:tcW w:w="897" w:type="dxa"/>
            <w:vAlign w:val="center"/>
          </w:tcPr>
          <w:p w14:paraId="31F2677B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Н – 487</w:t>
            </w:r>
          </w:p>
          <w:p w14:paraId="3B78A15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М – 233</w:t>
            </w:r>
          </w:p>
          <w:p w14:paraId="1DD16CC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Ж – 254</w:t>
            </w:r>
          </w:p>
        </w:tc>
        <w:tc>
          <w:tcPr>
            <w:tcW w:w="0" w:type="auto"/>
            <w:vAlign w:val="center"/>
          </w:tcPr>
          <w:p w14:paraId="0646EBA8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9.89</w:t>
            </w:r>
            <w:r w:rsidRPr="00F647CE">
              <w:rPr>
                <w:rFonts w:ascii="Calibri" w:eastAsia="Calibri" w:hAnsi="Calibri" w:cs="Calibri"/>
                <w:sz w:val="20"/>
                <w:szCs w:val="24"/>
                <w:shd w:val="clear" w:color="auto" w:fill="FFFFFF"/>
                <w:lang w:eastAsia="zh-CN"/>
              </w:rPr>
              <w:t>± 0,71</w:t>
            </w:r>
          </w:p>
        </w:tc>
        <w:tc>
          <w:tcPr>
            <w:tcW w:w="0" w:type="auto"/>
            <w:vAlign w:val="center"/>
          </w:tcPr>
          <w:p w14:paraId="69CB4BF1" w14:textId="77777777" w:rsidR="00F647CE" w:rsidRPr="00F647CE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F647CE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СРТ; АЛПХА батерија за фитнес тест</w:t>
            </w:r>
          </w:p>
        </w:tc>
        <w:tc>
          <w:tcPr>
            <w:tcW w:w="0" w:type="auto"/>
            <w:vAlign w:val="center"/>
          </w:tcPr>
          <w:p w14:paraId="372D5A6E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ХИИТ, 4к/в</w:t>
            </w:r>
          </w:p>
        </w:tc>
        <w:tc>
          <w:tcPr>
            <w:tcW w:w="0" w:type="auto"/>
            <w:vAlign w:val="center"/>
          </w:tcPr>
          <w:p w14:paraId="61F30DCB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00" w:type="dxa"/>
            <w:vAlign w:val="center"/>
          </w:tcPr>
          <w:p w14:paraId="44650ACC" w14:textId="77777777" w:rsidR="00F647CE" w:rsidRPr="00515377" w:rsidRDefault="00F647CE" w:rsidP="00F647CE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</w:pPr>
            <w:r w:rsidRPr="00515377">
              <w:rPr>
                <w:rFonts w:ascii="Calibri" w:eastAsia="Times New Roman" w:hAnsi="Calibri" w:cs="Times New Roman"/>
                <w:sz w:val="20"/>
                <w:szCs w:val="20"/>
                <w:lang w:eastAsia="zh-CN"/>
              </w:rPr>
              <w:t>ЦРФ</w:t>
            </w:r>
            <w:r w:rsidRPr="0051537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↑Ф</w:t>
            </w:r>
          </w:p>
        </w:tc>
      </w:tr>
      <w:tr w:rsidR="0054675F" w:rsidRPr="00F647CE" w14:paraId="0A447596" w14:textId="77777777" w:rsidTr="004A0CC0">
        <w:trPr>
          <w:jc w:val="center"/>
        </w:trPr>
        <w:tc>
          <w:tcPr>
            <w:tcW w:w="10048" w:type="dxa"/>
            <w:gridSpan w:val="7"/>
            <w:vAlign w:val="center"/>
          </w:tcPr>
          <w:p w14:paraId="2FD49AD4" w14:textId="77777777" w:rsidR="0054675F" w:rsidRPr="0054675F" w:rsidRDefault="0054675F" w:rsidP="000813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  <w:r w:rsidRPr="005467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RS" w:eastAsia="zh-CN"/>
              </w:rPr>
              <w:t>Легенда:</w:t>
            </w:r>
            <w:r w:rsidRPr="003B7321"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  <w:t>↑ значајно побољшање; Н – број испитаника; Г – пол; М – испитаници мушког пола; Ф – испитанице; в – недеља; ПФ – тест физичке спремности; ЦРФ – кардиореспираторни фитнес; БП – крвни притисак; КПР - Касцх Пулсе Рецовери Тест; ССФ - мали фудбал; АЛ – додатна настава; ПЛТ – плиометријски тренинг; ХИИТ – интервални тренинг високог интензитета; ВО2мак – максимална потрошња кисеоника; ВО2пеак – вршно упијање кисеоника; ХР – откуцаји срца; ЛВПВД – пречник задњег зида леве коморе; ПВВ - Каротидно-феморална брзина пулсног таласа; БП – крвни притисак; ЕПОЦ – вишак потрошње кисеоника после вежбања; СТ – степ тест; 6МВТ - 6-минутни тест ходања; ХМР – трчање на пола миље; Кидс4Фит - мултидисциплинарни програм смањења тежине; СРТ – тест вожње шатла; МВПА - физичка активност умереног до снажног интензитета; ЕКСГ – егзергаминг; АСАЕ – аеробна вежба после школе;</w:t>
            </w:r>
          </w:p>
        </w:tc>
      </w:tr>
      <w:bookmarkEnd w:id="3"/>
    </w:tbl>
    <w:p w14:paraId="7F5FA24D" w14:textId="77777777" w:rsidR="0054675F" w:rsidRDefault="0054675F" w:rsidP="00EC10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67A0" w14:textId="77777777" w:rsidR="00C8376B" w:rsidRPr="00633EBF" w:rsidRDefault="00B47713" w:rsidP="00640926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Дванаест студија је испунило критеријуме за укључивање у овај преглед. Најстарија студија објављена је 2011. (Тхивел), а најновија је из 2022. (Мартинез-Висцаиано, 2022). Укупан број учесника био је 2810. Највећи број учесника био је 574 (</w:t>
      </w:r>
      <w:r w:rsidR="00761EE4" w:rsidRPr="00F647CE">
        <w:rPr>
          <w:rFonts w:ascii="Times New Roman" w:eastAsia="Times New Roman" w:hAnsi="Times New Roman" w:cs="Times New Roman"/>
          <w:sz w:val="24"/>
          <w:szCs w:val="24"/>
          <w:lang w:eastAsia="zh-CN"/>
        </w:rPr>
        <w:t>Јин</w:t>
      </w:r>
      <w:r w:rsidR="00761EE4" w:rsidRPr="00C8376B">
        <w:rPr>
          <w:rFonts w:ascii="Times New Roman" w:hAnsi="Times New Roman" w:cs="Times New Roman"/>
          <w:sz w:val="24"/>
          <w:szCs w:val="24"/>
        </w:rPr>
        <w:t>), а најмањи број учесника био је 41 (</w:t>
      </w:r>
      <w:r w:rsidR="00761EE4" w:rsidRPr="00F647CE">
        <w:rPr>
          <w:rFonts w:ascii="Times New Roman" w:eastAsia="Times New Roman" w:hAnsi="Times New Roman" w:cs="Times New Roman"/>
          <w:sz w:val="24"/>
          <w:szCs w:val="24"/>
          <w:lang w:eastAsia="zh-CN"/>
        </w:rPr>
        <w:t>Леандро</w:t>
      </w:r>
      <w:r w:rsidR="00761EE4" w:rsidRPr="00C8376B">
        <w:rPr>
          <w:rFonts w:ascii="Times New Roman" w:hAnsi="Times New Roman" w:cs="Times New Roman"/>
          <w:sz w:val="24"/>
          <w:szCs w:val="24"/>
        </w:rPr>
        <w:t>). У скоро свим студијама, учесници су били оба пола. Међутим, учесници су били мушкарци у две студије (Леандро, Тан), док ниједна студија није рађена са женама. Најдужу интервенцију (36 месеци) имали су Јин, а најкраће (2 и по месеца) Круструп и Тан. Све студије су имале за циљ побољшање ЦРФ-а, а побољшање ЦРФ-а након интервенције је пронађено у свим студијама осим у једној (Ие). Интервенције које се највише користе у студијама биле су интервални тренинг високог интензитета (Еспиноза-Силва, Мартинез, 2016 Мартинез-Висцаиано, 2022) и свакодневна физичка активност (Давис, Кхан, Раселанд, Тан, Иин).</w:t>
      </w:r>
    </w:p>
    <w:p w14:paraId="12AE1E26" w14:textId="77777777" w:rsidR="00B0633C" w:rsidRPr="006C5E59" w:rsidRDefault="005F75C5" w:rsidP="006C5E59">
      <w:pPr>
        <w:pStyle w:val="Naslov1"/>
        <w:rPr>
          <w:rFonts w:ascii="Times New Roman" w:hAnsi="Times New Roman" w:cs="Times New Roman"/>
          <w:color w:val="auto"/>
        </w:rPr>
      </w:pPr>
      <w:r w:rsidRPr="006C5E59">
        <w:rPr>
          <w:rFonts w:ascii="Times New Roman" w:hAnsi="Times New Roman" w:cs="Times New Roman"/>
          <w:color w:val="auto"/>
        </w:rPr>
        <w:t>ДИСКУСИЈА</w:t>
      </w:r>
    </w:p>
    <w:p w14:paraId="3CC7540C" w14:textId="77777777" w:rsidR="00A5343D" w:rsidRPr="004A3E82" w:rsidRDefault="00D95D15" w:rsidP="004A3E82">
      <w:pPr>
        <w:pStyle w:val="NormalWeb"/>
        <w:spacing w:before="240" w:beforeAutospacing="0" w:after="200" w:afterAutospacing="0"/>
        <w:ind w:firstLine="720"/>
        <w:jc w:val="both"/>
      </w:pPr>
      <w:r>
        <w:rPr>
          <w:color w:val="000000"/>
        </w:rPr>
        <w:t xml:space="preserve">Садашња студија је имала за циљ да спроведе систематски преглед школских програма вежбања за промоцију ЦРФ-а код гојазне и гојазне деце узраста од 6 до 10 година. ЦРФ има важну улогу у здравственом статусу деце, због чега би школски програм физичког васпитања требало да садржи вежбе. за промоцију ЦРФ-а у циљу повећања њиховог </w:t>
      </w:r>
      <w:r>
        <w:rPr>
          <w:color w:val="000000"/>
        </w:rPr>
        <w:lastRenderedPageBreak/>
        <w:t>аеробног капацитета. Према резултатима студија, постоји 10 школских програма (краћих и дужих) који донекле утичу на побољшање ЦРФ-а код гојазне и гојазне деце узраста од 6 до 10 година. Сходно томе, интервенције као што су интервални тренинг високог интензитета,</w:t>
      </w:r>
      <w:r w:rsidR="00A5343D" w:rsidRPr="00F647CE">
        <w:rPr>
          <w:rFonts w:eastAsia="Calibri"/>
          <w:lang w:val="en-AU" w:eastAsia="zh-CN"/>
        </w:rPr>
        <w:t>плиометријски тренинг, мултидисциплинарни програм за смањење телесне тежине (Кидс4Фит), фудбал и активно видео играње утичу на респираторне способности деце и смањују ризик од КВБ.</w:t>
      </w:r>
    </w:p>
    <w:p w14:paraId="45F02BB2" w14:textId="77777777" w:rsidR="00081367" w:rsidRDefault="000A69B3" w:rsidP="00081367">
      <w:pPr>
        <w:pStyle w:val="NormalWeb"/>
        <w:spacing w:before="240" w:beforeAutospacing="0" w:after="200" w:afterAutospacing="0"/>
        <w:ind w:firstLine="720"/>
        <w:jc w:val="both"/>
        <w:rPr>
          <w:shd w:val="clear" w:color="auto" w:fill="FFFFFF"/>
        </w:rPr>
      </w:pPr>
      <w:r>
        <w:rPr>
          <w:color w:val="000000"/>
        </w:rPr>
        <w:t>Постоје јаки докази да интервални тренинг високог интензитета (ХИИТ) може бити</w:t>
      </w:r>
      <w:r w:rsidR="00CD7027" w:rsidRPr="000A69B3">
        <w:rPr>
          <w:shd w:val="clear" w:color="auto" w:fill="FFFFFF"/>
        </w:rPr>
        <w:t>изводљиво и моћно средство за унапређење ЦРФ-а (Бургомастер, Гибала, Вајт, Босман, Богатај). Преглед литературе показује да постоје радови који обухватају школски програм ХИИТ обуке за млађе категорије од 6 до 10 година, иако се широко користи код старије популације (Цхин, Јименез-Гарциа, 2022, Јименез-Гарциа, 2021, Рајли, Берж). Мартинез-Висциано је, користећи ХИИТ тренинг, побољшао ЦРФ код девојчица током једне школске године, с друге стране, Мартинез и сарадници, 2016. повећали су ВО2мак код деце са прекомерном тежином за само три месеца, изводећи два ХИИТ тренинга недељно користећи вежбе високог интензитета са прекидима и спорт активности као што су: получучњеви, спринтови, скокови и хоризонтално бацање кугле. Поред тога, стратегије са машинама за вежбање као што су бицикл и трака за трчање, као и основне моторичке вештине (трчање, скакање, бацање) коришћени су у програму високог интензитета (Еспиноза-Силва). Може се прихватити да школски ХИИТ програм обуке води ка побољшању аеробног капацитета деце са прекомерном тежином и гојазношћу.</w:t>
      </w:r>
    </w:p>
    <w:p w14:paraId="29C9359D" w14:textId="77777777" w:rsidR="006947D7" w:rsidRDefault="00081367" w:rsidP="006947D7">
      <w:pPr>
        <w:pStyle w:val="NormalWeb"/>
        <w:spacing w:before="240" w:beforeAutospacing="0" w:after="200" w:afterAutospacing="0"/>
        <w:ind w:firstLine="720"/>
        <w:jc w:val="both"/>
      </w:pPr>
      <w:r w:rsidRPr="00081367">
        <w:rPr>
          <w:lang w:val="sr-Latn-RS"/>
        </w:rPr>
        <w:t>Аеробне вежбе после школе, умерена до снажна физичка активност (МВПА), мултидисциплинарни програм смањења тежине (Кидс4Фит) и интензитет максималне стопе оксидације масти (ФАТмак) били су програми вежбања у школи за промоцију ЦРФ-а код гојазне и гојазне деце узраста од 6 до 10 година. (Давис, Тан, Кхан, Раселанд, Јин). Може се рећи да је свакодневно бављење овим физичким активностима довело до великог побољшања ЦРФ и аеробних способности деце нижег школског узраста. Штавише, Лееувен је користио Кидс4Фит као интервенцију за промоцију ЦРФ-а, при чему се интервенција радила два пута недељно током првих шест недеља и само једном недељно током последњих шест недеља. У овој студији, значајан позитиван ефекат на побољшање ЦРФ-а утврђен је и код гојазне и гојазне деце, али су после интервенције способности ЦРФ-а постепено опадале.</w:t>
      </w:r>
    </w:p>
    <w:p w14:paraId="271A9BBB" w14:textId="77777777" w:rsidR="006C5E59" w:rsidRPr="006947D7" w:rsidRDefault="006947D7" w:rsidP="006947D7">
      <w:pPr>
        <w:pStyle w:val="NormalWeb"/>
        <w:spacing w:before="240" w:beforeAutospacing="0" w:after="200" w:afterAutospacing="0"/>
        <w:ind w:firstLine="720"/>
        <w:jc w:val="both"/>
      </w:pPr>
      <w:r w:rsidRPr="006947D7">
        <w:rPr>
          <w:shd w:val="clear" w:color="auto" w:fill="FFFFFF"/>
        </w:rPr>
        <w:t>Редовни часови физичког васпитања нису довољни да би се промовисао дечији ЦРФ. Ако се редовним часовима додају два додатна тренинга који укључују вежбе за побољшање координације, снаге, издржљивости, брзине и флексибилности, на побољшање ЦРФ-а и срчане фреквенције код деце са прекомерном тежином и гојазности може се у великој мери утицати (Тхивел). Такође, вежбање и мали фудбал су два занимљива и забавна начина за реализацију додатних часова снажног интензитета. Поред дечијег уживања, оваквим интервенцијама регулишу и своје аеробне способности (Круструп, Ие). Неопходно је да реализација редовне наставе деце буде забавна и игрива како би се унапредиле њихове ЦРФ и аеробне способности.</w:t>
      </w:r>
    </w:p>
    <w:p w14:paraId="42D52AA7" w14:textId="77777777" w:rsidR="006C5E59" w:rsidRPr="006C5E59" w:rsidRDefault="006C5E59" w:rsidP="006C5E59">
      <w:pPr>
        <w:pStyle w:val="NormalWeb"/>
        <w:spacing w:before="240" w:beforeAutospacing="0" w:after="200" w:afterAutospacing="0"/>
        <w:ind w:firstLine="720"/>
        <w:jc w:val="both"/>
        <w:rPr>
          <w:shd w:val="clear" w:color="auto" w:fill="FFFFFF"/>
        </w:rPr>
      </w:pPr>
      <w:r w:rsidRPr="006C5E59">
        <w:rPr>
          <w:shd w:val="clear" w:color="auto" w:fill="FFFFFF"/>
        </w:rPr>
        <w:t>Главно ограничење овог прегледа био је неадекватан узорак учесника објављених студија. Такође, циљ истраживања није био побољшање ЦРФ-а већ других параметара морфолошких и физиолошких карактеристика.</w:t>
      </w:r>
      <w:r w:rsidR="008101EF" w:rsidRPr="008101EF">
        <w:rPr>
          <w:rFonts w:ascii="Calibri" w:eastAsia="Calibri" w:hAnsi="Calibri" w:cs="Calibri"/>
          <w:sz w:val="22"/>
          <w:szCs w:val="22"/>
        </w:rPr>
        <w:t xml:space="preserve"> </w:t>
      </w:r>
    </w:p>
    <w:p w14:paraId="06D21AB8" w14:textId="77777777" w:rsidR="00E06776" w:rsidRPr="006C5E59" w:rsidRDefault="006C5E59" w:rsidP="006C5E59">
      <w:pPr>
        <w:pStyle w:val="Naslov1"/>
        <w:rPr>
          <w:rFonts w:ascii="Times New Roman" w:hAnsi="Times New Roman" w:cs="Times New Roman"/>
          <w:color w:val="auto"/>
          <w:shd w:val="clear" w:color="auto" w:fill="FFFFFF"/>
        </w:rPr>
      </w:pPr>
      <w:r w:rsidRPr="006C5E59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ЗАКЉУЧАК</w:t>
      </w:r>
    </w:p>
    <w:p w14:paraId="4557B459" w14:textId="77777777" w:rsidR="00B2251F" w:rsidRPr="00515377" w:rsidRDefault="00515377" w:rsidP="00B225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Резултати овог систематског прегледа су показали да је било интервенција које су довеле до побољшања ЦРФ-а код гојазне и гојазне деце узраста од 6 до 10 година. Дуготрајне интервенције су довеле до већег побољшања ЦРФ-а од краће интервенције. Наши налази пружају доказ да школски програми вежбања у великој мери утичу на ЦРФ.</w:t>
      </w:r>
    </w:p>
    <w:p w14:paraId="50AE9A51" w14:textId="77777777" w:rsidR="00C8376B" w:rsidRPr="00633EBF" w:rsidRDefault="00C8376B" w:rsidP="00C8376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2E30D" w14:textId="77777777" w:rsidR="00C8376B" w:rsidRDefault="00C8376B" w:rsidP="00C837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AD4A74" w14:textId="77777777" w:rsidR="00C8376B" w:rsidRDefault="00C8376B">
      <w:pPr>
        <w:rPr>
          <w:rFonts w:ascii="Times New Roman" w:hAnsi="Times New Roman" w:cs="Times New Roman"/>
          <w:sz w:val="24"/>
        </w:rPr>
      </w:pPr>
    </w:p>
    <w:p w14:paraId="0C0E3117" w14:textId="77777777" w:rsidR="00701E4A" w:rsidRPr="00701E4A" w:rsidRDefault="00701E4A" w:rsidP="00701E4A">
      <w:pPr>
        <w:spacing w:after="24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01E4A">
        <w:rPr>
          <w:rFonts w:ascii="Times New Roman" w:eastAsia="Calibri" w:hAnsi="Times New Roman" w:cs="Times New Roman"/>
          <w:sz w:val="28"/>
        </w:rPr>
        <w:t>РЕФЕРЕНЦЕ</w:t>
      </w:r>
    </w:p>
    <w:p w14:paraId="177DF6E1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en-AU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Бауер, Н., Сперлицх, Б., Холмберг, ХЦ, &amp; Енгел, ФА (2022). Ефекти интервалног тренинга високог интензитета у школи на физичке перформансе и здравље деце и адолесцената: систематски преглед са мета-анализом. Медицина спорта-Отворено, 8(1), 1-14.</w:t>
      </w:r>
    </w:p>
    <w:p w14:paraId="5674E011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Брааксма, П., Стуиве, И., Гарст, РМ, Весселинк, ЦФ, ван дер Слуис, ЦК, Деккер, Р., &amp; Сцхоемакер, ММ (2018). Карактеристике интервенција физичке активности и ефекти на кардиореспираторну кондицију код деце узраста 6–12 година—систематски преглед. Часопис за науку и медицину у спорту, 21(3), 296-306.</w:t>
      </w:r>
    </w:p>
    <w:p w14:paraId="5CC4CD35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en-AU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Цао, Ц., Ианг, Л., Цаде, ВТ, Рацетте, СБ, Парк, И., Цао, И., ... &amp; Смитх, Л. (2020). Кардиореспираторни фитнес је повезан са раном смрћу међу здравим младим и средовечним бејби бумерима и генерацијом Ксерс. Тхе Америцан Јоурнал оф Медицине, 133(8), 961-968.</w:t>
      </w:r>
    </w:p>
    <w:p w14:paraId="05014CB7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en-AU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Царнетхон, МР, Гиддинг, СС, Нехгме, Р., Сиднеи, С., Јацобс Јр, ДР, &amp; Лиу, К. (2003). Кардиореспираторни фитнес у младом одраслом добу и развој фактора ризика за кардиоваскуларне болести. Јама, 290(23), 3092-3100.</w:t>
      </w:r>
    </w:p>
    <w:p w14:paraId="1DE8AF85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Цастро-Пинеро, Ј., Перез-Беи, А., Сегура-Хименез, В., Апарицио, ВА, Гомез-Мартинез, С., Изкуиердо-Гомез, Р., ... и Гомез-Галлего, Ф. ( 2017). Граничне тачке кардиореспираторног фитнеса за рано откривање садашњег и будућег кардиоваскуларног ризика код деце: двогодишња студија праћења. Ин Маио Цлиниц Процеедингс (Вол. 92, Но. 12, стр. 1753-1762). Елсевиер.</w:t>
      </w:r>
    </w:p>
    <w:p w14:paraId="02A24D26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en-AU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 xml:space="preserve">Енгел, ФА, Вагнер, МО, Сцхелхорн, Ф., Деуберт, Ф., Леутзсцх, С., Столз, А., &amp; Сперлицх, Б. (2019). Микро-сесије функционалног кружног тренинга високог интензитета у учионици побољшавају функционалну снагу, али не и кардиореспираторну </w:t>
      </w:r>
      <w:r w:rsidRPr="00701E4A">
        <w:rPr>
          <w:rFonts w:ascii="Times New Roman" w:eastAsia="Calibri" w:hAnsi="Times New Roman" w:cs="Times New Roman"/>
          <w:sz w:val="24"/>
          <w:lang w:val="en-AU"/>
        </w:rPr>
        <w:lastRenderedPageBreak/>
        <w:t>кондицију код школске деце – студија изводљивости. Границе у јавном здрављу, 291.</w:t>
      </w:r>
    </w:p>
    <w:p w14:paraId="27765764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Јанковски, М., Ниедзиелска, А., Бжежински, М., и Драбик, Ј. (2015). Кардиореспираторни фитнес код деце: једноставан скрининг тест за популационе студије. Педијатријска кардиологија, 36(1), 27-32.</w:t>
      </w:r>
    </w:p>
    <w:p w14:paraId="02034DBC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Cyrl-RS"/>
        </w:rPr>
      </w:pPr>
      <w:r w:rsidRPr="00701E4A">
        <w:rPr>
          <w:rFonts w:ascii="Times New Roman" w:eastAsia="Calibri" w:hAnsi="Times New Roman" w:cs="Times New Roman"/>
          <w:sz w:val="24"/>
        </w:rPr>
        <w:t>Ковацс, Е., Сиани, А., Констабел, К., Хадјигеоргиоу, Ц., Де Боурдеаудхуиј, И., Еибен, Г., ... &amp; Молнар, Д. (2014). Поштовање циљева интервенције у вези са животним стилом у вези са гојазношћу у студији ИДЕФИЦС. Међународни часопис за гојазност, 38(2), С144-С151.</w:t>
      </w:r>
    </w:p>
    <w:p w14:paraId="53C9C477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Cyrl-RS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Ларсен, МН, Нилсен, ЦМ, Хелге, ЕВ, Мадсен, М., Манницхе, В., Хансен, Л., ... и Круструп, П. (2018). Позитивни ефекти на минерализацију костију и мишићну кондицију након 10 месеци интензивног физичког тренинга у школи за децу узраста од 8 до 10 година: ФИТ ФИРСТ рандомизовано контролисано испитивање. Британски часопис спортске медицине, 52(4), 254-260.</w:t>
      </w:r>
    </w:p>
    <w:p w14:paraId="7E82F8A6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Cyrl-RS"/>
        </w:rPr>
      </w:pPr>
      <w:r w:rsidRPr="00701E4A">
        <w:rPr>
          <w:rFonts w:ascii="Times New Roman" w:eastAsia="Calibri" w:hAnsi="Times New Roman" w:cs="Times New Roman"/>
          <w:sz w:val="24"/>
        </w:rPr>
        <w:t>Лее, ДЦ, Артеро, ЕГ, Суи, Кс., &amp; Блаир, СН (2010). Трендови морталитета у општој популацији: значај кардиореспираторног фитнеса. Часопис за психофармакологију, 24(4_суппл), 27-35.</w:t>
      </w:r>
    </w:p>
    <w:p w14:paraId="0189ECF9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Cyrl-RS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Мартинез, СР, Риос, ЉЦ, Тамајо, ИМ, Алмеида, ЛГ, Лопез-Гомез, МА и Јара, ЦЦ (2016). Интервални програм високог интензитета после школе побољшава кондицију у вези са здрављем деце. Мотриз: Ревиста де Едуцацао Фисица, 22, 0359-0367.</w:t>
      </w:r>
    </w:p>
    <w:p w14:paraId="2354B8E4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Cyrl-RS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Менг, Ц., Иуцхенг, Т., Сху, Л., и Иу, З. (2022). Ефекти интервалног тренинга високог интензитета у школи на композицију тела, кардиореспираторну кондицију и кардиометаболичке маркере код адолесцената са гојазношћу: рандомизовано контролисано испитивање. БМЦ педијатрија, 22(1), 1-11.</w:t>
      </w:r>
    </w:p>
    <w:p w14:paraId="0445D1A8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Мороу Јр, ЈР, Такер, ЈС, Јацксон, АВ, Мартин, СБ, Греенлеаф, ЦА, и Петрие, ТА (2013). Испуњавање смерница за физичку активност и фитнес у вези са здрављем младих. Амерички часопис за превентивну медицину, 44(5), 439-444.</w:t>
      </w:r>
    </w:p>
    <w:p w14:paraId="0588DC4F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Ортега, ФБ, Руиз, ЈР, Цастилло, МЈ, Морено, ЛА, Урзанкуи, А., Гонзалез-Гросс, М., ... и Гутиеррез, А. (2008). Здравствена физичка спремност према хронолошком и биолошком узрасту адолесцената. Студија АВЕНА. Часопис за спортску медицину и физичку спрему, 48(3), 371.</w:t>
      </w:r>
    </w:p>
    <w:p w14:paraId="6E787C5B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Times New Roman" w:hAnsi="Times New Roman" w:cs="Times New Roman"/>
          <w:color w:val="000000"/>
          <w:sz w:val="24"/>
          <w:szCs w:val="24"/>
        </w:rPr>
        <w:t>Ресаланд, ГК, Андерсен, ЛБ, Мамен, А., Андерссен, СА (2011). Ефекти 2-годишње школске интервенције дневне физичке активности на</w:t>
      </w:r>
      <w:r w:rsidRPr="00701E4A">
        <w:rPr>
          <w:rFonts w:ascii="Times New Roman" w:eastAsia="Calibri" w:hAnsi="Times New Roman" w:cs="Times New Roman"/>
          <w:sz w:val="24"/>
        </w:rPr>
        <w:t xml:space="preserve"> </w:t>
      </w:r>
      <w:r w:rsidRPr="00701E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кардиореспираторни фитнес. </w:t>
      </w:r>
      <w:r w:rsidRPr="00701E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Согндал школа-интервентна студија.</w:t>
      </w:r>
      <w:r w:rsidRPr="00701E4A">
        <w:rPr>
          <w:rFonts w:ascii="Times New Roman" w:eastAsia="Calibri" w:hAnsi="Times New Roman" w:cs="Times New Roman"/>
          <w:i/>
          <w:sz w:val="24"/>
        </w:rPr>
        <w:t xml:space="preserve"> </w:t>
      </w:r>
      <w:r w:rsidRPr="00701E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Скандинавски часопис за медицину и науку у спорту</w:t>
      </w:r>
      <w:r w:rsidRPr="00701E4A">
        <w:rPr>
          <w:rFonts w:ascii="Times New Roman" w:eastAsia="Times New Roman" w:hAnsi="Times New Roman" w:cs="Times New Roman"/>
          <w:color w:val="000000"/>
          <w:sz w:val="24"/>
          <w:szCs w:val="24"/>
        </w:rPr>
        <w:t>, 21, 302-309.</w:t>
      </w:r>
    </w:p>
    <w:p w14:paraId="1F47935A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Latn-RS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Родригуес, АН, Перез, АЈ, Царлетти, Л., Биссоли, НС, &amp; Абреу, ГР (2007). Повезаност између кардиореспираторног фитнеса и кардиоваскуларног ризика код адолесцената. Јорнал де Педиатриа, 83, 429-435.</w:t>
      </w:r>
    </w:p>
    <w:p w14:paraId="17ECAF4D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Руиз, ЈР, Цастро-Пинеро, Ј., Артеро, ЕГ, Ортега, ФБ, Сјостром, М., Суни, Ј., &amp; Цастилло, МЈ (2009). Предиктивна валидност фитнеса у вези са здрављем код младих: систематски преглед. Британски часопис спортске медицине, 43(12), 909-923.</w:t>
      </w:r>
    </w:p>
    <w:p w14:paraId="6E0DDB03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Руиз, ЈР, Цаверо-Редондо, И., Ортега, ФБ, Велк, ГЈ, Андерсен, ЛБ, и Мартинез-Визцаино, В. (2016). Кардиореспираторна кондиција за смањење ризика од кардиоваскуларних болести код деце и адолесцената; који ниво кондиције треба да подигне црвену заставу? Систематски преглед и мета-анализа. Британски часопис спортске медицине, 50(23), 1451-1458.</w:t>
      </w:r>
    </w:p>
    <w:p w14:paraId="2497EB37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Сантос, Р., Мота, Ј., Окели, АД, Пратт, М., Мореира, Ц., Цоелхо-е-Силва, МЈ, ... и Сардинха, ЛБ (2014). Независне асоцијације седентарног понашања и физичке активности на кардиореспираторну кондицију. Бритисх Јоурнал оф Спортс Медицине, 48(20), 1508-1512.</w:t>
      </w:r>
    </w:p>
    <w:p w14:paraId="732770D3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Latn-RS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Станли, СЛ и Дхаруман, М. (2020). Индивидуалне и комбиноване интервенције таи цхи, пилатеса и јогијских вежби на кардио респираторну издржљивост б. ед. приправника. Међународни часопис за физичко васпитање Спортски менаџмент и јогијске науке, 10(4), 25-31.</w:t>
      </w:r>
    </w:p>
    <w:p w14:paraId="4B20324E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en-AU"/>
        </w:rPr>
      </w:pPr>
      <w:r w:rsidRPr="00701E4A">
        <w:rPr>
          <w:rFonts w:ascii="Times New Roman" w:eastAsia="Calibri" w:hAnsi="Times New Roman" w:cs="Times New Roman"/>
          <w:sz w:val="24"/>
          <w:lang w:val="en-AU"/>
        </w:rPr>
        <w:t>Суи, Кс., ЛаМонте, МЈ, Ладитка, ЈН, Хардин, ЈВ, Цхасе, Н., Хоокер, СП, и Блаир, СН (2007). Кардиореспираторна способност и адипозитет као предиктори морталитета код старијих особа. Јама, 298(21), 2507-2516.</w:t>
      </w:r>
    </w:p>
    <w:p w14:paraId="2D36CAA8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Веијалаинен, А., Томпури, Т., Хаапала, ЕА, Виитасало, А., Линту, Н., Ваисто, Ј., ... &amp; Лакка, ТА (2016). Асоцијације кардиореспираторног фитнеса, физичке активности и адипозе са укоченошћу артерија код деце. Скандинавски часопис за медицину и науку у спорту, 26(8), 943-950.</w:t>
      </w:r>
    </w:p>
    <w:p w14:paraId="2A094D39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Светска Здравствена Организација. (2010). Светска здравствена статистика 2010. Светска здравствена организација.</w:t>
      </w:r>
    </w:p>
    <w:p w14:paraId="41E45468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  <w:r w:rsidRPr="00701E4A">
        <w:rPr>
          <w:rFonts w:ascii="Times New Roman" w:eastAsia="Calibri" w:hAnsi="Times New Roman" w:cs="Times New Roman"/>
          <w:sz w:val="24"/>
        </w:rPr>
        <w:t>Ие, С., Попе, ЗЦ, Лее, ЈЕ и Гао, З. (2019). Ефекти вежбања у школи на физичку активност и кардиореспираторну кондицију градске деце: квази-експериментална студија. Међународни часопис за истраживање животне средине и јавно здравље, 16(21), 4080.</w:t>
      </w:r>
    </w:p>
    <w:p w14:paraId="6F86E54E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  <w:lang w:val="sr-Cyrl-RS"/>
        </w:rPr>
      </w:pPr>
    </w:p>
    <w:p w14:paraId="2517E523" w14:textId="77777777" w:rsidR="00701E4A" w:rsidRPr="00701E4A" w:rsidRDefault="00701E4A" w:rsidP="00701E4A">
      <w:pPr>
        <w:spacing w:after="240"/>
        <w:ind w:left="720" w:hanging="720"/>
        <w:rPr>
          <w:rFonts w:ascii="Times New Roman" w:eastAsia="Calibri" w:hAnsi="Times New Roman" w:cs="Times New Roman"/>
          <w:sz w:val="24"/>
        </w:rPr>
      </w:pPr>
    </w:p>
    <w:p w14:paraId="20BE36AD" w14:textId="77777777" w:rsidR="00A22813" w:rsidRDefault="00A22813">
      <w:pPr>
        <w:rPr>
          <w:rFonts w:ascii="Times New Roman" w:hAnsi="Times New Roman" w:cs="Times New Roman"/>
          <w:sz w:val="24"/>
        </w:rPr>
      </w:pPr>
    </w:p>
    <w:p w14:paraId="3C443ED9" w14:textId="77777777" w:rsidR="00A22813" w:rsidRDefault="00A22813">
      <w:pPr>
        <w:rPr>
          <w:rFonts w:ascii="Times New Roman" w:hAnsi="Times New Roman" w:cs="Times New Roman"/>
          <w:sz w:val="24"/>
        </w:rPr>
      </w:pPr>
    </w:p>
    <w:p w14:paraId="212BE6EC" w14:textId="77777777" w:rsidR="00A22813" w:rsidRDefault="00A22813">
      <w:pPr>
        <w:rPr>
          <w:rFonts w:ascii="Times New Roman" w:hAnsi="Times New Roman" w:cs="Times New Roman"/>
          <w:sz w:val="24"/>
        </w:rPr>
      </w:pPr>
    </w:p>
    <w:sectPr w:rsidR="00A2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7F0"/>
    <w:multiLevelType w:val="hybridMultilevel"/>
    <w:tmpl w:val="719C017C"/>
    <w:lvl w:ilvl="0" w:tplc="773CB6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729E3"/>
    <w:multiLevelType w:val="hybridMultilevel"/>
    <w:tmpl w:val="A9E67B06"/>
    <w:lvl w:ilvl="0" w:tplc="9642E0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337C5"/>
    <w:multiLevelType w:val="hybridMultilevel"/>
    <w:tmpl w:val="CC183556"/>
    <w:lvl w:ilvl="0" w:tplc="945404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0FCD"/>
    <w:multiLevelType w:val="hybridMultilevel"/>
    <w:tmpl w:val="B32E81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0497">
    <w:abstractNumId w:val="1"/>
  </w:num>
  <w:num w:numId="2" w16cid:durableId="1167137940">
    <w:abstractNumId w:val="0"/>
  </w:num>
  <w:num w:numId="3" w16cid:durableId="1270160322">
    <w:abstractNumId w:val="2"/>
  </w:num>
  <w:num w:numId="4" w16cid:durableId="100277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304"/>
    <w:rsid w:val="0001577A"/>
    <w:rsid w:val="00015D73"/>
    <w:rsid w:val="0008130A"/>
    <w:rsid w:val="00081367"/>
    <w:rsid w:val="000846C6"/>
    <w:rsid w:val="000905A3"/>
    <w:rsid w:val="00091FD9"/>
    <w:rsid w:val="000A69B3"/>
    <w:rsid w:val="000D139B"/>
    <w:rsid w:val="000D47E5"/>
    <w:rsid w:val="000F4866"/>
    <w:rsid w:val="00144B2D"/>
    <w:rsid w:val="001517C0"/>
    <w:rsid w:val="00161867"/>
    <w:rsid w:val="00167C41"/>
    <w:rsid w:val="00184C8E"/>
    <w:rsid w:val="001A03BC"/>
    <w:rsid w:val="001A457F"/>
    <w:rsid w:val="001E1E3D"/>
    <w:rsid w:val="002515B4"/>
    <w:rsid w:val="00263894"/>
    <w:rsid w:val="00272961"/>
    <w:rsid w:val="00330091"/>
    <w:rsid w:val="00350DBE"/>
    <w:rsid w:val="003654A2"/>
    <w:rsid w:val="00377A63"/>
    <w:rsid w:val="003B7321"/>
    <w:rsid w:val="003F485E"/>
    <w:rsid w:val="004A3E82"/>
    <w:rsid w:val="004D16D5"/>
    <w:rsid w:val="00515377"/>
    <w:rsid w:val="005253F3"/>
    <w:rsid w:val="0054675F"/>
    <w:rsid w:val="00592F05"/>
    <w:rsid w:val="005B6463"/>
    <w:rsid w:val="005E6566"/>
    <w:rsid w:val="005F75C5"/>
    <w:rsid w:val="00626542"/>
    <w:rsid w:val="00633EBF"/>
    <w:rsid w:val="00640926"/>
    <w:rsid w:val="006947D7"/>
    <w:rsid w:val="006C203A"/>
    <w:rsid w:val="006C5E59"/>
    <w:rsid w:val="006F67E2"/>
    <w:rsid w:val="00701E4A"/>
    <w:rsid w:val="00732263"/>
    <w:rsid w:val="00752105"/>
    <w:rsid w:val="00761EE4"/>
    <w:rsid w:val="00800443"/>
    <w:rsid w:val="008101EF"/>
    <w:rsid w:val="008526E6"/>
    <w:rsid w:val="008A2606"/>
    <w:rsid w:val="008A6D4E"/>
    <w:rsid w:val="008B1231"/>
    <w:rsid w:val="0092597E"/>
    <w:rsid w:val="009E09E4"/>
    <w:rsid w:val="00A062BE"/>
    <w:rsid w:val="00A22813"/>
    <w:rsid w:val="00A5343D"/>
    <w:rsid w:val="00A75D78"/>
    <w:rsid w:val="00A87787"/>
    <w:rsid w:val="00A96883"/>
    <w:rsid w:val="00B05FE7"/>
    <w:rsid w:val="00B0633C"/>
    <w:rsid w:val="00B114FD"/>
    <w:rsid w:val="00B2251F"/>
    <w:rsid w:val="00B47713"/>
    <w:rsid w:val="00B6059D"/>
    <w:rsid w:val="00BD6EB6"/>
    <w:rsid w:val="00C8376B"/>
    <w:rsid w:val="00CD7027"/>
    <w:rsid w:val="00CF4375"/>
    <w:rsid w:val="00D07328"/>
    <w:rsid w:val="00D6359E"/>
    <w:rsid w:val="00D8727F"/>
    <w:rsid w:val="00D905EA"/>
    <w:rsid w:val="00D95D15"/>
    <w:rsid w:val="00DB0861"/>
    <w:rsid w:val="00DE27E6"/>
    <w:rsid w:val="00E06776"/>
    <w:rsid w:val="00E22244"/>
    <w:rsid w:val="00E22304"/>
    <w:rsid w:val="00E63366"/>
    <w:rsid w:val="00EC1041"/>
    <w:rsid w:val="00ED4F37"/>
    <w:rsid w:val="00F43A29"/>
    <w:rsid w:val="00F647CE"/>
    <w:rsid w:val="00FD70C2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DF05"/>
  <w15:docId w15:val="{EE138B91-63D9-4C0D-965E-753639A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B1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B1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4">
    <w:name w:val="heading 4"/>
    <w:basedOn w:val="Normal"/>
    <w:link w:val="Naslov4Char"/>
    <w:uiPriority w:val="9"/>
    <w:qFormat/>
    <w:rsid w:val="00E223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rsid w:val="00E223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sussalistom">
    <w:name w:val="List Paragraph"/>
    <w:basedOn w:val="Normal"/>
    <w:uiPriority w:val="34"/>
    <w:qFormat/>
    <w:rsid w:val="000D139B"/>
    <w:pPr>
      <w:ind w:left="720"/>
      <w:contextualSpacing/>
    </w:pPr>
  </w:style>
  <w:style w:type="paragraph" w:styleId="Tekstkomentara">
    <w:name w:val="annotation text"/>
    <w:basedOn w:val="Normal"/>
    <w:link w:val="TekstkomentaraChar"/>
    <w:uiPriority w:val="99"/>
    <w:unhideWhenUsed/>
    <w:rsid w:val="00F647CE"/>
    <w:pPr>
      <w:spacing w:after="160" w:line="240" w:lineRule="auto"/>
    </w:pPr>
    <w:rPr>
      <w:rFonts w:eastAsiaTheme="minorEastAsia"/>
      <w:sz w:val="20"/>
      <w:szCs w:val="20"/>
      <w:lang w:val="en-AU" w:eastAsia="zh-CN"/>
    </w:rPr>
  </w:style>
  <w:style w:type="character" w:customStyle="1" w:styleId="TekstkomentaraChar">
    <w:name w:val="Tekst komentara Char"/>
    <w:basedOn w:val="Podrazumevanifontpasusa"/>
    <w:link w:val="Tekstkomentara"/>
    <w:uiPriority w:val="99"/>
    <w:rsid w:val="00F647CE"/>
    <w:rPr>
      <w:rFonts w:eastAsiaTheme="minorEastAsia"/>
      <w:sz w:val="20"/>
      <w:szCs w:val="20"/>
      <w:lang w:val="en-AU" w:eastAsia="zh-CN"/>
    </w:rPr>
  </w:style>
  <w:style w:type="table" w:styleId="Koordinatnamreatabele">
    <w:name w:val="Table Grid"/>
    <w:basedOn w:val="Normalnatabela"/>
    <w:uiPriority w:val="39"/>
    <w:rsid w:val="00F6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natabela"/>
    <w:next w:val="Koordinatnamreatabele"/>
    <w:uiPriority w:val="39"/>
    <w:rsid w:val="00F6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tpis">
    <w:name w:val="caption"/>
    <w:basedOn w:val="Normal"/>
    <w:next w:val="Normal"/>
    <w:uiPriority w:val="35"/>
    <w:unhideWhenUsed/>
    <w:qFormat/>
    <w:rsid w:val="00F647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aslov1Char">
    <w:name w:val="Naslov 1 Char"/>
    <w:basedOn w:val="Podrazumevanifontpasusa"/>
    <w:link w:val="Naslov1"/>
    <w:uiPriority w:val="9"/>
    <w:rsid w:val="008B1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Podrazumevanifontpasusa"/>
    <w:link w:val="Naslov2"/>
    <w:uiPriority w:val="9"/>
    <w:rsid w:val="008B1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52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525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Id7" Type="http://schemas.openxmlformats.org/officeDocument/2006/relationships/hyperlink" Target="https://www.onlinedoctranslator.com/en/?utm_source=onlinedoctranslator&amp;utm_medium=docx&amp;utm_campaign=at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_odt_logo" Type="http://schemas.openxmlformats.org/officeDocument/2006/relationships/image" Target="media/odt_attribution_logo.png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177CB-79E8-494F-888F-453E58D2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t.mujanovic@outlook.com</cp:lastModifiedBy>
  <cp:revision>4</cp:revision>
  <dcterms:created xsi:type="dcterms:W3CDTF">2022-09-20T13:21:00Z</dcterms:created>
  <dcterms:modified xsi:type="dcterms:W3CDTF">2022-09-20T14:57:00Z</dcterms:modified>
</cp:coreProperties>
</file>