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A9D" w:rsidRDefault="00DD7B84">
      <w:pPr>
        <w:pStyle w:val="a3"/>
        <w:rPr>
          <w:bCs/>
          <w:i/>
          <w:iCs/>
        </w:rPr>
      </w:pPr>
      <w:r>
        <w:rPr>
          <w:i/>
        </w:rPr>
        <w:t>Systematic Review</w:t>
      </w:r>
    </w:p>
    <w:p w:rsidR="00AB4A9D" w:rsidRPr="000A3A7B" w:rsidRDefault="00DD7B84">
      <w:pPr>
        <w:kinsoku w:val="0"/>
        <w:adjustRightInd w:val="0"/>
        <w:snapToGrid w:val="0"/>
        <w:spacing w:after="240" w:line="288" w:lineRule="auto"/>
        <w:ind w:firstLineChars="0" w:firstLine="0"/>
        <w:rPr>
          <w:rFonts w:eastAsia="DengXian"/>
          <w:b/>
          <w:bCs/>
          <w:spacing w:val="-8"/>
          <w:sz w:val="36"/>
          <w:szCs w:val="32"/>
        </w:rPr>
      </w:pPr>
      <w:r>
        <w:rPr>
          <w:rFonts w:eastAsia="DengXian"/>
          <w:b/>
          <w:bCs/>
          <w:spacing w:val="-8"/>
          <w:sz w:val="36"/>
          <w:szCs w:val="32"/>
        </w:rPr>
        <w:t xml:space="preserve">Systematization of Previous Studies of Exercises on the Rings in </w:t>
      </w:r>
      <w:r w:rsidRPr="000A3A7B">
        <w:rPr>
          <w:rFonts w:eastAsia="DengXian"/>
          <w:b/>
          <w:bCs/>
          <w:spacing w:val="-8"/>
          <w:sz w:val="36"/>
          <w:szCs w:val="32"/>
        </w:rPr>
        <w:t>Men’s Artistic Gymnastics</w:t>
      </w:r>
    </w:p>
    <w:p w:rsidR="00AB4A9D" w:rsidRPr="000A3A7B" w:rsidRDefault="00DD7B84">
      <w:pPr>
        <w:pStyle w:val="af1"/>
        <w:rPr>
          <w:lang w:val="en-GB"/>
        </w:rPr>
      </w:pPr>
      <w:r w:rsidRPr="000A3A7B">
        <w:t>Dušan Đorđević</w:t>
      </w:r>
      <w:r w:rsidR="001D2B65">
        <w:rPr>
          <w:vertAlign w:val="superscript"/>
        </w:rPr>
        <w:t>1,†,</w:t>
      </w:r>
      <w:r w:rsidRPr="000A3A7B">
        <w:t xml:space="preserve">*, </w:t>
      </w:r>
      <w:r w:rsidR="006B1EB4" w:rsidRPr="000A3A7B">
        <w:t>Miloš Paunović</w:t>
      </w:r>
      <w:r w:rsidR="00833FCC" w:rsidRPr="000A3A7B">
        <w:rPr>
          <w:vertAlign w:val="superscript"/>
        </w:rPr>
        <w:t>1</w:t>
      </w:r>
      <w:r w:rsidR="001D2B65">
        <w:rPr>
          <w:vertAlign w:val="superscript"/>
        </w:rPr>
        <w:t>,</w:t>
      </w:r>
      <w:r w:rsidR="000C1858" w:rsidRPr="000A3A7B">
        <w:rPr>
          <w:vertAlign w:val="superscript"/>
        </w:rPr>
        <w:t>†</w:t>
      </w:r>
      <w:r w:rsidRPr="000A3A7B">
        <w:t>,</w:t>
      </w:r>
      <w:r w:rsidR="006B1EB4" w:rsidRPr="000A3A7B">
        <w:t xml:space="preserve"> Saša Veličković</w:t>
      </w:r>
      <w:r w:rsidR="006B1EB4" w:rsidRPr="000A3A7B">
        <w:rPr>
          <w:vertAlign w:val="superscript"/>
        </w:rPr>
        <w:t>1</w:t>
      </w:r>
      <w:r w:rsidR="000C1858" w:rsidRPr="000A3A7B">
        <w:rPr>
          <w:vertAlign w:val="superscript"/>
        </w:rPr>
        <w:t>, †</w:t>
      </w:r>
      <w:r w:rsidR="006B1EB4" w:rsidRPr="000A3A7B">
        <w:t>, Petar Veličković</w:t>
      </w:r>
      <w:r w:rsidR="006B1EB4" w:rsidRPr="000A3A7B">
        <w:rPr>
          <w:vertAlign w:val="superscript"/>
        </w:rPr>
        <w:t>1</w:t>
      </w:r>
      <w:r w:rsidR="000C1858" w:rsidRPr="000A3A7B">
        <w:rPr>
          <w:vertAlign w:val="superscript"/>
        </w:rPr>
        <w:t>, †</w:t>
      </w:r>
      <w:r w:rsidRPr="000A3A7B">
        <w:t xml:space="preserve">, </w:t>
      </w:r>
      <w:r w:rsidR="001D2B65">
        <w:rPr>
          <w:lang w:val="sr-Latn-RS"/>
        </w:rPr>
        <w:t xml:space="preserve">Dino </w:t>
      </w:r>
      <w:r w:rsidR="001D2B65" w:rsidRPr="001D2B65">
        <w:rPr>
          <w:lang w:val="sr-Latn-RS"/>
        </w:rPr>
        <w:t>Mujanović</w:t>
      </w:r>
      <w:r w:rsidR="001D2B65" w:rsidRPr="001D2B65">
        <w:rPr>
          <w:vertAlign w:val="superscript"/>
          <w:lang w:val="sr-Latn-RS"/>
        </w:rPr>
        <w:t>2</w:t>
      </w:r>
      <w:r w:rsidR="001D2B65">
        <w:rPr>
          <w:lang w:val="sr-Latn-RS"/>
        </w:rPr>
        <w:t xml:space="preserve">, </w:t>
      </w:r>
      <w:r w:rsidRPr="001D2B65">
        <w:t>Mima</w:t>
      </w:r>
      <w:r w:rsidRPr="000A3A7B">
        <w:t xml:space="preserve"> Stankovi</w:t>
      </w:r>
      <w:r w:rsidRPr="000A3A7B">
        <w:rPr>
          <w:lang w:val="sr-Latn-RS"/>
        </w:rPr>
        <w:t>ć</w:t>
      </w:r>
      <w:r w:rsidRPr="000A3A7B">
        <w:rPr>
          <w:vertAlign w:val="superscript"/>
        </w:rPr>
        <w:t>1</w:t>
      </w:r>
      <w:r w:rsidR="001D2B65">
        <w:rPr>
          <w:vertAlign w:val="superscript"/>
        </w:rPr>
        <w:t>,</w:t>
      </w:r>
      <w:r w:rsidR="00B47A9E" w:rsidRPr="000A3A7B">
        <w:rPr>
          <w:vertAlign w:val="superscript"/>
        </w:rPr>
        <w:t>†</w:t>
      </w:r>
      <w:r w:rsidRPr="000A3A7B">
        <w:rPr>
          <w:lang w:val="sr-Latn-RS"/>
        </w:rPr>
        <w:t>, Danilo Radanović</w:t>
      </w:r>
      <w:r w:rsidRPr="000A3A7B">
        <w:rPr>
          <w:vertAlign w:val="superscript"/>
        </w:rPr>
        <w:t>2</w:t>
      </w:r>
      <w:r w:rsidRPr="000A3A7B">
        <w:rPr>
          <w:lang w:val="sr-Latn-RS"/>
        </w:rPr>
        <w:t xml:space="preserve">, </w:t>
      </w:r>
      <w:r w:rsidR="001D2B65">
        <w:rPr>
          <w:lang w:val="sr-Latn-RS"/>
        </w:rPr>
        <w:t>I</w:t>
      </w:r>
      <w:r w:rsidRPr="001D2B65">
        <w:rPr>
          <w:lang w:val="sr-Latn-RS"/>
        </w:rPr>
        <w:t>gor</w:t>
      </w:r>
      <w:r w:rsidRPr="000A3A7B">
        <w:rPr>
          <w:lang w:val="sr-Latn-RS"/>
        </w:rPr>
        <w:t xml:space="preserve"> Jelaska</w:t>
      </w:r>
      <w:r w:rsidRPr="000A3A7B">
        <w:rPr>
          <w:vertAlign w:val="superscript"/>
        </w:rPr>
        <w:t>3</w:t>
      </w:r>
      <w:r w:rsidRPr="000A3A7B">
        <w:rPr>
          <w:lang w:val="sr-Latn-RS"/>
        </w:rPr>
        <w:t>, Luka Pezelj</w:t>
      </w:r>
      <w:r w:rsidRPr="000A3A7B">
        <w:rPr>
          <w:vertAlign w:val="superscript"/>
        </w:rPr>
        <w:t>4</w:t>
      </w:r>
      <w:r w:rsidRPr="000A3A7B">
        <w:rPr>
          <w:lang w:val="sr-Latn-RS"/>
        </w:rPr>
        <w:t>,</w:t>
      </w:r>
      <w:r w:rsidR="005C3CD8" w:rsidRPr="000A3A7B">
        <w:rPr>
          <w:lang w:val="sr-Latn-RS"/>
        </w:rPr>
        <w:t xml:space="preserve"> </w:t>
      </w:r>
      <w:r w:rsidR="006E5B2C" w:rsidRPr="000A3A7B">
        <w:t>Goran Sporiš</w:t>
      </w:r>
      <w:r w:rsidR="001D2B65">
        <w:rPr>
          <w:vertAlign w:val="superscript"/>
        </w:rPr>
        <w:t>6</w:t>
      </w:r>
    </w:p>
    <w:p w:rsidR="00AB4A9D" w:rsidRPr="000A3A7B" w:rsidRDefault="00833FCC">
      <w:pPr>
        <w:pStyle w:val="a5"/>
        <w:snapToGrid w:val="0"/>
        <w:spacing w:line="288" w:lineRule="auto"/>
        <w:rPr>
          <w:i w:val="0"/>
          <w:sz w:val="18"/>
          <w:szCs w:val="18"/>
        </w:rPr>
      </w:pPr>
      <w:r w:rsidRPr="000A3A7B">
        <w:rPr>
          <w:i w:val="0"/>
          <w:sz w:val="18"/>
          <w:szCs w:val="18"/>
          <w:vertAlign w:val="superscript"/>
        </w:rPr>
        <w:t>1</w:t>
      </w:r>
      <w:r w:rsidR="006B1EB4" w:rsidRPr="000A3A7B">
        <w:rPr>
          <w:rFonts w:eastAsia="SimSun"/>
          <w:i w:val="0"/>
          <w:kern w:val="0"/>
          <w:sz w:val="18"/>
          <w:szCs w:val="18"/>
        </w:rPr>
        <w:t>Faculty of Sport and Physical Education, University of Ni</w:t>
      </w:r>
      <w:r w:rsidR="006B1EB4" w:rsidRPr="000A3A7B">
        <w:rPr>
          <w:rFonts w:eastAsia="SimSun"/>
          <w:i w:val="0"/>
          <w:kern w:val="0"/>
          <w:sz w:val="18"/>
          <w:szCs w:val="18"/>
          <w:lang w:val="sr-Latn-RS"/>
        </w:rPr>
        <w:t>š, 18000 Niš, Serbia</w:t>
      </w:r>
    </w:p>
    <w:p w:rsidR="006B1EB4" w:rsidRPr="000A3A7B" w:rsidRDefault="00833FCC" w:rsidP="006B1EB4">
      <w:pPr>
        <w:pStyle w:val="a5"/>
        <w:snapToGrid w:val="0"/>
        <w:spacing w:line="288" w:lineRule="auto"/>
        <w:rPr>
          <w:rFonts w:eastAsia="SimSun"/>
          <w:i w:val="0"/>
          <w:kern w:val="0"/>
          <w:sz w:val="18"/>
          <w:szCs w:val="18"/>
          <w:lang w:val="sr-Latn-RS"/>
        </w:rPr>
      </w:pPr>
      <w:r w:rsidRPr="000A3A7B">
        <w:rPr>
          <w:i w:val="0"/>
          <w:sz w:val="18"/>
          <w:szCs w:val="18"/>
          <w:vertAlign w:val="superscript"/>
        </w:rPr>
        <w:t>2</w:t>
      </w:r>
      <w:r w:rsidR="006B1EB4" w:rsidRPr="000A3A7B">
        <w:rPr>
          <w:rFonts w:eastAsia="SimSun"/>
          <w:i w:val="0"/>
          <w:kern w:val="0"/>
          <w:sz w:val="18"/>
          <w:szCs w:val="18"/>
        </w:rPr>
        <w:t>Faculty of Sport and Physical Education, University of Novi Sad</w:t>
      </w:r>
      <w:r w:rsidR="006B1EB4" w:rsidRPr="000A3A7B">
        <w:rPr>
          <w:rFonts w:eastAsia="SimSun"/>
          <w:i w:val="0"/>
          <w:kern w:val="0"/>
          <w:sz w:val="18"/>
          <w:szCs w:val="18"/>
          <w:lang w:val="sr-Latn-RS"/>
        </w:rPr>
        <w:t>, 21000 Novi Sad, Serbia</w:t>
      </w:r>
    </w:p>
    <w:p w:rsidR="00B47A9E" w:rsidRPr="000A3A7B" w:rsidRDefault="00B47A9E" w:rsidP="006B1EB4">
      <w:pPr>
        <w:pStyle w:val="a5"/>
        <w:snapToGrid w:val="0"/>
        <w:spacing w:line="288" w:lineRule="auto"/>
        <w:rPr>
          <w:rFonts w:eastAsia="SimSun"/>
          <w:i w:val="0"/>
          <w:kern w:val="0"/>
          <w:sz w:val="18"/>
          <w:szCs w:val="18"/>
          <w:lang w:val="sr-Latn-RS"/>
        </w:rPr>
      </w:pPr>
      <w:r w:rsidRPr="000A3A7B">
        <w:rPr>
          <w:i w:val="0"/>
          <w:sz w:val="18"/>
          <w:szCs w:val="18"/>
          <w:vertAlign w:val="superscript"/>
        </w:rPr>
        <w:t>3</w:t>
      </w:r>
      <w:r w:rsidRPr="000A3A7B">
        <w:rPr>
          <w:rFonts w:eastAsia="SimSun"/>
          <w:i w:val="0"/>
          <w:kern w:val="0"/>
          <w:sz w:val="18"/>
          <w:szCs w:val="18"/>
        </w:rPr>
        <w:t>Faculty of Kinesiology, University of Split</w:t>
      </w:r>
      <w:r w:rsidRPr="000A3A7B">
        <w:rPr>
          <w:rFonts w:eastAsia="SimSun"/>
          <w:i w:val="0"/>
          <w:kern w:val="0"/>
          <w:sz w:val="18"/>
          <w:szCs w:val="18"/>
          <w:lang w:val="sr-Latn-RS"/>
        </w:rPr>
        <w:t>, 21000 Split, Croatia</w:t>
      </w:r>
      <w:bookmarkStart w:id="0" w:name="_GoBack"/>
      <w:bookmarkEnd w:id="0"/>
    </w:p>
    <w:p w:rsidR="006E5B2C" w:rsidRPr="000A3A7B" w:rsidRDefault="004602BD" w:rsidP="006B1EB4">
      <w:pPr>
        <w:pStyle w:val="a5"/>
        <w:snapToGrid w:val="0"/>
        <w:spacing w:line="288" w:lineRule="auto"/>
        <w:rPr>
          <w:rFonts w:eastAsia="SimSun"/>
          <w:i w:val="0"/>
          <w:kern w:val="0"/>
          <w:sz w:val="18"/>
          <w:szCs w:val="18"/>
          <w:lang w:val="sr-Latn-RS"/>
        </w:rPr>
      </w:pPr>
      <w:r w:rsidRPr="000A3A7B">
        <w:rPr>
          <w:i w:val="0"/>
          <w:sz w:val="18"/>
          <w:szCs w:val="18"/>
          <w:vertAlign w:val="superscript"/>
        </w:rPr>
        <w:t>4</w:t>
      </w:r>
      <w:r w:rsidR="006E5B2C" w:rsidRPr="000A3A7B">
        <w:rPr>
          <w:rFonts w:eastAsia="SimSun"/>
          <w:i w:val="0"/>
          <w:kern w:val="0"/>
          <w:sz w:val="18"/>
          <w:szCs w:val="18"/>
        </w:rPr>
        <w:t xml:space="preserve">Faculty of </w:t>
      </w:r>
      <w:r w:rsidR="00B47A9E" w:rsidRPr="000A3A7B">
        <w:rPr>
          <w:rFonts w:eastAsia="SimSun"/>
          <w:i w:val="0"/>
          <w:kern w:val="0"/>
          <w:sz w:val="18"/>
          <w:szCs w:val="18"/>
        </w:rPr>
        <w:t>Maritime Studies, University of Split</w:t>
      </w:r>
      <w:r w:rsidR="00B47A9E" w:rsidRPr="000A3A7B">
        <w:rPr>
          <w:rFonts w:eastAsia="SimSun"/>
          <w:i w:val="0"/>
          <w:kern w:val="0"/>
          <w:sz w:val="18"/>
          <w:szCs w:val="18"/>
          <w:lang w:val="sr-Latn-RS"/>
        </w:rPr>
        <w:t>, 21000 Split</w:t>
      </w:r>
      <w:r w:rsidRPr="000A3A7B">
        <w:rPr>
          <w:rFonts w:eastAsia="SimSun"/>
          <w:i w:val="0"/>
          <w:kern w:val="0"/>
          <w:sz w:val="18"/>
          <w:szCs w:val="18"/>
          <w:lang w:val="sr-Latn-RS"/>
        </w:rPr>
        <w:t>, Croatia</w:t>
      </w:r>
    </w:p>
    <w:p w:rsidR="00B47A9E" w:rsidRPr="00B47A9E" w:rsidRDefault="00B47A9E" w:rsidP="006B1EB4">
      <w:pPr>
        <w:pStyle w:val="a5"/>
        <w:snapToGrid w:val="0"/>
        <w:spacing w:line="288" w:lineRule="auto"/>
        <w:rPr>
          <w:i w:val="0"/>
          <w:sz w:val="18"/>
          <w:szCs w:val="18"/>
          <w:vertAlign w:val="superscript"/>
        </w:rPr>
      </w:pPr>
      <w:r w:rsidRPr="000A3A7B">
        <w:rPr>
          <w:i w:val="0"/>
          <w:sz w:val="18"/>
          <w:szCs w:val="18"/>
          <w:vertAlign w:val="superscript"/>
        </w:rPr>
        <w:t>5</w:t>
      </w:r>
      <w:r w:rsidRPr="000A3A7B">
        <w:rPr>
          <w:rFonts w:eastAsia="SimSun"/>
          <w:i w:val="0"/>
          <w:kern w:val="0"/>
          <w:sz w:val="18"/>
          <w:szCs w:val="18"/>
        </w:rPr>
        <w:t>Faculty of Kinesiology, University of Zagreb</w:t>
      </w:r>
      <w:r w:rsidR="00046D35">
        <w:rPr>
          <w:rFonts w:eastAsia="SimSun"/>
          <w:i w:val="0"/>
          <w:kern w:val="0"/>
          <w:sz w:val="18"/>
          <w:szCs w:val="18"/>
          <w:lang w:val="sr-Latn-RS"/>
        </w:rPr>
        <w:t xml:space="preserve">, </w:t>
      </w:r>
      <w:r w:rsidRPr="000A3A7B">
        <w:rPr>
          <w:rFonts w:eastAsia="SimSun"/>
          <w:i w:val="0"/>
          <w:kern w:val="0"/>
          <w:sz w:val="18"/>
          <w:szCs w:val="18"/>
          <w:lang w:val="sr-Latn-RS"/>
        </w:rPr>
        <w:t>10110 Zagreb, Croatia</w:t>
      </w:r>
    </w:p>
    <w:p w:rsidR="00AB4A9D" w:rsidRDefault="00833FCC">
      <w:pPr>
        <w:pStyle w:val="a8"/>
        <w:spacing w:before="240"/>
      </w:pPr>
      <w:r>
        <w:t xml:space="preserve">*Correspondence: </w:t>
      </w:r>
      <w:r w:rsidR="00B47A9E">
        <w:t>dusandjordjevic1995</w:t>
      </w:r>
      <w:r w:rsidR="00B47A9E">
        <w:rPr>
          <w:lang w:val="en-GB"/>
        </w:rPr>
        <w:t>@gmail.com</w:t>
      </w:r>
      <w:r w:rsidR="003B697E">
        <w:t xml:space="preserve"> </w:t>
      </w:r>
      <w:r>
        <w:t>(</w:t>
      </w:r>
      <w:r w:rsidR="00B47A9E">
        <w:t>Du</w:t>
      </w:r>
      <w:r w:rsidR="00B47A9E">
        <w:rPr>
          <w:lang w:val="sr-Latn-RS"/>
        </w:rPr>
        <w:t>šan Đorđević</w:t>
      </w:r>
      <w:r>
        <w:t>)</w:t>
      </w:r>
    </w:p>
    <w:p w:rsidR="00AB4A9D" w:rsidRDefault="00DD40C3">
      <w:pPr>
        <w:pStyle w:val="a8"/>
      </w:pPr>
      <w:r w:rsidRPr="000C1858">
        <w:rPr>
          <w:vertAlign w:val="superscript"/>
        </w:rPr>
        <w:t>†</w:t>
      </w:r>
      <w:r w:rsidR="00833FCC" w:rsidRPr="000C1858">
        <w:t>These authors contributed equally.</w:t>
      </w:r>
    </w:p>
    <w:p w:rsidR="00AB4A9D" w:rsidRPr="00725B20" w:rsidRDefault="00833FCC">
      <w:pPr>
        <w:pStyle w:val="af"/>
      </w:pPr>
      <w:r w:rsidRPr="00725B20">
        <w:t>Author Contributions</w:t>
      </w:r>
    </w:p>
    <w:p w:rsidR="00AB4A9D" w:rsidRPr="0035644D" w:rsidRDefault="0035644D" w:rsidP="0035644D">
      <w:pPr>
        <w:ind w:firstLineChars="0" w:firstLine="0"/>
        <w:rPr>
          <w:rFonts w:eastAsia="SimSun"/>
          <w:color w:val="000000"/>
        </w:rPr>
      </w:pPr>
      <w:r w:rsidRPr="00613C04">
        <w:rPr>
          <w:rFonts w:eastAsia="SimSun"/>
          <w:lang w:val="sr-Latn-RS"/>
        </w:rPr>
        <w:t>DĐ</w:t>
      </w:r>
      <w:r w:rsidR="00613C04" w:rsidRPr="00613C04">
        <w:rPr>
          <w:rFonts w:eastAsia="SimSun"/>
          <w:lang w:val="sr-Latn-RS"/>
        </w:rPr>
        <w:t xml:space="preserve">, </w:t>
      </w:r>
      <w:r w:rsidR="00810FCE" w:rsidRPr="00613C04">
        <w:rPr>
          <w:rFonts w:eastAsia="SimSun"/>
        </w:rPr>
        <w:t xml:space="preserve">MP, </w:t>
      </w:r>
      <w:r w:rsidR="00810FCE">
        <w:rPr>
          <w:rFonts w:eastAsia="SimSun"/>
          <w:lang w:val="sr-Latn-RS"/>
        </w:rPr>
        <w:t>SV, PV and MS</w:t>
      </w:r>
      <w:r w:rsidRPr="00613C04">
        <w:rPr>
          <w:rFonts w:eastAsia="SimSun"/>
        </w:rPr>
        <w:t xml:space="preserve">—conceptualization; </w:t>
      </w:r>
      <w:r w:rsidR="00810FCE">
        <w:rPr>
          <w:rFonts w:eastAsia="SimSun"/>
        </w:rPr>
        <w:t>LP</w:t>
      </w:r>
      <w:r w:rsidRPr="00613C04">
        <w:rPr>
          <w:rFonts w:eastAsia="SimSun"/>
        </w:rPr>
        <w:t xml:space="preserve"> and GS—methodology</w:t>
      </w:r>
      <w:r w:rsidR="00613C04" w:rsidRPr="00613C04">
        <w:rPr>
          <w:rFonts w:eastAsia="SimSun"/>
        </w:rPr>
        <w:t xml:space="preserve">; </w:t>
      </w:r>
      <w:r w:rsidR="00810FCE">
        <w:rPr>
          <w:rFonts w:eastAsia="SimSun"/>
          <w:lang w:val="sr-Latn-RS"/>
        </w:rPr>
        <w:t>DR</w:t>
      </w:r>
      <w:r w:rsidR="001D2B65">
        <w:rPr>
          <w:rFonts w:eastAsia="SimSun"/>
          <w:lang w:val="sr-Latn-RS"/>
        </w:rPr>
        <w:t xml:space="preserve"> and DM</w:t>
      </w:r>
      <w:r w:rsidRPr="00613C04">
        <w:rPr>
          <w:rFonts w:eastAsia="SimSun"/>
        </w:rPr>
        <w:t xml:space="preserve">—software; </w:t>
      </w:r>
      <w:r w:rsidR="00810FCE">
        <w:rPr>
          <w:rFonts w:eastAsia="SimSun"/>
        </w:rPr>
        <w:t>IJ</w:t>
      </w:r>
      <w:r w:rsidRPr="00613C04">
        <w:rPr>
          <w:rFonts w:eastAsia="SimSun"/>
        </w:rPr>
        <w:t xml:space="preserve">—validation; </w:t>
      </w:r>
      <w:r w:rsidR="00810FCE">
        <w:rPr>
          <w:rFonts w:eastAsia="SimSun"/>
        </w:rPr>
        <w:t>LP</w:t>
      </w:r>
      <w:r w:rsidRPr="00613C04">
        <w:rPr>
          <w:rFonts w:eastAsia="SimSun"/>
        </w:rPr>
        <w:t>—formal analysis;</w:t>
      </w:r>
      <w:r w:rsidR="00810FCE">
        <w:rPr>
          <w:rFonts w:eastAsia="SimSun"/>
        </w:rPr>
        <w:t xml:space="preserve"> GS and DR</w:t>
      </w:r>
      <w:r w:rsidRPr="00613C04">
        <w:rPr>
          <w:rFonts w:eastAsia="SimSun"/>
        </w:rPr>
        <w:t xml:space="preserve">—investigation; </w:t>
      </w:r>
      <w:r w:rsidR="00810FCE" w:rsidRPr="00613C04">
        <w:rPr>
          <w:rFonts w:eastAsia="SimSun"/>
          <w:lang w:val="sr-Latn-RS"/>
        </w:rPr>
        <w:t xml:space="preserve">DĐ, </w:t>
      </w:r>
      <w:r w:rsidR="00810FCE" w:rsidRPr="00613C04">
        <w:rPr>
          <w:rFonts w:eastAsia="SimSun"/>
        </w:rPr>
        <w:t xml:space="preserve">MP, </w:t>
      </w:r>
      <w:r w:rsidR="00810FCE">
        <w:rPr>
          <w:rFonts w:eastAsia="SimSun"/>
          <w:lang w:val="sr-Latn-RS"/>
        </w:rPr>
        <w:t>SV, PV and MS</w:t>
      </w:r>
      <w:r w:rsidRPr="00613C04">
        <w:rPr>
          <w:rFonts w:eastAsia="SimSun"/>
        </w:rPr>
        <w:t xml:space="preserve">—resources; </w:t>
      </w:r>
      <w:r w:rsidR="00810FCE">
        <w:rPr>
          <w:rFonts w:eastAsia="SimSun"/>
        </w:rPr>
        <w:t>GS</w:t>
      </w:r>
      <w:r w:rsidRPr="00613C04">
        <w:rPr>
          <w:rFonts w:eastAsia="SimSun"/>
        </w:rPr>
        <w:t xml:space="preserve">—data curation; </w:t>
      </w:r>
      <w:r w:rsidR="00810FCE">
        <w:rPr>
          <w:rFonts w:eastAsia="SimSun"/>
          <w:lang w:val="sr-Latn-RS"/>
        </w:rPr>
        <w:t>IJ</w:t>
      </w:r>
      <w:r w:rsidRPr="00725B20">
        <w:rPr>
          <w:rFonts w:eastAsia="SimSun"/>
        </w:rPr>
        <w:t xml:space="preserve">—writing </w:t>
      </w:r>
      <w:r w:rsidR="00810FCE">
        <w:rPr>
          <w:rFonts w:eastAsia="SimSun"/>
        </w:rPr>
        <w:t>- original draft preparation; GS and LP</w:t>
      </w:r>
      <w:r w:rsidRPr="00725B20">
        <w:rPr>
          <w:rFonts w:eastAsia="SimSun"/>
        </w:rPr>
        <w:t>—writing - review and editing;</w:t>
      </w:r>
      <w:r w:rsidRPr="00725B20">
        <w:t xml:space="preserve"> </w:t>
      </w:r>
      <w:r w:rsidR="00810FCE">
        <w:rPr>
          <w:rFonts w:eastAsia="SimSun"/>
        </w:rPr>
        <w:t xml:space="preserve"> DR</w:t>
      </w:r>
      <w:r w:rsidR="001D2B65">
        <w:rPr>
          <w:rFonts w:eastAsia="SimSun"/>
        </w:rPr>
        <w:t xml:space="preserve"> and DM</w:t>
      </w:r>
      <w:r w:rsidR="00810FCE">
        <w:rPr>
          <w:rFonts w:eastAsia="SimSun"/>
        </w:rPr>
        <w:t>—visualization; GS</w:t>
      </w:r>
      <w:r w:rsidRPr="00725B20">
        <w:rPr>
          <w:rFonts w:eastAsia="SimSun"/>
        </w:rPr>
        <w:t xml:space="preserve">—supervision; GS—project administration. All authors have read and agreed to the published version of the manuscript. </w:t>
      </w:r>
      <w:r w:rsidR="00833FCC" w:rsidRPr="00725B20">
        <w:rPr>
          <w:rFonts w:eastAsia="SimSun"/>
          <w:szCs w:val="20"/>
        </w:rPr>
        <w:t>All authors contributed to editorial changes in the manuscript. All authors read and approved the final manuscript.</w:t>
      </w:r>
      <w:r w:rsidR="00833FCC">
        <w:rPr>
          <w:rFonts w:eastAsia="SimSun"/>
          <w:szCs w:val="20"/>
        </w:rPr>
        <w:t xml:space="preserve"> </w:t>
      </w:r>
    </w:p>
    <w:p w:rsidR="00AB4A9D" w:rsidRDefault="00833FCC">
      <w:pPr>
        <w:pStyle w:val="af"/>
      </w:pPr>
      <w:r>
        <w:t>Ethics Approval and Consent to Participate</w:t>
      </w:r>
    </w:p>
    <w:p w:rsidR="00DD486C" w:rsidRPr="007D2560" w:rsidRDefault="0035644D" w:rsidP="00DD486C">
      <w:pPr>
        <w:adjustRightInd w:val="0"/>
        <w:snapToGrid w:val="0"/>
        <w:spacing w:line="288" w:lineRule="auto"/>
        <w:ind w:firstLine="420"/>
        <w:rPr>
          <w:rFonts w:eastAsia="SimSun"/>
          <w:szCs w:val="20"/>
        </w:rPr>
      </w:pPr>
      <w:r>
        <w:rPr>
          <w:rFonts w:eastAsia="SimSun"/>
          <w:szCs w:val="20"/>
        </w:rPr>
        <w:t xml:space="preserve"> </w:t>
      </w:r>
      <w:r w:rsidR="00D306D5">
        <w:rPr>
          <w:rFonts w:eastAsia="SimSun"/>
          <w:szCs w:val="20"/>
        </w:rPr>
        <w:t>Not applicable</w:t>
      </w:r>
      <w:r>
        <w:rPr>
          <w:rFonts w:eastAsia="SimSun"/>
          <w:szCs w:val="20"/>
        </w:rPr>
        <w:t>.</w:t>
      </w:r>
    </w:p>
    <w:p w:rsidR="00AB4A9D" w:rsidRDefault="00833FCC">
      <w:pPr>
        <w:pStyle w:val="af"/>
      </w:pPr>
      <w:r>
        <w:t>Acknowledgment</w:t>
      </w:r>
    </w:p>
    <w:p w:rsidR="00AB4A9D" w:rsidRDefault="0035644D">
      <w:pPr>
        <w:adjustRightInd w:val="0"/>
        <w:snapToGrid w:val="0"/>
        <w:spacing w:line="288" w:lineRule="auto"/>
        <w:ind w:firstLine="420"/>
        <w:rPr>
          <w:rFonts w:eastAsia="SimSun"/>
          <w:szCs w:val="20"/>
        </w:rPr>
      </w:pPr>
      <w:r>
        <w:rPr>
          <w:rFonts w:eastAsia="SimSun"/>
          <w:szCs w:val="20"/>
        </w:rPr>
        <w:t>Not applicable.</w:t>
      </w:r>
    </w:p>
    <w:p w:rsidR="00AB4A9D" w:rsidRDefault="00833FCC">
      <w:pPr>
        <w:pStyle w:val="af"/>
      </w:pPr>
      <w:r>
        <w:t>Funding</w:t>
      </w:r>
    </w:p>
    <w:p w:rsidR="00AB4A9D" w:rsidRDefault="00833FCC">
      <w:pPr>
        <w:adjustRightInd w:val="0"/>
        <w:snapToGrid w:val="0"/>
        <w:spacing w:line="288" w:lineRule="auto"/>
        <w:ind w:firstLine="420"/>
        <w:rPr>
          <w:rFonts w:eastAsia="SimSun"/>
          <w:szCs w:val="20"/>
        </w:rPr>
      </w:pPr>
      <w:r>
        <w:rPr>
          <w:rFonts w:eastAsia="SimSun"/>
          <w:szCs w:val="20"/>
        </w:rPr>
        <w:t>This research received no external funding.</w:t>
      </w:r>
    </w:p>
    <w:p w:rsidR="00AB4A9D" w:rsidRDefault="00833FCC">
      <w:pPr>
        <w:pStyle w:val="af"/>
      </w:pPr>
      <w:r>
        <w:t>Conflict of Interest</w:t>
      </w:r>
    </w:p>
    <w:p w:rsidR="00AB4A9D" w:rsidRDefault="00833FCC">
      <w:pPr>
        <w:adjustRightInd w:val="0"/>
        <w:snapToGrid w:val="0"/>
        <w:spacing w:line="288" w:lineRule="auto"/>
        <w:ind w:firstLine="420"/>
        <w:rPr>
          <w:rFonts w:eastAsiaTheme="minorEastAsia"/>
          <w:b/>
          <w:bCs/>
        </w:rPr>
      </w:pPr>
      <w:r>
        <w:rPr>
          <w:rFonts w:eastAsia="SimSun"/>
          <w:szCs w:val="20"/>
        </w:rPr>
        <w:t>The authors d</w:t>
      </w:r>
      <w:r w:rsidR="00784C16">
        <w:rPr>
          <w:rFonts w:eastAsia="SimSun"/>
          <w:szCs w:val="20"/>
        </w:rPr>
        <w:t>eclare no conflict of interest.</w:t>
      </w:r>
    </w:p>
    <w:p w:rsidR="00AB4A9D" w:rsidRDefault="00AB4A9D">
      <w:pPr>
        <w:pStyle w:val="url"/>
        <w:spacing w:line="276" w:lineRule="auto"/>
        <w:jc w:val="both"/>
        <w:rPr>
          <w:b/>
          <w:bCs/>
          <w:sz w:val="28"/>
        </w:rPr>
      </w:pPr>
    </w:p>
    <w:p w:rsidR="00AB4A9D" w:rsidRDefault="00AB4A9D">
      <w:pPr>
        <w:ind w:firstLineChars="95" w:firstLine="199"/>
        <w:rPr>
          <w:lang w:eastAsia="de-DE"/>
        </w:rPr>
        <w:sectPr w:rsidR="00AB4A9D">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1134" w:footer="283" w:gutter="0"/>
          <w:cols w:space="425"/>
          <w:titlePg/>
          <w:docGrid w:type="lines" w:linePitch="312"/>
        </w:sectPr>
      </w:pPr>
    </w:p>
    <w:p w:rsidR="00AB4A9D" w:rsidRPr="00810FCE" w:rsidRDefault="00810FCE">
      <w:pPr>
        <w:pStyle w:val="aa"/>
        <w:rPr>
          <w:lang w:val="en-GB"/>
        </w:rPr>
      </w:pPr>
      <w:r>
        <w:lastRenderedPageBreak/>
        <w:t>Systematization of Previous Studies of Exercises on the Rings in Men’s Artistic Gymnastics</w:t>
      </w:r>
    </w:p>
    <w:p w:rsidR="00AB4A9D" w:rsidRPr="00CE04A9" w:rsidRDefault="00833FCC">
      <w:pPr>
        <w:pStyle w:val="Abstract"/>
      </w:pPr>
      <w:r w:rsidRPr="00CE04A9">
        <w:t>Abstract</w:t>
      </w:r>
    </w:p>
    <w:p w:rsidR="00AB4A9D" w:rsidRPr="008B3C1C" w:rsidRDefault="00833FCC">
      <w:pPr>
        <w:ind w:firstLineChars="0" w:firstLine="0"/>
      </w:pPr>
      <w:r w:rsidRPr="00CE04A9">
        <w:rPr>
          <w:rFonts w:eastAsia="SimSun"/>
          <w:b/>
          <w:bCs/>
          <w:color w:val="000000"/>
        </w:rPr>
        <w:t>Background</w:t>
      </w:r>
      <w:r w:rsidR="00CE04A9">
        <w:rPr>
          <w:rFonts w:eastAsia="SimSun"/>
          <w:color w:val="000000"/>
        </w:rPr>
        <w:t xml:space="preserve">: </w:t>
      </w:r>
      <w:r w:rsidR="00324935" w:rsidRPr="00AB1276">
        <w:t xml:space="preserve">One of the six apparatuses in men’s artistic gymnastics is rings, which differs from other apparatuses by the fact that rings can move free in all possible directions. </w:t>
      </w:r>
      <w:r w:rsidR="00324935" w:rsidRPr="008042B5">
        <w:rPr>
          <w:color w:val="000000"/>
          <w:shd w:val="clear" w:color="auto" w:fill="FFFFFF"/>
        </w:rPr>
        <w:t>Thus, a high fitness performance level is decisive in men’s artistic gymnastics to fulfil</w:t>
      </w:r>
      <w:r w:rsidR="00683FFC">
        <w:rPr>
          <w:color w:val="000000"/>
          <w:shd w:val="clear" w:color="auto" w:fill="FFFFFF"/>
        </w:rPr>
        <w:t>l</w:t>
      </w:r>
      <w:r w:rsidR="00324935" w:rsidRPr="008042B5">
        <w:rPr>
          <w:color w:val="000000"/>
          <w:shd w:val="clear" w:color="auto" w:fill="FFFFFF"/>
        </w:rPr>
        <w:t xml:space="preserve"> exercises technical requirements</w:t>
      </w:r>
      <w:r w:rsidR="00324935">
        <w:rPr>
          <w:color w:val="000000"/>
          <w:shd w:val="clear" w:color="auto" w:fill="FFFFFF"/>
        </w:rPr>
        <w:t xml:space="preserve">, </w:t>
      </w:r>
      <w:r w:rsidR="00324935" w:rsidRPr="008042B5">
        <w:rPr>
          <w:color w:val="000000"/>
          <w:shd w:val="clear" w:color="auto" w:fill="FFFFFF"/>
        </w:rPr>
        <w:t xml:space="preserve">in order to effectively perform the wide range of complex </w:t>
      </w:r>
      <w:r w:rsidR="00324935">
        <w:rPr>
          <w:color w:val="000000"/>
          <w:shd w:val="clear" w:color="auto" w:fill="FFFFFF"/>
        </w:rPr>
        <w:t>elements.</w:t>
      </w:r>
      <w:r w:rsidR="00324935">
        <w:t xml:space="preserve"> </w:t>
      </w:r>
      <w:r w:rsidR="00324935">
        <w:rPr>
          <w:color w:val="000000"/>
          <w:shd w:val="clear" w:color="auto" w:fill="FFFFFF"/>
        </w:rPr>
        <w:t>The study aim was to identify</w:t>
      </w:r>
      <w:r w:rsidR="00046D35">
        <w:rPr>
          <w:color w:val="000000"/>
          <w:shd w:val="clear" w:color="auto" w:fill="FFFFFF"/>
        </w:rPr>
        <w:t>, summarize</w:t>
      </w:r>
      <w:r w:rsidR="00324935">
        <w:rPr>
          <w:color w:val="000000"/>
          <w:shd w:val="clear" w:color="auto" w:fill="FFFFFF"/>
        </w:rPr>
        <w:t xml:space="preserve"> and </w:t>
      </w:r>
      <w:r w:rsidR="00324935" w:rsidRPr="00153F78">
        <w:t>examine the scientific evidence regarding exercises on rings in men’s artis</w:t>
      </w:r>
      <w:r w:rsidR="00683FFC">
        <w:t>t</w:t>
      </w:r>
      <w:r w:rsidR="00324935" w:rsidRPr="00153F78">
        <w:t>ic gymnastics</w:t>
      </w:r>
      <w:r w:rsidR="00324935">
        <w:t xml:space="preserve">. </w:t>
      </w:r>
      <w:r w:rsidRPr="00CE04A9">
        <w:rPr>
          <w:rFonts w:eastAsia="SimSun"/>
          <w:b/>
          <w:bCs/>
          <w:color w:val="000000"/>
        </w:rPr>
        <w:t>Methods</w:t>
      </w:r>
      <w:r w:rsidRPr="00CE04A9">
        <w:rPr>
          <w:rFonts w:eastAsia="SimSun"/>
          <w:color w:val="000000"/>
        </w:rPr>
        <w:t xml:space="preserve">: </w:t>
      </w:r>
      <w:r w:rsidR="00324935">
        <w:t>The se</w:t>
      </w:r>
      <w:r w:rsidR="00683FFC">
        <w:t>arch and analysis were performe</w:t>
      </w:r>
      <w:r w:rsidR="00324935">
        <w:t>d in accorda</w:t>
      </w:r>
      <w:r w:rsidR="001624FE">
        <w:t xml:space="preserve">nce with PRISMA guidelines. The </w:t>
      </w:r>
      <w:r w:rsidR="00324935">
        <w:t>database search (</w:t>
      </w:r>
      <w:r w:rsidR="00324935" w:rsidRPr="00800AFC">
        <w:t>Google Scholar, PubMed, Web of Science and Research Gate</w:t>
      </w:r>
      <w:r w:rsidR="001624FE">
        <w:t xml:space="preserve">) have identified a total of </w:t>
      </w:r>
      <w:r w:rsidR="00324935">
        <w:t>5</w:t>
      </w:r>
      <w:r w:rsidR="001624FE">
        <w:t>759</w:t>
      </w:r>
      <w:r w:rsidR="00324935">
        <w:t xml:space="preserve"> </w:t>
      </w:r>
      <w:r w:rsidR="001624FE">
        <w:t xml:space="preserve">potential studies. </w:t>
      </w:r>
      <w:r w:rsidR="00046D35">
        <w:t xml:space="preserve">For inclusion criteria, we have </w:t>
      </w:r>
      <w:r w:rsidR="001624FE">
        <w:t xml:space="preserve">reconsidered </w:t>
      </w:r>
      <w:r w:rsidR="00046D35">
        <w:t>original scientific studies, cross-sectional studies, studies</w:t>
      </w:r>
      <w:r w:rsidR="00324935" w:rsidRPr="00800AFC">
        <w:t xml:space="preserve"> publis</w:t>
      </w:r>
      <w:r w:rsidR="00046D35">
        <w:t>hed between 2000 and 2022, studies</w:t>
      </w:r>
      <w:r w:rsidR="00324935" w:rsidRPr="00800AFC">
        <w:t xml:space="preserve"> written in English language, active male gymnast as a sample of participants who do not suffer from injury and studies who evaluated different types of elements on the rin</w:t>
      </w:r>
      <w:r w:rsidR="00046D35">
        <w:t>gs</w:t>
      </w:r>
      <w:r w:rsidR="00324935" w:rsidRPr="0068181E">
        <w:t xml:space="preserve">. </w:t>
      </w:r>
      <w:r w:rsidRPr="0068181E">
        <w:rPr>
          <w:rFonts w:eastAsia="SimSun"/>
          <w:b/>
          <w:bCs/>
          <w:color w:val="000000"/>
        </w:rPr>
        <w:t>Results</w:t>
      </w:r>
      <w:r w:rsidRPr="0068181E">
        <w:rPr>
          <w:rFonts w:eastAsia="SimSun"/>
          <w:color w:val="000000"/>
        </w:rPr>
        <w:t xml:space="preserve">: </w:t>
      </w:r>
      <w:r w:rsidR="001624FE">
        <w:rPr>
          <w:rFonts w:eastAsia="SimSun"/>
          <w:color w:val="000000"/>
        </w:rPr>
        <w:t>A total of 15 full-text studies</w:t>
      </w:r>
      <w:r w:rsidR="002B4EDA">
        <w:rPr>
          <w:rFonts w:eastAsia="SimSun"/>
          <w:color w:val="000000"/>
        </w:rPr>
        <w:t xml:space="preserve"> were identified</w:t>
      </w:r>
      <w:r w:rsidR="001624FE">
        <w:rPr>
          <w:rFonts w:eastAsia="SimSun"/>
          <w:color w:val="000000"/>
        </w:rPr>
        <w:t>,</w:t>
      </w:r>
      <w:r w:rsidR="001D7980">
        <w:rPr>
          <w:rFonts w:eastAsia="SimSun"/>
          <w:color w:val="000000"/>
        </w:rPr>
        <w:t xml:space="preserve"> with a total of 292 male participants. A total of 7</w:t>
      </w:r>
      <w:r w:rsidR="002B4EDA">
        <w:rPr>
          <w:rFonts w:eastAsia="SimSun"/>
          <w:color w:val="000000"/>
        </w:rPr>
        <w:t xml:space="preserve"> </w:t>
      </w:r>
      <w:r w:rsidR="0068181E">
        <w:rPr>
          <w:rFonts w:eastAsia="SimSun"/>
          <w:color w:val="000000"/>
        </w:rPr>
        <w:t>elements</w:t>
      </w:r>
      <w:r w:rsidR="001D7980">
        <w:rPr>
          <w:rFonts w:eastAsia="SimSun"/>
          <w:color w:val="000000"/>
        </w:rPr>
        <w:t xml:space="preserve"> were evaluated</w:t>
      </w:r>
      <w:r w:rsidR="0068181E">
        <w:rPr>
          <w:rFonts w:eastAsia="SimSun"/>
          <w:color w:val="000000"/>
        </w:rPr>
        <w:t xml:space="preserve">, </w:t>
      </w:r>
      <w:r w:rsidR="0068181E" w:rsidRPr="002C1877">
        <w:t>four strength elements (swallow, Azarian, iron cross and support scale), two dismounts (double back flip straight and double back flip straight with a 360° turn) and one swing element (</w:t>
      </w:r>
      <w:r w:rsidR="0068181E" w:rsidRPr="002C1877">
        <w:rPr>
          <w:szCs w:val="16"/>
        </w:rPr>
        <w:t>b</w:t>
      </w:r>
      <w:r w:rsidR="0068181E" w:rsidRPr="002C1877">
        <w:t>ackward giant swing).</w:t>
      </w:r>
      <w:r w:rsidR="002B4EDA">
        <w:t xml:space="preserve"> </w:t>
      </w:r>
      <w:r w:rsidR="001D7980">
        <w:t>T</w:t>
      </w:r>
      <w:r w:rsidR="00324935" w:rsidRPr="0068181E">
        <w:t xml:space="preserve">wo studies have conducted kinematic analysis of dismounts, four studies have conducted electromyography </w:t>
      </w:r>
      <w:r w:rsidR="00324935" w:rsidRPr="0068181E">
        <w:rPr>
          <w:szCs w:val="24"/>
        </w:rPr>
        <w:t>on strength elements</w:t>
      </w:r>
      <w:r w:rsidR="00324935" w:rsidRPr="0068181E">
        <w:t xml:space="preserve">, while </w:t>
      </w:r>
      <w:r w:rsidR="00324935" w:rsidRPr="0068181E">
        <w:rPr>
          <w:szCs w:val="24"/>
        </w:rPr>
        <w:t>two studies have used force plates to evaluate the required specific strength for their successful performance.</w:t>
      </w:r>
      <w:r w:rsidR="00324935" w:rsidRPr="0091005F">
        <w:t xml:space="preserve"> </w:t>
      </w:r>
      <w:r w:rsidRPr="00CE04A9">
        <w:rPr>
          <w:rFonts w:eastAsia="SimSun"/>
          <w:b/>
          <w:bCs/>
          <w:color w:val="000000"/>
        </w:rPr>
        <w:t>Conclusions</w:t>
      </w:r>
      <w:r w:rsidR="005E42B8">
        <w:rPr>
          <w:rFonts w:eastAsia="SimSun"/>
          <w:color w:val="000000"/>
        </w:rPr>
        <w:t>:</w:t>
      </w:r>
      <w:r w:rsidR="00322254" w:rsidRPr="00322254">
        <w:t xml:space="preserve"> </w:t>
      </w:r>
      <w:r w:rsidR="00324935">
        <w:t xml:space="preserve">Of the total of 146 recognized elements by the FIG Code of Points, only 7 elements were </w:t>
      </w:r>
      <w:r w:rsidR="008B3C1C">
        <w:t>identified and presented. B</w:t>
      </w:r>
      <w:r w:rsidR="00324935">
        <w:t xml:space="preserve">ased on </w:t>
      </w:r>
      <w:r w:rsidR="002B4EDA">
        <w:t>this finding</w:t>
      </w:r>
      <w:r w:rsidR="00324935">
        <w:t>, there is a scarce of studies that have evaluated swings to streng</w:t>
      </w:r>
      <w:r w:rsidR="008B3C1C">
        <w:t>th hold elements and dismounts</w:t>
      </w:r>
      <w:r w:rsidR="002B4EDA">
        <w:t xml:space="preserve">. This study can be </w:t>
      </w:r>
      <w:r w:rsidR="008B3C1C">
        <w:t xml:space="preserve">a good starting point for future directions, </w:t>
      </w:r>
      <w:r w:rsidR="002B4EDA">
        <w:t>whereas</w:t>
      </w:r>
      <w:r w:rsidR="00D379A4">
        <w:t xml:space="preserve"> studies about mentioned elements </w:t>
      </w:r>
      <w:r w:rsidR="00D379A4" w:rsidRPr="00CC4ACF">
        <w:t xml:space="preserve">should </w:t>
      </w:r>
      <w:r w:rsidR="00D379A4">
        <w:t xml:space="preserve">be created and </w:t>
      </w:r>
      <w:r w:rsidR="00D379A4" w:rsidRPr="00CC4ACF">
        <w:t>evaluate</w:t>
      </w:r>
      <w:r w:rsidR="001D7980">
        <w:t>d</w:t>
      </w:r>
      <w:r w:rsidR="002B4EDA">
        <w:t xml:space="preserve"> </w:t>
      </w:r>
      <w:r w:rsidR="00D379A4">
        <w:t>more</w:t>
      </w:r>
      <w:r w:rsidR="002B4EDA">
        <w:t>.</w:t>
      </w:r>
    </w:p>
    <w:p w:rsidR="00AB4A9D" w:rsidRPr="00CE04A9" w:rsidRDefault="00833FCC">
      <w:pPr>
        <w:pStyle w:val="Keywords"/>
        <w:spacing w:line="288" w:lineRule="auto"/>
      </w:pPr>
      <w:r w:rsidRPr="00CE04A9">
        <w:t>Keywords</w:t>
      </w:r>
    </w:p>
    <w:p w:rsidR="00AB4A9D" w:rsidRDefault="00324935">
      <w:pPr>
        <w:pStyle w:val="a4"/>
      </w:pPr>
      <w:r>
        <w:t>rings</w:t>
      </w:r>
      <w:r w:rsidR="005F0B58">
        <w:rPr>
          <w:lang w:val="en-GB"/>
        </w:rPr>
        <w:t xml:space="preserve">; </w:t>
      </w:r>
      <w:r>
        <w:rPr>
          <w:lang w:val="en-GB"/>
        </w:rPr>
        <w:t xml:space="preserve">men’s </w:t>
      </w:r>
      <w:r w:rsidR="005F0B58">
        <w:rPr>
          <w:lang w:val="en-GB"/>
        </w:rPr>
        <w:t>artistic gymnastics;</w:t>
      </w:r>
      <w:r w:rsidR="005F0B58">
        <w:t xml:space="preserve"> </w:t>
      </w:r>
      <w:r w:rsidR="00296CBD">
        <w:t>strength; swing;</w:t>
      </w:r>
      <w:r>
        <w:t xml:space="preserve"> dismount</w:t>
      </w:r>
    </w:p>
    <w:p w:rsidR="00AB4A9D" w:rsidRDefault="008C1F91">
      <w:pPr>
        <w:pStyle w:val="Heading1"/>
      </w:pPr>
      <w:r>
        <w:t>1. Introduction</w:t>
      </w:r>
    </w:p>
    <w:p w:rsidR="00324935" w:rsidRDefault="00324935" w:rsidP="00324935">
      <w:pPr>
        <w:ind w:firstLine="420"/>
        <w:rPr>
          <w:szCs w:val="24"/>
          <w:shd w:val="clear" w:color="auto" w:fill="FFFFFF"/>
        </w:rPr>
      </w:pPr>
      <w:r w:rsidRPr="001A394F">
        <w:rPr>
          <w:szCs w:val="24"/>
          <w:shd w:val="clear" w:color="auto" w:fill="FFFFFF"/>
        </w:rPr>
        <w:t xml:space="preserve">Artistic gymnastics is a type of activity that requires very high levels of both anaerobic and flexibility capacities for successful performances </w:t>
      </w:r>
      <w:r w:rsidRPr="001A394F">
        <w:rPr>
          <w:szCs w:val="24"/>
          <w:shd w:val="clear" w:color="auto" w:fill="FFFFFF"/>
        </w:rPr>
        <w:fldChar w:fldCharType="begin" w:fldLock="1"/>
      </w:r>
      <w:r w:rsidRPr="001A394F">
        <w:rPr>
          <w:szCs w:val="24"/>
          <w:shd w:val="clear" w:color="auto" w:fill="FFFFFF"/>
        </w:rPr>
        <w:instrText>ADDIN CSL_CITATION {"citationItems":[{"id":"ITEM-1","itemData":{"ISSN":"1517-8692","author":[{"dropping-particle":"de","family":"Albuquerque","given":"Patrícia Arruda","non-dropping-particle":"","parse-names":false,"suffix":""},{"dropping-particle":"","family":"Farinatti","given":"Paulo de Tarso Veras","non-dropping-particle":"","parse-names":false,"suffix":""}],"container-title":"Revista Brasileira de Medicina do Esporte","id":"ITEM-1","issued":{"date-parts":[["2007"]]},"page":"157-164","publisher":"SciELO Brasil","title":"Development and validation of a new system for talent selection in female artistic gymnastics: the PDGO Battery","type":"article-journal","volume":"13"},"uris":["http://www.mendeley.com/documents/?uuid=16471fdb-3b6e-48c8-8c93-d313b961cea2"]}],"mendeley":{"formattedCitation":"(1)","manualFormatting":"[1]","plainTextFormattedCitation":"(1)","previouslyFormattedCitation":"(1)"},"properties":{"noteIndex":0},"schema":"https://github.com/citation-style-language/schema/raw/master/csl-citation.json"}</w:instrText>
      </w:r>
      <w:r w:rsidRPr="001A394F">
        <w:rPr>
          <w:szCs w:val="24"/>
          <w:shd w:val="clear" w:color="auto" w:fill="FFFFFF"/>
        </w:rPr>
        <w:fldChar w:fldCharType="separate"/>
      </w:r>
      <w:r w:rsidRPr="001A394F">
        <w:rPr>
          <w:noProof/>
          <w:szCs w:val="24"/>
          <w:shd w:val="clear" w:color="auto" w:fill="FFFFFF"/>
        </w:rPr>
        <w:t>[1]</w:t>
      </w:r>
      <w:r w:rsidRPr="001A394F">
        <w:rPr>
          <w:szCs w:val="24"/>
          <w:shd w:val="clear" w:color="auto" w:fill="FFFFFF"/>
        </w:rPr>
        <w:fldChar w:fldCharType="end"/>
      </w:r>
      <w:r w:rsidRPr="001A394F">
        <w:rPr>
          <w:szCs w:val="24"/>
          <w:shd w:val="clear" w:color="auto" w:fill="FFFFFF"/>
        </w:rPr>
        <w:t xml:space="preserve">. According to several authors </w:t>
      </w:r>
      <w:r w:rsidRPr="001A394F">
        <w:rPr>
          <w:szCs w:val="24"/>
          <w:shd w:val="clear" w:color="auto" w:fill="FFFFFF"/>
        </w:rPr>
        <w:fldChar w:fldCharType="begin" w:fldLock="1"/>
      </w:r>
      <w:r w:rsidRPr="001A394F">
        <w:rPr>
          <w:szCs w:val="24"/>
          <w:shd w:val="clear" w:color="auto" w:fill="FFFFFF"/>
        </w:rPr>
        <w:instrText>ADDIN CSL_CITATION {"citationItems":[{"id":"ITEM-1","itemData":{"ISSN":"1476-3141","author":[{"dropping-particle":"","family":"Bradshaw","given":"Elizabeth","non-dropping-particle":"","parse-names":false,"suffix":""},{"dropping-particle":"","family":"Hume","given":"Patria","non-dropping-particle":"","parse-names":false,"suffix":""},{"dropping-particle":"","family":"Calton","given":"Mark","non-dropping-particle":"","parse-names":false,"suffix":""},{"dropping-particle":"","family":"Aisbett","given":"Brad","non-dropping-particle":"","parse-names":false,"suffix":""}],"container-title":"Sports Biomechanics","id":"ITEM-1","issue":"2","issued":{"date-parts":[["2010"]]},"page":"79-97","publisher":"Taylor &amp; Francis","title":"Reliability and variability of day-to-day vault training measures in artistic gymnastics","type":"article-journal","volume":"9"},"uris":["http://www.mendeley.com/documents/?uuid=3251da39-95fe-4c69-aebe-4640719b3725"]},{"id":"ITEM-2","itemData":{"author":[{"dropping-particle":"","family":"Bressel","given":"Eadric","non-dropping-particle":"","parse-names":false,"suffix":""},{"dropping-particle":"","family":"Yonker","given":"Joshua C","non-dropping-particle":"","parse-names":false,"suffix":""},{"dropping-particle":"","family":"Kras","given":"John","non-dropping-particle":"","parse-names":false,"suffix":""},{"dropping-particle":"","family":"Heath","given":"Edward M","non-dropping-particle":"","parse-names":false,"suffix":""}],"container-title":"Journal of athletic training","id":"ITEM-2","issue":"1","issued":{"date-parts":[["2007"]]},"page":"42","publisher":"National Athletic Trainers Association","title":"Comparison of static and dynamic balance in female collegiate soccer, basketball, and gymnastics athletes","type":"article-journal","volume":"42"},"uris":["http://www.mendeley.com/documents/?uuid=d6ac3c89-7691-40fc-ac67-5e07f02019bf"]},{"id":"ITEM-3","itemData":{"ISSN":"0022-2895","author":[{"dropping-particle":"","family":"Gautier","given":"Geoffroy","non-dropping-particle":"","parse-names":false,"suffix":""},{"dropping-particle":"","family":"Thouvarecq","given":"Régis","non-dropping-particle":"","parse-names":false,"suffix":""},{"dropping-particle":"","family":"Larue","given":"Jacques","non-dropping-particle":"","parse-names":false,"suffix":""}],"container-title":"Journal of Motor Behavior","id":"ITEM-3","issue":"5","issued":{"date-parts":[["2008"]]},"page":"400-408","publisher":"Taylor &amp; Francis","title":"Influence of experience on postural control: effect of expertise in gymnastics","type":"article-journal","volume":"40"},"uris":["http://www.mendeley.com/documents/?uuid=1ef00a9f-11e4-4bc1-9a31-ebe2074b5266"]},{"id":"ITEM-4","itemData":{"author":[{"dropping-particle":"","family":"Sleeper","given":"Mark D","non-dropping-particle":"","parse-names":false,"suffix":""},{"dropping-particle":"","family":"Kenyon","given":"Lisa K","non-dropping-particle":"","parse-names":false,"suffix":""},{"dropping-particle":"","family":"Elliott","given":"James M","non-dropping-particle":"","parse-names":false,"suffix":""},{"dropping-particle":"","family":"Cheng","given":"M Samuel","non-dropping-particle":"","parse-names":false,"suffix":""}],"container-title":"International journal of sports physical therapy","id":"ITEM-4","issue":"7","issued":{"date-parts":[["2016"]]},"page":"1082","publisher":"North American Sports Medicine Institute","title":"Measuring sport-specific physical abilities in male gymnasts: the men's gymnastics functional measurement tool","type":"article-journal","volume":"11"},"uris":["http://www.mendeley.com/documents/?uuid=86229de9-cea4-41cc-a4f0-8da16f14c7fa"]}],"mendeley":{"formattedCitation":"(2–5)","manualFormatting":"[2–5]","plainTextFormattedCitation":"(2–5)","previouslyFormattedCitation":"(2–5)"},"properties":{"noteIndex":0},"schema":"https://github.com/citation-style-language/schema/raw/master/csl-citation.json"}</w:instrText>
      </w:r>
      <w:r w:rsidRPr="001A394F">
        <w:rPr>
          <w:szCs w:val="24"/>
          <w:shd w:val="clear" w:color="auto" w:fill="FFFFFF"/>
        </w:rPr>
        <w:fldChar w:fldCharType="separate"/>
      </w:r>
      <w:r w:rsidRPr="001A394F">
        <w:rPr>
          <w:noProof/>
          <w:szCs w:val="24"/>
          <w:shd w:val="clear" w:color="auto" w:fill="FFFFFF"/>
        </w:rPr>
        <w:t>[2–5]</w:t>
      </w:r>
      <w:r w:rsidRPr="001A394F">
        <w:rPr>
          <w:szCs w:val="24"/>
          <w:shd w:val="clear" w:color="auto" w:fill="FFFFFF"/>
        </w:rPr>
        <w:fldChar w:fldCharType="end"/>
      </w:r>
      <w:r w:rsidRPr="001A394F">
        <w:rPr>
          <w:szCs w:val="24"/>
          <w:shd w:val="clear" w:color="auto" w:fill="FFFFFF"/>
        </w:rPr>
        <w:t xml:space="preserve">, this sport is pure promotion of jumping, pushing, explosive strength, pulling skills development, balance and artistry. The performance itself depends on the perfect trade-off between the physical fitness level and the complex technical skills required on each apparatus </w:t>
      </w:r>
      <w:r w:rsidRPr="001A394F">
        <w:rPr>
          <w:szCs w:val="24"/>
          <w:shd w:val="clear" w:color="auto" w:fill="FFFFFF"/>
        </w:rPr>
        <w:fldChar w:fldCharType="begin" w:fldLock="1"/>
      </w:r>
      <w:r w:rsidRPr="001A394F">
        <w:rPr>
          <w:szCs w:val="24"/>
          <w:shd w:val="clear" w:color="auto" w:fill="FFFFFF"/>
        </w:rPr>
        <w:instrText>ADDIN CSL_CITATION {"citationItems":[{"id":"ITEM-1","itemData":{"ISSN":"1064-8011","author":[{"dropping-particle":"","family":"Minganti","given":"Carlo","non-dropping-particle":"","parse-names":false,"suffix":""},{"dropping-particle":"","family":"Capranica","given":"Laura","non-dropping-particle":"","parse-names":false,"suffix":""},{"dropping-particle":"","family":"Meeusen","given":"Romain","non-dropping-particle":"","parse-names":false,"suffix":""},{"dropping-particle":"","family":"Amici","given":"Stefano","non-dropping-particle":"","parse-names":false,"suffix":""},{"dropping-particle":"","family":"Piacentini","given":"Maria Francesca","non-dropping-particle":"","parse-names":false,"suffix":""}],"container-title":"The Journal of Strength &amp; Conditioning Research","id":"ITEM-1","issue":"11","issued":{"date-parts":[["2010"]]},"page":"3063-3068","publisher":"LWW","title":"The validity of sessionrating of perceived exertion method for quantifying training load in teamgym","type":"article-journal","volume":"24"},"uris":["http://www.mendeley.com/documents/?uuid=687c80b3-045b-4660-bc49-192579d3081b"]}],"mendeley":{"formattedCitation":"(6)","manualFormatting":"[6]","plainTextFormattedCitation":"(6)","previouslyFormattedCitation":"(6)"},"properties":{"noteIndex":0},"schema":"https://github.com/citation-style-language/schema/raw/master/csl-citation.json"}</w:instrText>
      </w:r>
      <w:r w:rsidRPr="001A394F">
        <w:rPr>
          <w:szCs w:val="24"/>
          <w:shd w:val="clear" w:color="auto" w:fill="FFFFFF"/>
        </w:rPr>
        <w:fldChar w:fldCharType="separate"/>
      </w:r>
      <w:r w:rsidRPr="001A394F">
        <w:rPr>
          <w:noProof/>
          <w:szCs w:val="24"/>
          <w:shd w:val="clear" w:color="auto" w:fill="FFFFFF"/>
        </w:rPr>
        <w:t>[6]</w:t>
      </w:r>
      <w:r w:rsidRPr="001A394F">
        <w:rPr>
          <w:szCs w:val="24"/>
          <w:shd w:val="clear" w:color="auto" w:fill="FFFFFF"/>
        </w:rPr>
        <w:fldChar w:fldCharType="end"/>
      </w:r>
      <w:r w:rsidRPr="001A394F">
        <w:rPr>
          <w:szCs w:val="24"/>
          <w:shd w:val="clear" w:color="auto" w:fill="FFFFFF"/>
        </w:rPr>
        <w:t xml:space="preserve">. Thus, a high fitness performance level is decisive in men’s artistic gymnastics to fulfil exercises technical requirements on different apparatuses </w:t>
      </w:r>
      <w:r w:rsidRPr="001A394F">
        <w:rPr>
          <w:szCs w:val="24"/>
          <w:shd w:val="clear" w:color="auto" w:fill="FFFFFF"/>
        </w:rPr>
        <w:fldChar w:fldCharType="begin" w:fldLock="1"/>
      </w:r>
      <w:r w:rsidRPr="001A394F">
        <w:rPr>
          <w:szCs w:val="24"/>
          <w:shd w:val="clear" w:color="auto" w:fill="FFFFFF"/>
        </w:rPr>
        <w:instrText>ADDIN CSL_CITATION {"citationItems":[{"id":"ITEM-1","itemData":{"author":[{"dropping-particle":"","family":"Mellos","given":"Vassilis","non-dropping-particle":"","parse-names":false,"suffix":""},{"dropping-particle":"","family":"Dallas","given":"George","non-dropping-particle":"","parse-names":false,"suffix":""},{"dropping-particle":"","family":"Kirialanis","given":"Paschalis","non-dropping-particle":"","parse-names":false,"suffix":""},{"dropping-particle":"","family":"Fiorilli","given":"Giovanni","non-dropping-particle":"","parse-names":false,"suffix":""},{"dropping-particle":"","family":"Cagno","given":"Alessandra","non-dropping-particle":"Di","parse-names":false,"suffix":""}],"container-title":"Science of Gymnastics Journal","id":"ITEM-1","issue":"1","issued":{"date-parts":[["2014"]]},"page":"33-43","publisher":"University of Ljubljana, Faculty of Sport","title":"Comparison between physical conditioning status and improvement in artistic gymnasts and non-athletes peers","type":"article-journal","volume":"6"},"uris":["http://www.mendeley.com/documents/?uuid=e0f891e5-8aa8-4681-bc7f-cee1464312d0"]}],"mendeley":{"formattedCitation":"(7)","manualFormatting":"[7]","plainTextFormattedCitation":"(7)","previouslyFormattedCitation":"(7)"},"properties":{"noteIndex":0},"schema":"https://github.com/citation-style-language/schema/raw/master/csl-citation.json"}</w:instrText>
      </w:r>
      <w:r w:rsidRPr="001A394F">
        <w:rPr>
          <w:szCs w:val="24"/>
          <w:shd w:val="clear" w:color="auto" w:fill="FFFFFF"/>
        </w:rPr>
        <w:fldChar w:fldCharType="separate"/>
      </w:r>
      <w:r w:rsidRPr="001A394F">
        <w:rPr>
          <w:noProof/>
          <w:szCs w:val="24"/>
          <w:shd w:val="clear" w:color="auto" w:fill="FFFFFF"/>
        </w:rPr>
        <w:t>[7]</w:t>
      </w:r>
      <w:r w:rsidRPr="001A394F">
        <w:rPr>
          <w:szCs w:val="24"/>
          <w:shd w:val="clear" w:color="auto" w:fill="FFFFFF"/>
        </w:rPr>
        <w:fldChar w:fldCharType="end"/>
      </w:r>
      <w:r w:rsidRPr="001A394F">
        <w:rPr>
          <w:szCs w:val="24"/>
          <w:shd w:val="clear" w:color="auto" w:fill="FFFFFF"/>
        </w:rPr>
        <w:t xml:space="preserve">. In other words, the gymnast should achieve high strength, flexibility and coordination levels, in order to effectively perform the wide range of complex acrobatic skills </w:t>
      </w:r>
      <w:r w:rsidRPr="001A394F">
        <w:rPr>
          <w:szCs w:val="24"/>
          <w:shd w:val="clear" w:color="auto" w:fill="FFFFFF"/>
        </w:rPr>
        <w:fldChar w:fldCharType="begin" w:fldLock="1"/>
      </w:r>
      <w:r w:rsidRPr="001A394F">
        <w:rPr>
          <w:szCs w:val="24"/>
          <w:shd w:val="clear" w:color="auto" w:fill="FFFFFF"/>
        </w:rPr>
        <w:instrText>ADDIN CSL_CITATION {"citationItems":[{"id":"ITEM-1","itemData":{"ISSN":"0306-7297","author":[{"dropping-particle":"","family":"Bassa","given":"H","non-dropping-particle":"","parse-names":false,"suffix":""},{"dropping-particle":"","family":"Michailidis","given":"H","non-dropping-particle":"","parse-names":false,"suffix":""},{"dropping-particle":"","family":"Kotzamanidis","given":"Ch","non-dropping-particle":"","parse-names":false,"suffix":""},{"dropping-particle":"","family":"Siatras","given":"Th","non-dropping-particle":"","parse-names":false,"suffix":""},{"dropping-particle":"","family":"Chatzikotoulas","given":"K","non-dropping-particle":"","parse-names":false,"suffix":""}],"container-title":"Journal of Human Movement Studies","id":"ITEM-1","issue":"3","issued":{"date-parts":[["2002"]]},"page":"213-227","publisher":"TEVIOT-KIMPTON PUBLICATIONS 6A CHESTER ST, EDINBURGH EH3 7RA, MIDLOTHIAN …","title":"Concentric and eccentric isokinetic knee torque in pre-pubeiscent male gymnasts","type":"article-journal","volume":"42"},"uris":["http://www.mendeley.com/documents/?uuid=c74a3753-d871-42d7-aee3-b1c650443c13"]},{"id":"ITEM-2","itemData":{"ISSN":"1064-8011","author":[{"dropping-particle":"","family":"French","given":"Duncan N","non-dropping-particle":"","parse-names":false,"suffix":""},{"dropping-particle":"","family":"Gómez","given":"Ana L","non-dropping-particle":"","parse-names":false,"suffix":""},{"dropping-particle":"","family":"Volek","given":"Jeff S","non-dropping-particle":"","parse-names":false,"suffix":""},{"dropping-particle":"","family":"Rubin","given":"Martyn R","non-dropping-particle":"","parse-names":false,"suffix":""},{"dropping-particle":"","family":"Ratamess","given":"Nicholas A","non-dropping-particle":"","parse-names":false,"suffix":""},{"dropping-particle":"","family":"Sharman","given":"Matthew J","non-dropping-particle":"","parse-names":false,"suffix":""},{"dropping-particle":"","family":"Gotshalk","given":"Lincoln A","non-dropping-particle":"","parse-names":false,"suffix":""},{"dropping-particle":"","family":"Sebastianelli","given":"Wayne J","non-dropping-particle":"","parse-names":false,"suffix":""},{"dropping-particle":"","family":"Putukian","given":"Margot","non-dropping-particle":"","parse-names":false,"suffix":""},{"dropping-particle":"","family":"Newton","given":"Robert U","non-dropping-particle":"","parse-names":false,"suffix":""}],"container-title":"The Journal of Strength &amp; Conditioning Research","id":"ITEM-2","issue":"1","issued":{"date-parts":[["2004"]]},"page":"101-107","publisher":"LWW","title":"Longitudinal tracking of muscular power changes of NCAA Division I collegiate women gymnasts","type":"article-journal","volume":"18"},"uris":["http://www.mendeley.com/documents/?uuid=3fa39edf-ef2b-46e8-8e77-fd6a25c19945"]}],"mendeley":{"formattedCitation":"(8,9)","manualFormatting":"[8,9]","plainTextFormattedCitation":"(8,9)","previouslyFormattedCitation":"(8,9)"},"properties":{"noteIndex":0},"schema":"https://github.com/citation-style-language/schema/raw/master/csl-citation.json"}</w:instrText>
      </w:r>
      <w:r w:rsidRPr="001A394F">
        <w:rPr>
          <w:szCs w:val="24"/>
          <w:shd w:val="clear" w:color="auto" w:fill="FFFFFF"/>
        </w:rPr>
        <w:fldChar w:fldCharType="separate"/>
      </w:r>
      <w:r w:rsidRPr="001A394F">
        <w:rPr>
          <w:noProof/>
          <w:szCs w:val="24"/>
          <w:shd w:val="clear" w:color="auto" w:fill="FFFFFF"/>
        </w:rPr>
        <w:t>[8,9]</w:t>
      </w:r>
      <w:r w:rsidRPr="001A394F">
        <w:rPr>
          <w:szCs w:val="24"/>
          <w:shd w:val="clear" w:color="auto" w:fill="FFFFFF"/>
        </w:rPr>
        <w:fldChar w:fldCharType="end"/>
      </w:r>
      <w:r>
        <w:rPr>
          <w:szCs w:val="24"/>
          <w:shd w:val="clear" w:color="auto" w:fill="FFFFFF"/>
        </w:rPr>
        <w:t>.</w:t>
      </w:r>
    </w:p>
    <w:p w:rsidR="00324935" w:rsidRDefault="00324935" w:rsidP="00324935">
      <w:pPr>
        <w:ind w:firstLine="420"/>
        <w:rPr>
          <w:szCs w:val="24"/>
        </w:rPr>
      </w:pPr>
      <w:r w:rsidRPr="001A394F">
        <w:rPr>
          <w:szCs w:val="24"/>
        </w:rPr>
        <w:t xml:space="preserve">One of the six apparatuses in men’s artistic gymnastics is rings, who’s differ from other apparatuses because of their design, which requires static, concentric and eccentric muscle contractions </w:t>
      </w:r>
      <w:r w:rsidRPr="001A394F">
        <w:rPr>
          <w:szCs w:val="24"/>
        </w:rPr>
        <w:fldChar w:fldCharType="begin" w:fldLock="1"/>
      </w:r>
      <w:r w:rsidRPr="001A394F">
        <w:rPr>
          <w:szCs w:val="24"/>
        </w:rPr>
        <w:instrText>ADDIN CSL_CITATION {"citationItems":[{"id":"ITEM-1","itemData":{"ISSN":"1855-7171","author":[{"dropping-particle":"","family":"Gorosito","given":"Mario A","non-dropping-particle":"","parse-names":false,"suffix":""}],"container-title":"Science of Gymnastics Journal","id":"ITEM-1","issue":"3","issued":{"date-parts":[["2013"]]},"page":"59","publisher":"University of Ljubljana, Faculty of Sport","title":"Relative strength requirement for Swallow element proper execution: A predictive test","type":"article-journal","volume":"5"},"uris":["http://www.mendeley.com/documents/?uuid=ae2cda51-7b7d-4cbf-9918-d2b0b07c7f7b"]}],"mendeley":{"formattedCitation":"(10)","manualFormatting":"[10]","plainTextFormattedCitation":"(10)","previouslyFormattedCitation":"(10)"},"properties":{"noteIndex":0},"schema":"https://github.com/citation-style-language/schema/raw/master/csl-citation.json"}</w:instrText>
      </w:r>
      <w:r w:rsidRPr="001A394F">
        <w:rPr>
          <w:szCs w:val="24"/>
        </w:rPr>
        <w:fldChar w:fldCharType="separate"/>
      </w:r>
      <w:r w:rsidRPr="001A394F">
        <w:rPr>
          <w:noProof/>
          <w:szCs w:val="24"/>
        </w:rPr>
        <w:t>[10]</w:t>
      </w:r>
      <w:r w:rsidRPr="001A394F">
        <w:rPr>
          <w:szCs w:val="24"/>
        </w:rPr>
        <w:fldChar w:fldCharType="end"/>
      </w:r>
      <w:r w:rsidRPr="001A394F">
        <w:rPr>
          <w:szCs w:val="24"/>
        </w:rPr>
        <w:t xml:space="preserve">. The rings can move free in all possible directions, which adds bigger instability and additional difficulty to the elements. Hence, this apparatus is different by the technique of the elements realization in comparation to other apparatuses. That is why gymnasts must pay attention to the movement of individual parts of body, as well as deviation of the rings itself </w:t>
      </w:r>
      <w:r w:rsidRPr="001A394F">
        <w:rPr>
          <w:szCs w:val="24"/>
        </w:rPr>
        <w:fldChar w:fldCharType="begin" w:fldLock="1"/>
      </w:r>
      <w:r w:rsidRPr="001A394F">
        <w:rPr>
          <w:szCs w:val="24"/>
        </w:rPr>
        <w:instrText>ADDIN CSL_CITATION {"citationItems":[{"id":"ITEM-1","itemData":{"ISBN":"0982125305","author":[{"dropping-particle":"","family":"Sommer","given":"Christopher","non-dropping-particle":"","parse-names":false,"suffix":""}],"id":"ITEM-1","issued":{"date-parts":[["2008"]]},"publisher":"Olympic Bodies, LLC","title":"Building the Gymnastic Body: The science of gymnastics strength training","type":"book"},"uris":["http://www.mendeley.com/documents/?uuid=5ebe02e1-e721-4548-982b-2cc8fe32d3b2"]}],"mendeley":{"formattedCitation":"(11)","manualFormatting":"[11]","plainTextFormattedCitation":"(11)","previouslyFormattedCitation":"(11)"},"properties":{"noteIndex":0},"schema":"https://github.com/citation-style-language/schema/raw/master/csl-citation.json"}</w:instrText>
      </w:r>
      <w:r w:rsidRPr="001A394F">
        <w:rPr>
          <w:szCs w:val="24"/>
        </w:rPr>
        <w:fldChar w:fldCharType="separate"/>
      </w:r>
      <w:r w:rsidRPr="001A394F">
        <w:rPr>
          <w:noProof/>
          <w:szCs w:val="24"/>
        </w:rPr>
        <w:t>[11]</w:t>
      </w:r>
      <w:r w:rsidRPr="001A394F">
        <w:rPr>
          <w:szCs w:val="24"/>
        </w:rPr>
        <w:fldChar w:fldCharType="end"/>
      </w:r>
      <w:r w:rsidRPr="001A394F">
        <w:rPr>
          <w:szCs w:val="24"/>
        </w:rPr>
        <w:t xml:space="preserve">. </w:t>
      </w:r>
    </w:p>
    <w:p w:rsidR="00324935" w:rsidRDefault="00324935" w:rsidP="00324935">
      <w:pPr>
        <w:ind w:firstLine="420"/>
        <w:rPr>
          <w:szCs w:val="24"/>
        </w:rPr>
      </w:pPr>
      <w:r w:rsidRPr="001A394F">
        <w:rPr>
          <w:szCs w:val="24"/>
        </w:rPr>
        <w:t xml:space="preserve">Elite athletes have to train in a very specific way in order to achieve optimal performance. In this context, the optimization of specific physical prerequisites, such as strength, power or muscular endurance is indispensable </w:t>
      </w:r>
      <w:r w:rsidRPr="001A394F">
        <w:rPr>
          <w:szCs w:val="24"/>
        </w:rPr>
        <w:fldChar w:fldCharType="begin" w:fldLock="1"/>
      </w:r>
      <w:r w:rsidRPr="001A394F">
        <w:rPr>
          <w:szCs w:val="24"/>
        </w:rPr>
        <w:instrText>ADDIN CSL_CITATION {"citationItems":[{"id":"ITEM-1","itemData":{"author":[{"dropping-particle":"","family":"Costill","given":"David L","non-dropping-particle":"","parse-names":false,"suffix":""},{"dropping-particle":"","family":"Kenney","given":"W Larry","non-dropping-particle":"","parse-names":false,"suffix":""},{"dropping-particle":"","family":"Wilmore","given":"J","non-dropping-particle":"","parse-names":false,"suffix":""}],"id":"ITEM-1","issued":{"date-parts":[["2008"]]},"publisher":"Human kinetics Champaign, IL, USA","title":"Physiology of sport and exercise","type":"book","volume":"448"},"uris":["http://www.mendeley.com/documents/?uuid=b7e8a4c2-5ef0-44dd-b047-1b2dbf7b9168"]}],"mendeley":{"formattedCitation":"(12)","manualFormatting":"[12]","plainTextFormattedCitation":"(12)","previouslyFormattedCitation":"(12)"},"properties":{"noteIndex":0},"schema":"https://github.com/citation-style-language/schema/raw/master/csl-citation.json"}</w:instrText>
      </w:r>
      <w:r w:rsidRPr="001A394F">
        <w:rPr>
          <w:szCs w:val="24"/>
        </w:rPr>
        <w:fldChar w:fldCharType="separate"/>
      </w:r>
      <w:r w:rsidRPr="001A394F">
        <w:rPr>
          <w:noProof/>
          <w:szCs w:val="24"/>
        </w:rPr>
        <w:t>[12]</w:t>
      </w:r>
      <w:r w:rsidRPr="001A394F">
        <w:rPr>
          <w:szCs w:val="24"/>
        </w:rPr>
        <w:fldChar w:fldCharType="end"/>
      </w:r>
      <w:r w:rsidRPr="001A394F">
        <w:rPr>
          <w:szCs w:val="24"/>
        </w:rPr>
        <w:t xml:space="preserve">. In artistic gymnastics, coaches with their gymnasts must improve the technique and the acquisition of more difficult skills, along with physical prerequisites. Hence, these two components must be developed simultaneously, especially in the preparatory phase, which allows gymnasts to improve their sport-specific performance in a short period of time </w:t>
      </w:r>
      <w:r w:rsidRPr="001A394F">
        <w:rPr>
          <w:szCs w:val="24"/>
        </w:rPr>
        <w:lastRenderedPageBreak/>
        <w:fldChar w:fldCharType="begin" w:fldLock="1"/>
      </w:r>
      <w:r w:rsidRPr="001A394F">
        <w:rPr>
          <w:szCs w:val="24"/>
        </w:rPr>
        <w:instrText>ADDIN CSL_CITATION {"citationItems":[{"id":"ITEM-1","itemData":{"ISSN":"1660-4601","author":[{"dropping-particle":"","family":"Schärer","given":"Christoph","non-dropping-particle":"","parse-names":false,"suffix":""},{"dropping-particle":"","family":"Tacchelli","given":"Lisa","non-dropping-particle":"","parse-names":false,"suffix":""},{"dropping-particle":"","family":"Göpfert","given":"Beat","non-dropping-particle":"","parse-names":false,"suffix":""},{"dropping-particle":"","family":"Gross","given":"Micah","non-dropping-particle":"","parse-names":false,"suffix":""},{"dropping-particle":"","family":"Lüthy","given":"Fabian","non-dropping-particle":"","parse-names":false,"suffix":""},{"dropping-particle":"","family":"Taube","given":"Wolfgang","non-dropping-particle":"","parse-names":false,"suffix":""},{"dropping-particle":"","family":"Hübner","given":"Klaus","non-dropping-particle":"","parse-names":false,"suffix":""}],"container-title":"International Journal of Environmental Research and Public Health","id":"ITEM-1","issue":"22","issued":{"date-parts":[["2019"]]},"page":"4571","publisher":"MDPI","title":"Specific eccentric–isokinetic cluster training improves static strength elements on rings for elite gymnasts","type":"article-journal","volume":"16"},"uris":["http://www.mendeley.com/documents/?uuid=10569b1c-9a21-4c2d-8aac-11b160ee8d0a"]}],"mendeley":{"formattedCitation":"(13)","manualFormatting":"[13]","plainTextFormattedCitation":"(13)","previouslyFormattedCitation":"(13)"},"properties":{"noteIndex":0},"schema":"https://github.com/citation-style-language/schema/raw/master/csl-citation.json"}</w:instrText>
      </w:r>
      <w:r w:rsidRPr="001A394F">
        <w:rPr>
          <w:szCs w:val="24"/>
        </w:rPr>
        <w:fldChar w:fldCharType="separate"/>
      </w:r>
      <w:r w:rsidRPr="001A394F">
        <w:rPr>
          <w:noProof/>
          <w:szCs w:val="24"/>
        </w:rPr>
        <w:t>[13]</w:t>
      </w:r>
      <w:r w:rsidRPr="001A394F">
        <w:rPr>
          <w:szCs w:val="24"/>
        </w:rPr>
        <w:fldChar w:fldCharType="end"/>
      </w:r>
      <w:r w:rsidRPr="001A394F">
        <w:rPr>
          <w:szCs w:val="24"/>
        </w:rPr>
        <w:t xml:space="preserve">. At competitions, gymnasts are performing a 9 different kind of difficult elements, along with the dismount as the last element, in order to increase the D score as much as possible. In other words, to receive a full evaluation of the elements groups, the exercises on the rings consists from elements of kip and swing elements and swings through or to handstand (2 sec.), strength elements and hold elements (2 sec.), swings to strength hold elements (2 sec.) and dismounts </w:t>
      </w:r>
      <w:r w:rsidRPr="001A394F">
        <w:rPr>
          <w:szCs w:val="24"/>
        </w:rPr>
        <w:fldChar w:fldCharType="begin" w:fldLock="1"/>
      </w:r>
      <w:r w:rsidRPr="001A394F">
        <w:rPr>
          <w:szCs w:val="24"/>
        </w:rPr>
        <w:instrText>ADDIN CSL_CITATION {"citationItems":[{"id":"ITEM-1","itemData":{"author":[{"dropping-particle":"","family":"FIG","given":"","non-dropping-particle":"","parse-names":false,"suffix":""}],"container-title":"Laussanne, Switzerland","id":"ITEM-1","issued":{"date-parts":[["2017"]]},"title":"Code of Points 2017-2020 for Men's Artistic Gymnastics Competitions","type":"webpage"},"uris":["http://www.mendeley.com/documents/?uuid=d7d47b6e-da20-41d7-9ace-22f57a506030"]},{"id":"ITEM-2","itemData":{"URL":"https://www.gymnastics.sport/publicdir/rules/files/en_ 2022-2024 MAG CoP.pdf","author":[{"dropping-particle":"","family":"FIG","given":"","non-dropping-particle":"","parse-names":false,"suffix":""}],"container-title":"Laussanne, Switzerland","id":"ITEM-2","issued":{"date-parts":[["2022"]]},"title":"Code of Points 2022-2024 for Men's Artistic Gymnastics Competitions","type":"webpage"},"uris":["http://www.mendeley.com/documents/?uuid=eeb9fd42-5abd-45ec-9a9b-14a009f10341"]}],"mendeley":{"formattedCitation":"(14,15)","manualFormatting":"[14,15]","plainTextFormattedCitation":"(14,15)","previouslyFormattedCitation":"(14,15)"},"properties":{"noteIndex":0},"schema":"https://github.com/citation-style-language/schema/raw/master/csl-citation.json"}</w:instrText>
      </w:r>
      <w:r w:rsidRPr="001A394F">
        <w:rPr>
          <w:szCs w:val="24"/>
        </w:rPr>
        <w:fldChar w:fldCharType="separate"/>
      </w:r>
      <w:r w:rsidRPr="001A394F">
        <w:rPr>
          <w:noProof/>
          <w:szCs w:val="24"/>
        </w:rPr>
        <w:t>[14,15]</w:t>
      </w:r>
      <w:r w:rsidRPr="001A394F">
        <w:rPr>
          <w:szCs w:val="24"/>
        </w:rPr>
        <w:fldChar w:fldCharType="end"/>
      </w:r>
      <w:r w:rsidRPr="001A394F">
        <w:rPr>
          <w:szCs w:val="24"/>
        </w:rPr>
        <w:t>.</w:t>
      </w:r>
    </w:p>
    <w:p w:rsidR="00324935" w:rsidRPr="00324935" w:rsidRDefault="00324935" w:rsidP="00324935">
      <w:pPr>
        <w:ind w:firstLine="420"/>
        <w:rPr>
          <w:szCs w:val="24"/>
          <w:shd w:val="clear" w:color="auto" w:fill="FFFFFF"/>
        </w:rPr>
      </w:pPr>
      <w:r w:rsidRPr="001A394F">
        <w:rPr>
          <w:szCs w:val="24"/>
        </w:rPr>
        <w:t xml:space="preserve">Previous studies </w:t>
      </w:r>
      <w:r w:rsidRPr="001A394F">
        <w:rPr>
          <w:szCs w:val="24"/>
        </w:rPr>
        <w:fldChar w:fldCharType="begin" w:fldLock="1"/>
      </w:r>
      <w:r w:rsidRPr="001A394F">
        <w:rPr>
          <w:szCs w:val="24"/>
        </w:rPr>
        <w:instrText>ADDIN CSL_CITATION {"citationItems":[{"id":"ITEM-1","itemData":{"author":[{"dropping-particle":"","family":"Prassas","given":"S","non-dropping-particle":"","parse-names":false,"suffix":""},{"dropping-particle":"","family":"Sanders","given":"R","non-dropping-particle":"","parse-names":false,"suffix":""}],"container-title":"Applied Proceedings of the XVII International Symposium on Biomechanics in Sports: Acrobatics","id":"ITEM-1","issued":{"date-parts":[["1999"]]},"page":"1-10","title":"Biomechanical research in gymnastics: What is done, what is needed","type":"paper-conference"},"uris":["http://www.mendeley.com/documents/?uuid=eb665589-e1ec-45b0-8a42-b8e1bcf98798"]},{"id":"ITEM-2","itemData":{"ISSN":"1476-3141","author":[{"dropping-particle":"","family":"Prassas","given":"Spiros","non-dropping-particle":"","parse-names":false,"suffix":""},{"dropping-particle":"","family":"Kwon","given":"Young‐Hoo","non-dropping-particle":"","parse-names":false,"suffix":""},{"dropping-particle":"","family":"Sands","given":"William A","non-dropping-particle":"","parse-names":false,"suffix":""}],"container-title":"Sports Biomechanics","id":"ITEM-2","issue":"2","issued":{"date-parts":[["2006"]]},"page":"261-291","publisher":"Taylor &amp; Francis","title":"Biomechanical research in artistic gymnastics: a review","type":"article-journal","volume":"5"},"uris":["http://www.mendeley.com/documents/?uuid=eeced98d-2540-4d08-ae62-9f56271ff316"]}],"mendeley":{"formattedCitation":"(16,17)","manualFormatting":"[16,17]","plainTextFormattedCitation":"(16,17)","previouslyFormattedCitation":"(16,17)"},"properties":{"noteIndex":0},"schema":"https://github.com/citation-style-language/schema/raw/master/csl-citation.json"}</w:instrText>
      </w:r>
      <w:r w:rsidRPr="001A394F">
        <w:rPr>
          <w:szCs w:val="24"/>
        </w:rPr>
        <w:fldChar w:fldCharType="separate"/>
      </w:r>
      <w:r w:rsidRPr="001A394F">
        <w:rPr>
          <w:noProof/>
          <w:szCs w:val="24"/>
        </w:rPr>
        <w:t>[16,17]</w:t>
      </w:r>
      <w:r w:rsidRPr="001A394F">
        <w:rPr>
          <w:szCs w:val="24"/>
        </w:rPr>
        <w:fldChar w:fldCharType="end"/>
      </w:r>
      <w:r w:rsidRPr="001A394F">
        <w:rPr>
          <w:szCs w:val="24"/>
        </w:rPr>
        <w:t xml:space="preserve"> have attempted to systematize the studies that are relevant to men’s artistic gymnastics. First time, authors </w:t>
      </w:r>
      <w:r w:rsidRPr="001A394F">
        <w:rPr>
          <w:szCs w:val="24"/>
        </w:rPr>
        <w:fldChar w:fldCharType="begin" w:fldLock="1"/>
      </w:r>
      <w:r w:rsidRPr="001A394F">
        <w:rPr>
          <w:szCs w:val="24"/>
        </w:rPr>
        <w:instrText>ADDIN CSL_CITATION {"citationItems":[{"id":"ITEM-1","itemData":{"author":[{"dropping-particle":"","family":"Prassas","given":"S","non-dropping-particle":"","parse-names":false,"suffix":""},{"dropping-particle":"","family":"Sanders","given":"R","non-dropping-particle":"","parse-names":false,"suffix":""}],"container-title":"Applied Proceedings of the XVII International Symposium on Biomechanics in Sports: Acrobatics","id":"ITEM-1","issued":{"date-parts":[["1999"]]},"page":"1-10","title":"Biomechanical research in gymnastics: What is done, what is needed","type":"paper-conference"},"uris":["http://www.mendeley.com/documents/?uuid=eb665589-e1ec-45b0-8a42-b8e1bcf98798"]}],"mendeley":{"formattedCitation":"(16)","manualFormatting":"[16]","plainTextFormattedCitation":"(16)","previouslyFormattedCitation":"(16)"},"properties":{"noteIndex":0},"schema":"https://github.com/citation-style-language/schema/raw/master/csl-citation.json"}</w:instrText>
      </w:r>
      <w:r w:rsidRPr="001A394F">
        <w:rPr>
          <w:szCs w:val="24"/>
        </w:rPr>
        <w:fldChar w:fldCharType="separate"/>
      </w:r>
      <w:r w:rsidRPr="001A394F">
        <w:rPr>
          <w:noProof/>
          <w:szCs w:val="24"/>
        </w:rPr>
        <w:t>[16]</w:t>
      </w:r>
      <w:r w:rsidRPr="001A394F">
        <w:rPr>
          <w:szCs w:val="24"/>
        </w:rPr>
        <w:fldChar w:fldCharType="end"/>
      </w:r>
      <w:r w:rsidRPr="001A394F">
        <w:rPr>
          <w:szCs w:val="24"/>
        </w:rPr>
        <w:t xml:space="preserve"> have dealth with kinematic and kinetic profiles of straight arms in giant swings and their optimized solutions, streched double-feldge backward to forward swing in hang (so-called “O’Neil”) and twisting techniques of dismounts. Second time, it was concluded that biomechanical studies in artistic gymastics had grown, however, most of them were focused on generalization </w:t>
      </w:r>
      <w:r w:rsidRPr="001A394F">
        <w:rPr>
          <w:szCs w:val="24"/>
        </w:rPr>
        <w:fldChar w:fldCharType="begin" w:fldLock="1"/>
      </w:r>
      <w:r w:rsidRPr="001A394F">
        <w:rPr>
          <w:szCs w:val="24"/>
        </w:rPr>
        <w:instrText>ADDIN CSL_CITATION {"citationItems":[{"id":"ITEM-1","itemData":{"ISSN":"1476-3141","author":[{"dropping-particle":"","family":"Prassas","given":"Spiros","non-dropping-particle":"","parse-names":false,"suffix":""},{"dropping-particle":"","family":"Kwon","given":"Young‐Hoo","non-dropping-particle":"","parse-names":false,"suffix":""},{"dropping-particle":"","family":"Sands","given":"William A","non-dropping-particle":"","parse-names":false,"suffix":""}],"container-title":"Sports Biomechanics","id":"ITEM-1","issue":"2","issued":{"date-parts":[["2006"]]},"page":"261-291","publisher":"Taylor &amp; Francis","title":"Biomechanical research in artistic gymnastics: a review","type":"article-journal","volume":"5"},"uris":["http://www.mendeley.com/documents/?uuid=eeced98d-2540-4d08-ae62-9f56271ff316"]}],"mendeley":{"formattedCitation":"(17)","manualFormatting":"[17]","plainTextFormattedCitation":"(17)","previouslyFormattedCitation":"(17)"},"properties":{"noteIndex":0},"schema":"https://github.com/citation-style-language/schema/raw/master/csl-citation.json"}</w:instrText>
      </w:r>
      <w:r w:rsidRPr="001A394F">
        <w:rPr>
          <w:szCs w:val="24"/>
        </w:rPr>
        <w:fldChar w:fldCharType="separate"/>
      </w:r>
      <w:r w:rsidRPr="001A394F">
        <w:rPr>
          <w:noProof/>
          <w:szCs w:val="24"/>
        </w:rPr>
        <w:t>[17]</w:t>
      </w:r>
      <w:r w:rsidRPr="001A394F">
        <w:rPr>
          <w:szCs w:val="24"/>
        </w:rPr>
        <w:fldChar w:fldCharType="end"/>
      </w:r>
      <w:r w:rsidRPr="001A394F">
        <w:rPr>
          <w:szCs w:val="24"/>
        </w:rPr>
        <w:t xml:space="preserve">. A summary of mentioned studies on the rings are presented in the Table 1. </w:t>
      </w:r>
    </w:p>
    <w:p w:rsidR="00C85953" w:rsidRDefault="00C85953" w:rsidP="00C85953">
      <w:pPr>
        <w:pStyle w:val="a0"/>
        <w:adjustRightInd w:val="0"/>
        <w:snapToGrid w:val="0"/>
        <w:spacing w:beforeLines="0" w:before="240" w:afterLines="0" w:after="240" w:line="288" w:lineRule="auto"/>
      </w:pPr>
      <w:r>
        <w:t>Table 1. Summary of analyzed studies on the rings</w:t>
      </w:r>
    </w:p>
    <w:tbl>
      <w:tblPr>
        <w:tblW w:w="6237" w:type="dxa"/>
        <w:jc w:val="center"/>
        <w:tblInd w:w="4438" w:type="dxa"/>
        <w:tblBorders>
          <w:top w:val="single" w:sz="4" w:space="0" w:color="auto"/>
          <w:bottom w:val="single" w:sz="4" w:space="0" w:color="auto"/>
          <w:insideH w:val="single" w:sz="4" w:space="0" w:color="auto"/>
        </w:tblBorders>
        <w:tblLook w:val="04A0" w:firstRow="1" w:lastRow="0" w:firstColumn="1" w:lastColumn="0" w:noHBand="0" w:noVBand="1"/>
      </w:tblPr>
      <w:tblGrid>
        <w:gridCol w:w="2552"/>
        <w:gridCol w:w="3685"/>
      </w:tblGrid>
      <w:tr w:rsidR="00C85953" w:rsidRPr="003207A5" w:rsidTr="00C85953">
        <w:trPr>
          <w:jc w:val="center"/>
        </w:trPr>
        <w:tc>
          <w:tcPr>
            <w:tcW w:w="2552" w:type="dxa"/>
            <w:shd w:val="clear" w:color="auto" w:fill="auto"/>
            <w:vAlign w:val="center"/>
          </w:tcPr>
          <w:p w:rsidR="00C85953" w:rsidRPr="003207A5" w:rsidRDefault="00C85953" w:rsidP="001E64C9">
            <w:pPr>
              <w:adjustRightInd w:val="0"/>
              <w:snapToGrid w:val="0"/>
              <w:spacing w:line="288" w:lineRule="auto"/>
              <w:ind w:firstLineChars="0" w:firstLine="0"/>
              <w:jc w:val="center"/>
              <w:rPr>
                <w:rFonts w:eastAsia="SimSun"/>
                <w:b/>
                <w:bCs/>
              </w:rPr>
            </w:pPr>
            <w:r w:rsidRPr="003207A5">
              <w:rPr>
                <w:rFonts w:eastAsia="SimSun"/>
                <w:b/>
                <w:bCs/>
              </w:rPr>
              <w:t>Skill</w:t>
            </w:r>
          </w:p>
        </w:tc>
        <w:tc>
          <w:tcPr>
            <w:tcW w:w="3685" w:type="dxa"/>
          </w:tcPr>
          <w:p w:rsidR="00C85953" w:rsidRPr="003207A5" w:rsidRDefault="00C85953" w:rsidP="001E64C9">
            <w:pPr>
              <w:adjustRightInd w:val="0"/>
              <w:snapToGrid w:val="0"/>
              <w:spacing w:line="288" w:lineRule="auto"/>
              <w:ind w:firstLineChars="0" w:firstLine="0"/>
              <w:jc w:val="center"/>
              <w:rPr>
                <w:rFonts w:eastAsia="SimSun"/>
                <w:b/>
                <w:bCs/>
              </w:rPr>
            </w:pPr>
            <w:r w:rsidRPr="003207A5">
              <w:rPr>
                <w:rFonts w:eastAsia="SimSun"/>
                <w:b/>
                <w:bCs/>
              </w:rPr>
              <w:t>Information</w:t>
            </w:r>
          </w:p>
        </w:tc>
      </w:tr>
      <w:tr w:rsidR="00C85953" w:rsidTr="00C85953">
        <w:trPr>
          <w:jc w:val="center"/>
        </w:trPr>
        <w:tc>
          <w:tcPr>
            <w:tcW w:w="2552" w:type="dxa"/>
            <w:shd w:val="clear" w:color="auto" w:fill="auto"/>
            <w:vAlign w:val="center"/>
          </w:tcPr>
          <w:p w:rsidR="00C85953" w:rsidRPr="00E4659D" w:rsidRDefault="00C85953" w:rsidP="001E64C9">
            <w:pPr>
              <w:adjustRightInd w:val="0"/>
              <w:snapToGrid w:val="0"/>
              <w:spacing w:line="288" w:lineRule="auto"/>
              <w:ind w:firstLineChars="0" w:firstLine="0"/>
              <w:jc w:val="center"/>
              <w:rPr>
                <w:rFonts w:eastAsia="SimSun"/>
                <w:sz w:val="18"/>
              </w:rPr>
            </w:pPr>
            <w:r w:rsidRPr="001A394F">
              <w:t>Giant swings</w:t>
            </w:r>
          </w:p>
        </w:tc>
        <w:tc>
          <w:tcPr>
            <w:tcW w:w="3685" w:type="dxa"/>
          </w:tcPr>
          <w:p w:rsidR="00C85953" w:rsidRPr="00E4659D" w:rsidRDefault="00C85953" w:rsidP="001E64C9">
            <w:pPr>
              <w:adjustRightInd w:val="0"/>
              <w:snapToGrid w:val="0"/>
              <w:spacing w:line="288" w:lineRule="auto"/>
              <w:ind w:firstLineChars="0" w:firstLine="0"/>
              <w:jc w:val="center"/>
              <w:rPr>
                <w:rFonts w:eastAsia="SimSun"/>
                <w:sz w:val="18"/>
              </w:rPr>
            </w:pPr>
            <w:r w:rsidRPr="001A394F">
              <w:t>Reaction forces, body configuration, optimization solutions to remove residual swing in the handstand</w:t>
            </w:r>
          </w:p>
        </w:tc>
      </w:tr>
      <w:tr w:rsidR="00C85953" w:rsidTr="00C85953">
        <w:trPr>
          <w:jc w:val="center"/>
        </w:trPr>
        <w:tc>
          <w:tcPr>
            <w:tcW w:w="2552" w:type="dxa"/>
            <w:shd w:val="clear" w:color="auto" w:fill="auto"/>
            <w:vAlign w:val="center"/>
          </w:tcPr>
          <w:p w:rsidR="00C85953" w:rsidRPr="00E4659D" w:rsidRDefault="00C85953" w:rsidP="001E64C9">
            <w:pPr>
              <w:adjustRightInd w:val="0"/>
              <w:snapToGrid w:val="0"/>
              <w:spacing w:line="288" w:lineRule="auto"/>
              <w:ind w:firstLineChars="0" w:firstLine="0"/>
              <w:jc w:val="center"/>
              <w:rPr>
                <w:rFonts w:eastAsia="SimSun"/>
                <w:sz w:val="18"/>
              </w:rPr>
            </w:pPr>
            <w:r w:rsidRPr="001A394F">
              <w:t>Dismounts</w:t>
            </w:r>
          </w:p>
        </w:tc>
        <w:tc>
          <w:tcPr>
            <w:tcW w:w="3685" w:type="dxa"/>
          </w:tcPr>
          <w:p w:rsidR="00C85953" w:rsidRPr="00E4659D" w:rsidRDefault="00C85953" w:rsidP="001E64C9">
            <w:pPr>
              <w:adjustRightInd w:val="0"/>
              <w:snapToGrid w:val="0"/>
              <w:spacing w:line="288" w:lineRule="auto"/>
              <w:ind w:firstLineChars="0" w:firstLine="0"/>
              <w:jc w:val="center"/>
              <w:rPr>
                <w:rFonts w:eastAsia="SimSun"/>
                <w:sz w:val="18"/>
              </w:rPr>
            </w:pPr>
            <w:r w:rsidRPr="001A394F">
              <w:t>Twisting techniques (contact vs. aerial) and segmental contributions</w:t>
            </w:r>
          </w:p>
        </w:tc>
      </w:tr>
      <w:tr w:rsidR="00C85953" w:rsidTr="00C85953">
        <w:trPr>
          <w:jc w:val="center"/>
        </w:trPr>
        <w:tc>
          <w:tcPr>
            <w:tcW w:w="2552" w:type="dxa"/>
            <w:shd w:val="clear" w:color="auto" w:fill="auto"/>
            <w:vAlign w:val="center"/>
          </w:tcPr>
          <w:p w:rsidR="00C85953" w:rsidRPr="00E4659D" w:rsidRDefault="00C85953" w:rsidP="001E64C9">
            <w:pPr>
              <w:adjustRightInd w:val="0"/>
              <w:snapToGrid w:val="0"/>
              <w:spacing w:line="288" w:lineRule="auto"/>
              <w:ind w:firstLineChars="0" w:firstLine="0"/>
              <w:jc w:val="center"/>
              <w:rPr>
                <w:rFonts w:eastAsia="SimSun"/>
                <w:sz w:val="18"/>
              </w:rPr>
            </w:pPr>
            <w:r w:rsidRPr="001A394F">
              <w:t>Double salto without releasing the rings (O’Neil)</w:t>
            </w:r>
          </w:p>
        </w:tc>
        <w:tc>
          <w:tcPr>
            <w:tcW w:w="3685" w:type="dxa"/>
          </w:tcPr>
          <w:p w:rsidR="00C85953" w:rsidRPr="00E4659D" w:rsidRDefault="00C85953" w:rsidP="001E64C9">
            <w:pPr>
              <w:adjustRightInd w:val="0"/>
              <w:snapToGrid w:val="0"/>
              <w:spacing w:line="288" w:lineRule="auto"/>
              <w:ind w:firstLineChars="0" w:firstLine="0"/>
              <w:jc w:val="center"/>
              <w:rPr>
                <w:rFonts w:eastAsia="SimSun"/>
                <w:sz w:val="18"/>
              </w:rPr>
            </w:pPr>
            <w:r w:rsidRPr="001A394F">
              <w:t>Centre of mass velocity and displacement, timing</w:t>
            </w:r>
          </w:p>
        </w:tc>
      </w:tr>
    </w:tbl>
    <w:p w:rsidR="00324935" w:rsidRPr="00C907ED" w:rsidRDefault="00324935" w:rsidP="00C907ED">
      <w:pPr>
        <w:ind w:firstLine="420"/>
      </w:pPr>
    </w:p>
    <w:p w:rsidR="00324935" w:rsidRPr="00C85953" w:rsidRDefault="00C85953" w:rsidP="00C85953">
      <w:pPr>
        <w:ind w:firstLine="420"/>
        <w:rPr>
          <w:szCs w:val="24"/>
          <w:shd w:val="clear" w:color="auto" w:fill="FFFFFF"/>
        </w:rPr>
      </w:pPr>
      <w:r w:rsidRPr="00593D08">
        <w:rPr>
          <w:szCs w:val="24"/>
        </w:rPr>
        <w:t>Based on the knowledge of authors, there are no systematic review of recent date, that identifies, summarize and systematize previous studies, of exercises on the rings in men’s artistic</w:t>
      </w:r>
      <w:r w:rsidR="00046D35">
        <w:rPr>
          <w:szCs w:val="24"/>
        </w:rPr>
        <w:t xml:space="preserve"> gymnastics. Hence,</w:t>
      </w:r>
      <w:r w:rsidRPr="00593D08">
        <w:rPr>
          <w:szCs w:val="24"/>
        </w:rPr>
        <w:t xml:space="preserve"> the aim </w:t>
      </w:r>
      <w:r w:rsidR="00046D35">
        <w:rPr>
          <w:szCs w:val="24"/>
        </w:rPr>
        <w:t>of this study is to identify, summarize and</w:t>
      </w:r>
      <w:r w:rsidRPr="00593D08">
        <w:rPr>
          <w:szCs w:val="24"/>
        </w:rPr>
        <w:t xml:space="preserve"> examine the scientific evidence regarding exercises on rings in men’s artis</w:t>
      </w:r>
      <w:r w:rsidR="00683FFC">
        <w:rPr>
          <w:szCs w:val="24"/>
        </w:rPr>
        <w:t>t</w:t>
      </w:r>
      <w:r w:rsidRPr="00593D08">
        <w:rPr>
          <w:szCs w:val="24"/>
        </w:rPr>
        <w:t>ic gymnastics</w:t>
      </w:r>
      <w:r w:rsidRPr="00800AB8">
        <w:rPr>
          <w:sz w:val="24"/>
          <w:szCs w:val="24"/>
        </w:rPr>
        <w:t>.</w:t>
      </w:r>
    </w:p>
    <w:p w:rsidR="00AB4A9D" w:rsidRDefault="00833FCC">
      <w:pPr>
        <w:pStyle w:val="Heading1"/>
      </w:pPr>
      <w:r>
        <w:t>2. Materials and Methods</w:t>
      </w:r>
    </w:p>
    <w:p w:rsidR="00C907ED" w:rsidRDefault="00C907ED" w:rsidP="00C907ED">
      <w:pPr>
        <w:adjustRightInd w:val="0"/>
        <w:snapToGrid w:val="0"/>
        <w:spacing w:before="240" w:after="240" w:line="288" w:lineRule="auto"/>
        <w:ind w:firstLineChars="0" w:firstLine="0"/>
        <w:outlineLvl w:val="1"/>
        <w:rPr>
          <w:rFonts w:eastAsiaTheme="minorEastAsia"/>
          <w:i/>
        </w:rPr>
      </w:pPr>
      <w:r>
        <w:rPr>
          <w:rFonts w:eastAsiaTheme="minorEastAsia"/>
          <w:i/>
        </w:rPr>
        <w:t xml:space="preserve">2.1 </w:t>
      </w:r>
      <w:r w:rsidR="00C85953">
        <w:rPr>
          <w:rFonts w:eastAsiaTheme="minorEastAsia"/>
          <w:i/>
        </w:rPr>
        <w:t>Literature Identification</w:t>
      </w:r>
    </w:p>
    <w:p w:rsidR="00C85953" w:rsidRDefault="00C85953" w:rsidP="00C85953">
      <w:pPr>
        <w:autoSpaceDE w:val="0"/>
        <w:autoSpaceDN w:val="0"/>
        <w:adjustRightInd w:val="0"/>
        <w:ind w:firstLine="420"/>
      </w:pPr>
      <w:r w:rsidRPr="00593D08">
        <w:t xml:space="preserve">Analysis and the review itself were performed according to PRISMA guidlines </w:t>
      </w:r>
      <w:r w:rsidRPr="00593D08">
        <w:fldChar w:fldCharType="begin" w:fldLock="1"/>
      </w:r>
      <w:r w:rsidRPr="00593D08">
        <w:instrText>ADDIN CSL_CITATION {"citationItems":[{"id":"ITEM-1","itemData":{"ISSN":"1756-1833","author":[{"dropping-particle":"","family":"Page","given":"Matthew J","non-dropping-particle":"","parse-names":false,"suffix":""},{"dropping-particle":"","family":"McKenzie","given":"Joanne E","non-dropping-particle":"","parse-names":false,"suffix":""},{"dropping-particle":"","family":"Bossuyt","given":"Patrick M","non-dropping-particle":"","parse-names":false,"suffix":""},{"dropping-particle":"","family":"Boutron","given":"Isabelle","non-dropping-particle":"","parse-names":false,"suffix":""},{"dropping-particle":"","family":"Hoffmann","given":"Tammy C","non-dropping-particle":"","parse-names":false,"suffix":""},{"dropping-particle":"","family":"Mulrow","given":"Cynthia D","non-dropping-particle":"","parse-names":false,"suffix":""},{"dropping-particle":"","family":"Shamseer","given":"Larissa","non-dropping-particle":"","parse-names":false,"suffix":""},{"dropping-particle":"","family":"Tetzlaff","given":"Jennifer M","non-dropping-particle":"","parse-names":false,"suffix":""},{"dropping-particle":"","family":"Akl","given":"Elie A","non-dropping-particle":"","parse-names":false,"suffix":""},{"dropping-particle":"","family":"Brennan","given":"Sue E","non-dropping-particle":"","parse-names":false,"suffix":""}],"container-title":"Bmj","id":"ITEM-1","issued":{"date-parts":[["2021"]]},"publisher":"British Medical Journal Publishing Group","title":"The PRISMA 2020 statement: an updated guideline for reporting systematic reviews","type":"article-journal","volume":"372"},"uris":["http://www.mendeley.com/documents/?uuid=0ef7ffa9-8eef-4a48-989d-662f307b7eee"]},{"id":"ITEM-2","itemData":{"ISSN":"2046-4053","author":[{"dropping-particle":"","family":"Rethlefsen","given":"Melissa L","non-dropping-particle":"","parse-names":false,"suffix":""},{"dropping-particle":"","family":"Kirtley","given":"Shona","non-dropping-particle":"","parse-names":false,"suffix":""},{"dropping-particle":"","family":"Waffenschmidt","given":"Siw","non-dropping-particle":"","parse-names":false,"suffix":""},{"dropping-particle":"","family":"Ayala","given":"Ana Patricia","non-dropping-particle":"","parse-names":false,"suffix":""},{"dropping-particle":"","family":"Moher","given":"David","non-dropping-particle":"","parse-names":false,"suffix":""},{"dropping-particle":"","family":"Page","given":"Matthew J","non-dropping-particle":"","parse-names":false,"suffix":""},{"dropping-particle":"","family":"Koffel","given":"Jonathan B","non-dropping-particle":"","parse-names":false,"suffix":""}],"container-title":"Systematic reviews","id":"ITEM-2","issue":"1","issued":{"date-parts":[["2021"]]},"page":"1-19","publisher":"BioMed Central","title":"PRISMA-S: an extension to the PRISMA statement for reporting literature searches in systematic reviews","type":"article-journal","volume":"10"},"uris":["http://www.mendeley.com/documents/?uuid=15b647bf-749d-4831-b322-2c233b90147c"]}],"mendeley":{"formattedCitation":"(18,19)","manualFormatting":"[18,19]","plainTextFormattedCitation":"(18,19)","previouslyFormattedCitation":"(18,19)"},"properties":{"noteIndex":0},"schema":"https://github.com/citation-style-language/schema/raw/master/csl-citation.json"}</w:instrText>
      </w:r>
      <w:r w:rsidRPr="00593D08">
        <w:fldChar w:fldCharType="separate"/>
      </w:r>
      <w:r w:rsidRPr="00593D08">
        <w:rPr>
          <w:noProof/>
        </w:rPr>
        <w:t>[18,19]</w:t>
      </w:r>
      <w:r w:rsidRPr="00593D08">
        <w:fldChar w:fldCharType="end"/>
      </w:r>
      <w:r w:rsidRPr="00593D08">
        <w:t xml:space="preserve">. Using the relevant electronic databases (Google Scholar, PubMed, Web of Science and Research Gate) searches were conducted with following keywords: (“exercise” OR “training” AND “rings” OR “strength” OR </w:t>
      </w:r>
      <w:r w:rsidRPr="00593D08">
        <w:rPr>
          <w:lang w:val="sr-Cyrl-RS"/>
        </w:rPr>
        <w:t>„</w:t>
      </w:r>
      <w:r w:rsidRPr="00593D08">
        <w:t>static</w:t>
      </w:r>
      <w:r w:rsidRPr="00593D08">
        <w:rPr>
          <w:lang w:val="sr-Cyrl-RS"/>
        </w:rPr>
        <w:t>“</w:t>
      </w:r>
      <w:r w:rsidRPr="00593D08">
        <w:t xml:space="preserve"> OR “swing” OR “dismount” OR “movement” AND “gymnastics” OR “artistic gymnastics” OR “men’s artistic gymnastics”)</w:t>
      </w:r>
      <w:r>
        <w:t xml:space="preserve">. </w:t>
      </w:r>
    </w:p>
    <w:p w:rsidR="00C85953" w:rsidRPr="00C907ED" w:rsidRDefault="00C85953" w:rsidP="00C85953">
      <w:pPr>
        <w:autoSpaceDE w:val="0"/>
        <w:autoSpaceDN w:val="0"/>
        <w:adjustRightInd w:val="0"/>
        <w:ind w:firstLine="420"/>
      </w:pPr>
      <w:r w:rsidRPr="00593D08">
        <w:t>A descriptive method was used to analyze the obtained data and all abstracts and titles were reviewed for possible inclusion. After a detailed identification process, studies were considered relevant, if they met the inclusion criteria.</w:t>
      </w:r>
      <w:r w:rsidRPr="00593D08">
        <w:rPr>
          <w:lang w:val="sr-Cyrl-RS"/>
        </w:rPr>
        <w:t xml:space="preserve"> </w:t>
      </w:r>
      <w:r w:rsidRPr="00593D08">
        <w:t>Study search, value assessment and data extraction were independently conducted by three authors (M.P., P.V. and D.</w:t>
      </w:r>
      <w:r w:rsidRPr="00593D08">
        <w:rPr>
          <w:lang w:val="sr-Latn-RS"/>
        </w:rPr>
        <w:t>Đ.</w:t>
      </w:r>
      <w:r w:rsidRPr="00593D08">
        <w:t>), and the list of references from previously assessed and original research were also reviewed. After that, each authors cross-examined the identified studies, which were taken for further analysis or rejected.</w:t>
      </w:r>
    </w:p>
    <w:p w:rsidR="00C907ED" w:rsidRDefault="00C907ED" w:rsidP="00C907ED">
      <w:pPr>
        <w:adjustRightInd w:val="0"/>
        <w:snapToGrid w:val="0"/>
        <w:spacing w:before="240" w:after="240" w:line="288" w:lineRule="auto"/>
        <w:ind w:firstLineChars="0" w:firstLine="0"/>
        <w:outlineLvl w:val="1"/>
        <w:rPr>
          <w:rFonts w:eastAsiaTheme="minorEastAsia"/>
          <w:i/>
        </w:rPr>
      </w:pPr>
      <w:r>
        <w:rPr>
          <w:rFonts w:eastAsiaTheme="minorEastAsia"/>
          <w:i/>
        </w:rPr>
        <w:t xml:space="preserve">2.2 </w:t>
      </w:r>
      <w:r w:rsidR="00C85953">
        <w:rPr>
          <w:rFonts w:eastAsiaTheme="minorEastAsia"/>
          <w:i/>
        </w:rPr>
        <w:t>Inclusion Criteria of Studies</w:t>
      </w:r>
    </w:p>
    <w:p w:rsidR="00C85953" w:rsidRPr="00A83EF1" w:rsidRDefault="00C85953" w:rsidP="00C85953">
      <w:pPr>
        <w:autoSpaceDE w:val="0"/>
        <w:autoSpaceDN w:val="0"/>
        <w:adjustRightInd w:val="0"/>
        <w:ind w:firstLine="420"/>
      </w:pPr>
      <w:r w:rsidRPr="00411872">
        <w:t xml:space="preserve">Inclusion criteria of studies were defined for the selection of studies included in the final analysis: original scientific study, cross-sectional study, study published between 2000 and 2022, study written in English language, active male gymnast as a sample of participants who do not suffer from injury and studies who evaluated different types of elements on the rings. </w:t>
      </w:r>
    </w:p>
    <w:p w:rsidR="00C907ED" w:rsidRDefault="00C907ED" w:rsidP="00C907ED">
      <w:pPr>
        <w:adjustRightInd w:val="0"/>
        <w:snapToGrid w:val="0"/>
        <w:spacing w:before="240" w:after="240" w:line="288" w:lineRule="auto"/>
        <w:ind w:firstLineChars="0" w:firstLine="0"/>
        <w:outlineLvl w:val="1"/>
        <w:rPr>
          <w:rFonts w:eastAsiaTheme="minorEastAsia"/>
          <w:i/>
        </w:rPr>
      </w:pPr>
      <w:r>
        <w:rPr>
          <w:rFonts w:eastAsiaTheme="minorEastAsia"/>
          <w:i/>
        </w:rPr>
        <w:lastRenderedPageBreak/>
        <w:t xml:space="preserve">2.3 </w:t>
      </w:r>
      <w:r w:rsidR="00C85953">
        <w:rPr>
          <w:rFonts w:eastAsiaTheme="minorEastAsia"/>
          <w:i/>
        </w:rPr>
        <w:t>Exclusion Criteria of Studies</w:t>
      </w:r>
    </w:p>
    <w:p w:rsidR="00C85953" w:rsidRPr="00BB2A08" w:rsidRDefault="00C85953" w:rsidP="00C85953">
      <w:pPr>
        <w:autoSpaceDE w:val="0"/>
        <w:autoSpaceDN w:val="0"/>
        <w:adjustRightInd w:val="0"/>
        <w:ind w:firstLine="420"/>
      </w:pPr>
      <w:r w:rsidRPr="00411872">
        <w:rPr>
          <w:lang w:val="sr-Cyrl-RS"/>
        </w:rPr>
        <w:t>Т</w:t>
      </w:r>
      <w:r w:rsidRPr="00411872">
        <w:t>he exlusion criteria was related to studies conducted before 2000, studies written in other language than English, women’s artistic gymnastics, other types of gymnastics or studies who evaluated elements on different apparatuses.</w:t>
      </w:r>
    </w:p>
    <w:p w:rsidR="00C85953" w:rsidRPr="00C85953" w:rsidRDefault="00C907ED" w:rsidP="00C85953">
      <w:pPr>
        <w:adjustRightInd w:val="0"/>
        <w:snapToGrid w:val="0"/>
        <w:spacing w:before="240" w:after="240" w:line="288" w:lineRule="auto"/>
        <w:ind w:firstLineChars="0" w:firstLine="0"/>
        <w:outlineLvl w:val="1"/>
        <w:rPr>
          <w:rFonts w:eastAsiaTheme="minorEastAsia"/>
          <w:i/>
        </w:rPr>
      </w:pPr>
      <w:r>
        <w:rPr>
          <w:rFonts w:eastAsiaTheme="minorEastAsia"/>
          <w:i/>
        </w:rPr>
        <w:t xml:space="preserve">2.4 </w:t>
      </w:r>
      <w:r w:rsidR="00C85953">
        <w:rPr>
          <w:rFonts w:eastAsiaTheme="minorEastAsia"/>
          <w:i/>
        </w:rPr>
        <w:t>Risk of Bias Assessment</w:t>
      </w:r>
    </w:p>
    <w:p w:rsidR="00C85953" w:rsidRPr="00C85953" w:rsidRDefault="00C85953" w:rsidP="00C85953">
      <w:pPr>
        <w:tabs>
          <w:tab w:val="left" w:pos="6915"/>
        </w:tabs>
        <w:ind w:firstLine="420"/>
      </w:pPr>
      <w:r w:rsidRPr="00411872">
        <w:t xml:space="preserve">According to the Physiotherapy Evidence Database (PEDro scale), the risk of bias was assessed to determine the quality of studies </w:t>
      </w:r>
      <w:r w:rsidRPr="00411872">
        <w:fldChar w:fldCharType="begin" w:fldLock="1"/>
      </w:r>
      <w:r w:rsidRPr="00411872">
        <w:instrText>ADDIN CSL_CITATION {"citationItems":[{"id":"ITEM-1","itemData":{"ISSN":"0004-9514","author":[{"dropping-particle":"","family":"Morton","given":"Natalie A","non-dropping-particle":"de","parse-names":false,"suffix":""}],"container-title":"Australian Journal of Physiotherapy","id":"ITEM-1","issue":"2","issued":{"date-parts":[["2009"]]},"page":"129-133","publisher":"Elsevier","title":"The PEDro scale is a valid measure of the methodological quality of clinical trials: a demographic study","type":"article-journal","volume":"55"},"uris":["http://www.mendeley.com/documents/?uuid=9cdd5b8a-2d01-4924-8b83-e921ea4350fb"]}],"mendeley":{"formattedCitation":"(20)","manualFormatting":"[20]","plainTextFormattedCitation":"(20)","previouslyFormattedCitation":"(20)"},"properties":{"noteIndex":0},"schema":"https://github.com/citation-style-language/schema/raw/master/csl-citation.json"}</w:instrText>
      </w:r>
      <w:r w:rsidRPr="00411872">
        <w:fldChar w:fldCharType="separate"/>
      </w:r>
      <w:r w:rsidRPr="00411872">
        <w:rPr>
          <w:noProof/>
        </w:rPr>
        <w:t>[20]</w:t>
      </w:r>
      <w:r w:rsidRPr="00411872">
        <w:fldChar w:fldCharType="end"/>
      </w:r>
      <w:r w:rsidRPr="00411872">
        <w:t xml:space="preserve">. </w:t>
      </w:r>
      <w:r w:rsidRPr="00411872">
        <w:rPr>
          <w:szCs w:val="20"/>
        </w:rPr>
        <w:t>This scale was developed to identify studies that were likely to be internally valid and have sufficient statistical information to support clinical decisions. It is a valid measure of the methodological quality of clinical trials and is a valid way to sum scale item scores to obtain the total score, which can be treated as an interval-level measure and subjected to parametric statistical analysis.</w:t>
      </w:r>
      <w:r w:rsidRPr="00411872">
        <w:t xml:space="preserve"> Two independent reviewers (M.P. and D.</w:t>
      </w:r>
      <w:r w:rsidRPr="00411872">
        <w:rPr>
          <w:lang w:val="sr-Latn-RS"/>
        </w:rPr>
        <w:t>Đ.</w:t>
      </w:r>
      <w:r w:rsidRPr="00411872">
        <w:t>) assessed quality and risk of bias using checklists and concordance between reviewers was estimated using k-statistics data to review the full text and assess relativity and risk of bias. In case of discordance as to findings of the risk of bias assessment, the obtained data were assessed by the third reviewer (S.V.), who also made the final decision</w:t>
      </w:r>
      <w:r w:rsidRPr="00411872">
        <w:rPr>
          <w:color w:val="FF0000"/>
        </w:rPr>
        <w:t xml:space="preserve">. </w:t>
      </w:r>
      <w:r w:rsidRPr="00411872">
        <w:t>The k-rate of concordance between reviewer’s findings was k=0.91.</w:t>
      </w:r>
    </w:p>
    <w:p w:rsidR="00C85953" w:rsidRPr="00C85953" w:rsidRDefault="00C85953" w:rsidP="00C85953">
      <w:pPr>
        <w:adjustRightInd w:val="0"/>
        <w:snapToGrid w:val="0"/>
        <w:spacing w:before="240" w:after="240" w:line="288" w:lineRule="auto"/>
        <w:ind w:firstLineChars="0" w:firstLine="0"/>
        <w:outlineLvl w:val="1"/>
        <w:rPr>
          <w:rFonts w:eastAsiaTheme="minorEastAsia"/>
          <w:i/>
        </w:rPr>
      </w:pPr>
      <w:r>
        <w:rPr>
          <w:rFonts w:eastAsiaTheme="minorEastAsia"/>
          <w:i/>
        </w:rPr>
        <w:t>2.5 Data Extraction</w:t>
      </w:r>
    </w:p>
    <w:p w:rsidR="00C85953" w:rsidRPr="00A83EF1" w:rsidRDefault="00C85953" w:rsidP="00C85953">
      <w:pPr>
        <w:tabs>
          <w:tab w:val="left" w:pos="6915"/>
        </w:tabs>
        <w:ind w:firstLine="420"/>
      </w:pPr>
      <w:r w:rsidRPr="00411872">
        <w:t>After the cross-examination and only if the data were adequate, the information were extracted. The standardized data extraction protocol was applied (Cochrane Consumer and Communication Review Group’s) to extract the necessary characteristics, such as first author and year of publication, study aim, sample size, age, competition level, information about evaluated element on rings and results obtained.</w:t>
      </w:r>
    </w:p>
    <w:p w:rsidR="00AB4A9D" w:rsidRDefault="00833FCC">
      <w:pPr>
        <w:pStyle w:val="Heading1"/>
      </w:pPr>
      <w:r>
        <w:rPr>
          <w:rFonts w:hint="eastAsia"/>
        </w:rPr>
        <w:t>3</w:t>
      </w:r>
      <w:r>
        <w:t>. Results</w:t>
      </w:r>
    </w:p>
    <w:p w:rsidR="00C85953" w:rsidRPr="00C85953" w:rsidRDefault="00C85953" w:rsidP="00C85953">
      <w:pPr>
        <w:adjustRightInd w:val="0"/>
        <w:snapToGrid w:val="0"/>
        <w:spacing w:before="240" w:after="240" w:line="288" w:lineRule="auto"/>
        <w:ind w:firstLineChars="0" w:firstLine="0"/>
        <w:outlineLvl w:val="1"/>
        <w:rPr>
          <w:rFonts w:eastAsiaTheme="minorEastAsia"/>
          <w:i/>
        </w:rPr>
      </w:pPr>
      <w:r>
        <w:rPr>
          <w:rFonts w:eastAsiaTheme="minorEastAsia"/>
          <w:i/>
        </w:rPr>
        <w:t>3.1 Quality of Studies</w:t>
      </w:r>
    </w:p>
    <w:p w:rsidR="000E37DA" w:rsidRDefault="00C85953" w:rsidP="001E64C9">
      <w:pPr>
        <w:tabs>
          <w:tab w:val="left" w:pos="6915"/>
        </w:tabs>
        <w:ind w:firstLine="420"/>
      </w:pPr>
      <w:r w:rsidRPr="00411872">
        <w:t xml:space="preserve">Based on the points each study scored on the PEDro scale, the final quality assessment scores were defined. </w:t>
      </w:r>
      <w:r w:rsidRPr="00411872">
        <w:rPr>
          <w:szCs w:val="20"/>
        </w:rPr>
        <w:t>With a grand total of 0–3 points, studies were classified as “poor” 4–5 “fair” 6–8</w:t>
      </w:r>
      <w:r w:rsidRPr="00411872">
        <w:t xml:space="preserve"> </w:t>
      </w:r>
      <w:r w:rsidRPr="00411872">
        <w:rPr>
          <w:szCs w:val="20"/>
        </w:rPr>
        <w:t>“good” and 9–10 “excellent” In addition, for studies evaluating complex interventions</w:t>
      </w:r>
      <w:r w:rsidRPr="00411872">
        <w:t xml:space="preserve"> </w:t>
      </w:r>
      <w:r w:rsidRPr="00411872">
        <w:rPr>
          <w:szCs w:val="20"/>
        </w:rPr>
        <w:t xml:space="preserve">(e.g., exercise), a total score of 8/11 may be optimal </w:t>
      </w:r>
      <w:r w:rsidRPr="00411872">
        <w:rPr>
          <w:szCs w:val="20"/>
        </w:rPr>
        <w:fldChar w:fldCharType="begin" w:fldLock="1"/>
      </w:r>
      <w:r w:rsidRPr="00411872">
        <w:rPr>
          <w:szCs w:val="20"/>
        </w:rPr>
        <w:instrText>ADDIN CSL_CITATION {"citationItems":[{"id":"ITEM-1","itemData":{"ISSN":"0031-9023","author":[{"dropping-particle":"","family":"Maher","given":"Christopher G","non-dropping-particle":"","parse-names":false,"suffix":""},{"dropping-particle":"","family":"Sherrington","given":"Catherine","non-dropping-particle":"","parse-names":false,"suffix":""},{"dropping-particle":"","family":"Herbert","given":"Robert D","non-dropping-particle":"","parse-names":false,"suffix":""},{"dropping-particle":"","family":"Moseley","given":"Anne M","non-dropping-particle":"","parse-names":false,"suffix":""},{"dropping-particle":"","family":"Elkins","given":"Mark","non-dropping-particle":"","parse-names":false,"suffix":""}],"container-title":"Physical therapy","id":"ITEM-1","issue":"8","issued":{"date-parts":[["2003"]]},"page":"713-721","publisher":"Oxford University Press","title":"Reliability of the PEDro scale for rating quality of randomized controlled trials","type":"article-journal","volume":"83"},"uris":["http://www.mendeley.com/documents/?uuid=b9704c2e-6cf3-421a-9b31-5f7303b749e2"]}],"mendeley":{"formattedCitation":"(21)","manualFormatting":"[21]","plainTextFormattedCitation":"(21)","previouslyFormattedCitation":"(21)"},"properties":{"noteIndex":0},"schema":"https://github.com/citation-style-language/schema/raw/master/csl-citation.json"}</w:instrText>
      </w:r>
      <w:r w:rsidRPr="00411872">
        <w:rPr>
          <w:szCs w:val="20"/>
        </w:rPr>
        <w:fldChar w:fldCharType="separate"/>
      </w:r>
      <w:r w:rsidRPr="00411872">
        <w:rPr>
          <w:noProof/>
          <w:szCs w:val="20"/>
        </w:rPr>
        <w:t>[21]</w:t>
      </w:r>
      <w:r w:rsidRPr="00411872">
        <w:rPr>
          <w:szCs w:val="20"/>
        </w:rPr>
        <w:fldChar w:fldCharType="end"/>
      </w:r>
      <w:r w:rsidRPr="00411872">
        <w:rPr>
          <w:szCs w:val="20"/>
        </w:rPr>
        <w:t>. Of all the studies included in this</w:t>
      </w:r>
      <w:r w:rsidRPr="00411872">
        <w:t xml:space="preserve"> </w:t>
      </w:r>
      <w:r w:rsidRPr="00411872">
        <w:rPr>
          <w:szCs w:val="20"/>
        </w:rPr>
        <w:t xml:space="preserve">systematic review, 12 studies showed fair quality, while rest of 3 of them showed good quality. </w:t>
      </w:r>
      <w:r w:rsidRPr="00411872">
        <w:t>The results obtained from analyzing the study quality and potential risk of bias are presented in Table 2.</w:t>
      </w:r>
    </w:p>
    <w:p w:rsidR="001E64C9" w:rsidRDefault="001E64C9" w:rsidP="001E64C9">
      <w:pPr>
        <w:pStyle w:val="a0"/>
        <w:adjustRightInd w:val="0"/>
        <w:snapToGrid w:val="0"/>
        <w:spacing w:beforeLines="0" w:before="240" w:afterLines="0" w:after="240" w:line="288" w:lineRule="auto"/>
        <w:rPr>
          <w:highlight w:val="red"/>
        </w:rPr>
      </w:pPr>
      <w:r>
        <w:t>Table 2</w:t>
      </w:r>
      <w:r w:rsidRPr="00A45746">
        <w:t xml:space="preserve">. </w:t>
      </w:r>
      <w:r>
        <w:t>PEDro scale result</w:t>
      </w:r>
    </w:p>
    <w:tbl>
      <w:tblPr>
        <w:tblW w:w="8407" w:type="dxa"/>
        <w:jc w:val="center"/>
        <w:tblInd w:w="-1114" w:type="dxa"/>
        <w:tblBorders>
          <w:top w:val="single" w:sz="4" w:space="0" w:color="auto"/>
          <w:bottom w:val="single" w:sz="4" w:space="0" w:color="auto"/>
          <w:insideH w:val="single" w:sz="4" w:space="0" w:color="auto"/>
        </w:tblBorders>
        <w:tblLook w:val="04A0" w:firstRow="1" w:lastRow="0" w:firstColumn="1" w:lastColumn="0" w:noHBand="0" w:noVBand="1"/>
      </w:tblPr>
      <w:tblGrid>
        <w:gridCol w:w="2396"/>
        <w:gridCol w:w="497"/>
        <w:gridCol w:w="497"/>
        <w:gridCol w:w="497"/>
        <w:gridCol w:w="497"/>
        <w:gridCol w:w="498"/>
        <w:gridCol w:w="498"/>
        <w:gridCol w:w="498"/>
        <w:gridCol w:w="498"/>
        <w:gridCol w:w="498"/>
        <w:gridCol w:w="518"/>
        <w:gridCol w:w="518"/>
        <w:gridCol w:w="497"/>
      </w:tblGrid>
      <w:tr w:rsidR="001E64C9" w:rsidRPr="000E37DA" w:rsidTr="001E64C9">
        <w:trPr>
          <w:trHeight w:val="85"/>
          <w:jc w:val="center"/>
        </w:trPr>
        <w:tc>
          <w:tcPr>
            <w:tcW w:w="2396" w:type="dxa"/>
            <w:shd w:val="clear" w:color="auto" w:fill="auto"/>
            <w:vAlign w:val="center"/>
          </w:tcPr>
          <w:p w:rsidR="001E64C9" w:rsidRPr="000E37DA" w:rsidRDefault="001E64C9" w:rsidP="001E64C9">
            <w:pPr>
              <w:adjustRightInd w:val="0"/>
              <w:snapToGrid w:val="0"/>
              <w:ind w:firstLineChars="0" w:firstLine="0"/>
              <w:jc w:val="center"/>
              <w:rPr>
                <w:rFonts w:eastAsia="SimSun"/>
                <w:b/>
                <w:bCs/>
              </w:rPr>
            </w:pPr>
          </w:p>
        </w:tc>
        <w:tc>
          <w:tcPr>
            <w:tcW w:w="6011" w:type="dxa"/>
            <w:gridSpan w:val="12"/>
            <w:vAlign w:val="center"/>
          </w:tcPr>
          <w:p w:rsidR="001E64C9" w:rsidRPr="000E37DA" w:rsidRDefault="001E64C9" w:rsidP="001E64C9">
            <w:pPr>
              <w:adjustRightInd w:val="0"/>
              <w:snapToGrid w:val="0"/>
              <w:ind w:firstLineChars="0" w:firstLine="0"/>
              <w:jc w:val="center"/>
              <w:rPr>
                <w:rFonts w:eastAsia="SimSun"/>
                <w:b/>
                <w:bCs/>
              </w:rPr>
            </w:pPr>
            <w:r w:rsidRPr="000E37DA">
              <w:rPr>
                <w:rFonts w:eastAsia="SimSun"/>
                <w:b/>
                <w:bCs/>
              </w:rPr>
              <w:t>Criterion</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Study</w:t>
            </w:r>
          </w:p>
        </w:tc>
        <w:tc>
          <w:tcPr>
            <w:tcW w:w="497"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1</w:t>
            </w:r>
          </w:p>
        </w:tc>
        <w:tc>
          <w:tcPr>
            <w:tcW w:w="497"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2</w:t>
            </w:r>
          </w:p>
        </w:tc>
        <w:tc>
          <w:tcPr>
            <w:tcW w:w="497"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3</w:t>
            </w:r>
          </w:p>
        </w:tc>
        <w:tc>
          <w:tcPr>
            <w:tcW w:w="497"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4</w:t>
            </w:r>
          </w:p>
        </w:tc>
        <w:tc>
          <w:tcPr>
            <w:tcW w:w="498"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5</w:t>
            </w:r>
          </w:p>
        </w:tc>
        <w:tc>
          <w:tcPr>
            <w:tcW w:w="498"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6</w:t>
            </w:r>
          </w:p>
        </w:tc>
        <w:tc>
          <w:tcPr>
            <w:tcW w:w="498"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7</w:t>
            </w:r>
          </w:p>
        </w:tc>
        <w:tc>
          <w:tcPr>
            <w:tcW w:w="498"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8</w:t>
            </w:r>
          </w:p>
        </w:tc>
        <w:tc>
          <w:tcPr>
            <w:tcW w:w="498"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9</w:t>
            </w:r>
          </w:p>
        </w:tc>
        <w:tc>
          <w:tcPr>
            <w:tcW w:w="518"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10</w:t>
            </w:r>
          </w:p>
        </w:tc>
        <w:tc>
          <w:tcPr>
            <w:tcW w:w="518"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11</w:t>
            </w:r>
          </w:p>
        </w:tc>
        <w:tc>
          <w:tcPr>
            <w:tcW w:w="497" w:type="dxa"/>
            <w:vAlign w:val="center"/>
          </w:tcPr>
          <w:p w:rsidR="001E64C9" w:rsidRPr="000E37DA" w:rsidRDefault="001E64C9" w:rsidP="001E64C9">
            <w:pPr>
              <w:pStyle w:val="MDPI42tablebody"/>
              <w:spacing w:line="240" w:lineRule="auto"/>
              <w:rPr>
                <w:rFonts w:ascii="Times New Roman" w:hAnsi="Times New Roman"/>
                <w:b/>
                <w:sz w:val="21"/>
                <w:szCs w:val="21"/>
              </w:rPr>
            </w:pPr>
            <w:r w:rsidRPr="000E37DA">
              <w:rPr>
                <w:rFonts w:ascii="Times New Roman" w:hAnsi="Times New Roman"/>
                <w:b/>
                <w:sz w:val="21"/>
                <w:szCs w:val="21"/>
              </w:rPr>
              <w:t>∑</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Brewin et al. (2000)</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4</w:t>
            </w:r>
          </w:p>
        </w:tc>
      </w:tr>
      <w:tr w:rsidR="001E64C9" w:rsidRPr="000E37DA" w:rsidTr="001E64C9">
        <w:trPr>
          <w:trHeight w:val="85"/>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Sprigings et al. (2000)</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5</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Yeadon &amp; Brewin (2003)</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4</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Bernasconi et al. (2004)</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5</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Bernasconi et al. (2006)</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4</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Dunlavy et al. (2007)</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5</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Bernasconi et al. (2009)</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4</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Campos et al. (2009)</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7</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lastRenderedPageBreak/>
              <w:t>Campos et al. (2011)</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4</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rPr>
                <w:color w:val="222222"/>
                <w:shd w:val="clear" w:color="auto" w:fill="FFFFFF"/>
              </w:rPr>
              <w:t>Ningxiang</w:t>
            </w:r>
            <w:r w:rsidRPr="000E37DA">
              <w:t xml:space="preserve"> et al. (2012)</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4</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Bango et al. (2013)</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5</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Gorosito</w:t>
            </w:r>
            <w:r>
              <w:t xml:space="preserve"> </w:t>
            </w:r>
            <w:r w:rsidRPr="000E37DA">
              <w:t>(2013)</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5</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Hubner &amp; Scharer (2015)</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6</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Scharer &amp; Hubner (2016)</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6</w:t>
            </w:r>
          </w:p>
        </w:tc>
      </w:tr>
      <w:tr w:rsidR="001E64C9" w:rsidRPr="000E37DA" w:rsidTr="001E64C9">
        <w:trPr>
          <w:trHeight w:val="227"/>
          <w:jc w:val="center"/>
        </w:trPr>
        <w:tc>
          <w:tcPr>
            <w:tcW w:w="2396" w:type="dxa"/>
            <w:shd w:val="clear" w:color="auto" w:fill="auto"/>
            <w:vAlign w:val="center"/>
          </w:tcPr>
          <w:p w:rsidR="001E64C9" w:rsidRPr="000E37DA" w:rsidRDefault="001E64C9" w:rsidP="001E64C9">
            <w:pPr>
              <w:autoSpaceDE w:val="0"/>
              <w:autoSpaceDN w:val="0"/>
              <w:adjustRightInd w:val="0"/>
              <w:ind w:firstLineChars="0" w:firstLine="0"/>
              <w:jc w:val="center"/>
            </w:pPr>
            <w:r w:rsidRPr="000E37DA">
              <w:t>Kolimechkov (2021)</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7"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N</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518" w:type="dxa"/>
            <w:vAlign w:val="center"/>
          </w:tcPr>
          <w:p w:rsidR="001E64C9" w:rsidRPr="000E37DA" w:rsidRDefault="001E64C9" w:rsidP="001E64C9">
            <w:pPr>
              <w:autoSpaceDE w:val="0"/>
              <w:autoSpaceDN w:val="0"/>
              <w:adjustRightInd w:val="0"/>
              <w:ind w:firstLineChars="0" w:firstLine="0"/>
              <w:jc w:val="center"/>
            </w:pPr>
            <w:r w:rsidRPr="000E37DA">
              <w:t>Y</w:t>
            </w:r>
          </w:p>
        </w:tc>
        <w:tc>
          <w:tcPr>
            <w:tcW w:w="497" w:type="dxa"/>
            <w:vAlign w:val="center"/>
          </w:tcPr>
          <w:p w:rsidR="001E64C9" w:rsidRPr="000E37DA" w:rsidRDefault="001E64C9" w:rsidP="001E64C9">
            <w:pPr>
              <w:autoSpaceDE w:val="0"/>
              <w:autoSpaceDN w:val="0"/>
              <w:adjustRightInd w:val="0"/>
              <w:ind w:firstLineChars="0" w:firstLine="0"/>
              <w:jc w:val="center"/>
              <w:rPr>
                <w:b/>
              </w:rPr>
            </w:pPr>
            <w:r w:rsidRPr="000E37DA">
              <w:rPr>
                <w:b/>
              </w:rPr>
              <w:t>5</w:t>
            </w:r>
          </w:p>
        </w:tc>
      </w:tr>
    </w:tbl>
    <w:p w:rsidR="000E37DA" w:rsidRDefault="001E64C9" w:rsidP="001E64C9">
      <w:pPr>
        <w:tabs>
          <w:tab w:val="left" w:pos="6915"/>
        </w:tabs>
        <w:ind w:firstLine="420"/>
      </w:pPr>
      <w:r w:rsidRPr="00674A63">
        <w:t>Legend:</w:t>
      </w:r>
      <w:r>
        <w:t xml:space="preserve"> </w:t>
      </w:r>
      <w:r w:rsidRPr="00674A63">
        <w:t>1—eligibility criteria; 2—random allocation; 3—concealed allocation; 4—baseline comparability; 5—blind subject; 6—blind clinician; 7—blind assessor; 8—adequate follow-up; 9—intention-to-treat analysis; 10—between-group analysis; 11 —point estimates and variability; Y—criterion is satisfied; N—criterion is not satisfied; ∑—total awarded points.</w:t>
      </w:r>
    </w:p>
    <w:p w:rsidR="001E64C9" w:rsidRPr="00C85953" w:rsidRDefault="001E64C9" w:rsidP="001E64C9">
      <w:pPr>
        <w:adjustRightInd w:val="0"/>
        <w:snapToGrid w:val="0"/>
        <w:spacing w:before="240" w:after="240" w:line="288" w:lineRule="auto"/>
        <w:ind w:firstLineChars="0" w:firstLine="0"/>
        <w:outlineLvl w:val="1"/>
        <w:rPr>
          <w:rFonts w:eastAsiaTheme="minorEastAsia"/>
          <w:i/>
        </w:rPr>
      </w:pPr>
      <w:r>
        <w:rPr>
          <w:rFonts w:eastAsiaTheme="minorEastAsia"/>
          <w:i/>
        </w:rPr>
        <w:t>3.2 Selection and Characteristics of Studies</w:t>
      </w:r>
    </w:p>
    <w:p w:rsidR="001E64C9" w:rsidRDefault="001E64C9" w:rsidP="001E64C9">
      <w:pPr>
        <w:tabs>
          <w:tab w:val="left" w:pos="6915"/>
        </w:tabs>
        <w:ind w:firstLine="420"/>
      </w:pPr>
      <w:r w:rsidRPr="00024F34">
        <w:rPr>
          <w:szCs w:val="16"/>
        </w:rPr>
        <w:t>Electronic database search and scanning the lists of references yielded 5759 studies. After removing duplicates, 5021 studies were screened. Based on the inclusion criteria, 4980 studies were excluded. After increased sesitivity and in-deeper check, another 26 studies with with nonrelevant outcomes, editorials, health concept, reliability and validity of judging studies and historical evaluation studies were additionaly excluded. In the end, a total of 15 full-text studies were included in the systematic review (Figure 1).</w:t>
      </w:r>
    </w:p>
    <w:p w:rsidR="000E37DA" w:rsidRPr="001D7980" w:rsidRDefault="001E64C9" w:rsidP="001D7980">
      <w:pPr>
        <w:pStyle w:val="a0"/>
        <w:adjustRightInd w:val="0"/>
        <w:snapToGrid w:val="0"/>
        <w:spacing w:beforeLines="0" w:before="240" w:afterLines="0" w:after="240" w:line="288" w:lineRule="auto"/>
        <w:rPr>
          <w:highlight w:val="red"/>
        </w:rPr>
      </w:pPr>
      <w:r>
        <w:t>Figure 1</w:t>
      </w:r>
      <w:r w:rsidRPr="00A45746">
        <w:t xml:space="preserve">. </w:t>
      </w:r>
      <w:r>
        <w:t>Study identificataion based on pre-defined criteria (PRISMA flow chart)</w:t>
      </w:r>
      <w:r>
        <w:rPr>
          <w:noProof/>
          <w:sz w:val="24"/>
          <w:szCs w:val="16"/>
          <w:lang w:val="en-GB" w:eastAsia="en-GB"/>
        </w:rPr>
        <w:drawing>
          <wp:inline distT="0" distB="0" distL="0" distR="0" wp14:anchorId="2D74A5CB" wp14:editId="6F092C78">
            <wp:extent cx="3702911"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215" cy="4277416"/>
                    </a:xfrm>
                    <a:prstGeom prst="rect">
                      <a:avLst/>
                    </a:prstGeom>
                    <a:noFill/>
                    <a:ln>
                      <a:noFill/>
                    </a:ln>
                  </pic:spPr>
                </pic:pic>
              </a:graphicData>
            </a:graphic>
          </wp:inline>
        </w:drawing>
      </w:r>
    </w:p>
    <w:p w:rsidR="001E64C9" w:rsidRPr="001E64C9" w:rsidRDefault="001E64C9" w:rsidP="001E64C9">
      <w:pPr>
        <w:tabs>
          <w:tab w:val="left" w:pos="6915"/>
        </w:tabs>
        <w:ind w:firstLine="420"/>
      </w:pPr>
      <w:r w:rsidRPr="00024F34">
        <w:rPr>
          <w:szCs w:val="16"/>
        </w:rPr>
        <w:t>Table 3 shows in more details of included studies that met the inclusion criterias and entered the systematic review.</w:t>
      </w:r>
    </w:p>
    <w:p w:rsidR="001E64C9" w:rsidRDefault="00E0686F" w:rsidP="001E64C9">
      <w:pPr>
        <w:pStyle w:val="a0"/>
        <w:adjustRightInd w:val="0"/>
        <w:snapToGrid w:val="0"/>
        <w:spacing w:beforeLines="0" w:before="240" w:afterLines="0" w:after="240" w:line="288" w:lineRule="auto"/>
        <w:rPr>
          <w:highlight w:val="red"/>
        </w:rPr>
      </w:pPr>
      <w:r>
        <w:lastRenderedPageBreak/>
        <w:t>Table 3</w:t>
      </w:r>
      <w:r w:rsidR="001E64C9" w:rsidRPr="00A45746">
        <w:t xml:space="preserve">. </w:t>
      </w:r>
      <w:r>
        <w:t>Review of studies</w:t>
      </w:r>
    </w:p>
    <w:tbl>
      <w:tblPr>
        <w:tblW w:w="11079" w:type="dxa"/>
        <w:jc w:val="center"/>
        <w:tblInd w:w="2608" w:type="dxa"/>
        <w:tblBorders>
          <w:top w:val="single" w:sz="4" w:space="0" w:color="auto"/>
          <w:bottom w:val="single" w:sz="4" w:space="0" w:color="auto"/>
          <w:insideH w:val="single" w:sz="4" w:space="0" w:color="auto"/>
        </w:tblBorders>
        <w:tblLayout w:type="fixed"/>
        <w:tblCellMar>
          <w:left w:w="0" w:type="dxa"/>
          <w:right w:w="0" w:type="dxa"/>
        </w:tblCellMar>
        <w:tblLook w:val="04A0" w:firstRow="1" w:lastRow="0" w:firstColumn="1" w:lastColumn="0" w:noHBand="0" w:noVBand="1"/>
      </w:tblPr>
      <w:tblGrid>
        <w:gridCol w:w="1430"/>
        <w:gridCol w:w="2600"/>
        <w:gridCol w:w="993"/>
        <w:gridCol w:w="1188"/>
        <w:gridCol w:w="1074"/>
        <w:gridCol w:w="3794"/>
      </w:tblGrid>
      <w:tr w:rsidR="00DB5FED" w:rsidRPr="003207A5" w:rsidTr="001D7980">
        <w:trPr>
          <w:jc w:val="center"/>
        </w:trPr>
        <w:tc>
          <w:tcPr>
            <w:tcW w:w="1430" w:type="dxa"/>
            <w:vMerge w:val="restart"/>
            <w:shd w:val="clear" w:color="auto" w:fill="auto"/>
            <w:vAlign w:val="center"/>
          </w:tcPr>
          <w:p w:rsidR="00753147" w:rsidRPr="003207A5" w:rsidRDefault="00753147" w:rsidP="00B1566E">
            <w:pPr>
              <w:pStyle w:val="MDPI42tablebody"/>
              <w:spacing w:line="240" w:lineRule="auto"/>
              <w:rPr>
                <w:rFonts w:ascii="Times New Roman" w:hAnsi="Times New Roman"/>
                <w:b/>
                <w:snapToGrid/>
                <w:sz w:val="21"/>
                <w:szCs w:val="21"/>
              </w:rPr>
            </w:pPr>
            <w:r w:rsidRPr="003207A5">
              <w:rPr>
                <w:rFonts w:ascii="Times New Roman" w:hAnsi="Times New Roman"/>
                <w:b/>
                <w:snapToGrid/>
                <w:sz w:val="21"/>
                <w:szCs w:val="21"/>
              </w:rPr>
              <w:t>First Author and Year of Publication</w:t>
            </w:r>
          </w:p>
        </w:tc>
        <w:tc>
          <w:tcPr>
            <w:tcW w:w="2600" w:type="dxa"/>
            <w:vMerge w:val="restart"/>
            <w:shd w:val="clear" w:color="auto" w:fill="auto"/>
            <w:vAlign w:val="center"/>
          </w:tcPr>
          <w:p w:rsidR="00753147" w:rsidRPr="003207A5" w:rsidRDefault="00753147" w:rsidP="00B1566E">
            <w:pPr>
              <w:pStyle w:val="MDPI42tablebody"/>
              <w:spacing w:line="240" w:lineRule="auto"/>
              <w:rPr>
                <w:rFonts w:ascii="Times New Roman" w:hAnsi="Times New Roman"/>
                <w:b/>
                <w:snapToGrid/>
                <w:sz w:val="21"/>
                <w:szCs w:val="21"/>
              </w:rPr>
            </w:pPr>
            <w:r w:rsidRPr="003207A5">
              <w:rPr>
                <w:rFonts w:ascii="Times New Roman" w:hAnsi="Times New Roman"/>
                <w:b/>
                <w:snapToGrid/>
                <w:sz w:val="21"/>
                <w:szCs w:val="21"/>
              </w:rPr>
              <w:t>Study Aim</w:t>
            </w:r>
          </w:p>
        </w:tc>
        <w:tc>
          <w:tcPr>
            <w:tcW w:w="2181" w:type="dxa"/>
            <w:gridSpan w:val="2"/>
            <w:vAlign w:val="center"/>
          </w:tcPr>
          <w:p w:rsidR="00753147" w:rsidRPr="003207A5" w:rsidRDefault="00753147" w:rsidP="00DB5FED">
            <w:pPr>
              <w:pStyle w:val="MDPI42tablebody"/>
              <w:spacing w:line="240" w:lineRule="auto"/>
              <w:rPr>
                <w:rFonts w:ascii="Times New Roman" w:hAnsi="Times New Roman"/>
                <w:b/>
                <w:snapToGrid/>
                <w:sz w:val="21"/>
                <w:szCs w:val="21"/>
              </w:rPr>
            </w:pPr>
            <w:r w:rsidRPr="003207A5">
              <w:rPr>
                <w:rFonts w:ascii="Times New Roman" w:hAnsi="Times New Roman"/>
                <w:b/>
                <w:snapToGrid/>
                <w:sz w:val="21"/>
                <w:szCs w:val="21"/>
              </w:rPr>
              <w:t>Sample of participants</w:t>
            </w:r>
          </w:p>
        </w:tc>
        <w:tc>
          <w:tcPr>
            <w:tcW w:w="1074" w:type="dxa"/>
            <w:vMerge w:val="restart"/>
            <w:vAlign w:val="center"/>
          </w:tcPr>
          <w:p w:rsidR="00753147" w:rsidRPr="003207A5" w:rsidRDefault="00753147" w:rsidP="00B1566E">
            <w:pPr>
              <w:pStyle w:val="MDPI42tablebody"/>
              <w:spacing w:line="240" w:lineRule="auto"/>
              <w:rPr>
                <w:rFonts w:ascii="Times New Roman" w:hAnsi="Times New Roman"/>
                <w:b/>
                <w:snapToGrid/>
                <w:sz w:val="21"/>
                <w:szCs w:val="21"/>
              </w:rPr>
            </w:pPr>
            <w:r w:rsidRPr="003207A5">
              <w:rPr>
                <w:rFonts w:ascii="Times New Roman" w:hAnsi="Times New Roman"/>
                <w:b/>
                <w:snapToGrid/>
                <w:sz w:val="21"/>
                <w:szCs w:val="21"/>
              </w:rPr>
              <w:t>Element Evaluation</w:t>
            </w:r>
          </w:p>
        </w:tc>
        <w:tc>
          <w:tcPr>
            <w:tcW w:w="3794" w:type="dxa"/>
            <w:vMerge w:val="restart"/>
            <w:shd w:val="clear" w:color="auto" w:fill="auto"/>
            <w:vAlign w:val="center"/>
          </w:tcPr>
          <w:p w:rsidR="00753147" w:rsidRPr="003207A5" w:rsidRDefault="00753147" w:rsidP="00B1566E">
            <w:pPr>
              <w:pStyle w:val="MDPI42tablebody"/>
              <w:spacing w:line="240" w:lineRule="auto"/>
              <w:rPr>
                <w:rFonts w:ascii="Times New Roman" w:hAnsi="Times New Roman"/>
                <w:b/>
                <w:snapToGrid/>
                <w:sz w:val="21"/>
                <w:szCs w:val="21"/>
              </w:rPr>
            </w:pPr>
            <w:r w:rsidRPr="003207A5">
              <w:rPr>
                <w:rFonts w:ascii="Times New Roman" w:hAnsi="Times New Roman"/>
                <w:b/>
                <w:snapToGrid/>
                <w:sz w:val="21"/>
                <w:szCs w:val="21"/>
              </w:rPr>
              <w:t>Result</w:t>
            </w:r>
          </w:p>
        </w:tc>
      </w:tr>
      <w:tr w:rsidR="00DB5FED" w:rsidRPr="003207A5" w:rsidTr="001D7980">
        <w:trPr>
          <w:jc w:val="center"/>
        </w:trPr>
        <w:tc>
          <w:tcPr>
            <w:tcW w:w="1430" w:type="dxa"/>
            <w:vMerge/>
            <w:shd w:val="clear" w:color="auto" w:fill="auto"/>
            <w:vAlign w:val="center"/>
          </w:tcPr>
          <w:p w:rsidR="00753147" w:rsidRPr="003207A5" w:rsidRDefault="00753147" w:rsidP="00B1566E">
            <w:pPr>
              <w:pStyle w:val="MDPI42tablebody"/>
              <w:spacing w:line="240" w:lineRule="auto"/>
              <w:ind w:firstLine="422"/>
              <w:rPr>
                <w:rFonts w:ascii="Times New Roman" w:hAnsi="Times New Roman"/>
                <w:b/>
                <w:snapToGrid/>
                <w:sz w:val="21"/>
                <w:szCs w:val="21"/>
              </w:rPr>
            </w:pPr>
          </w:p>
        </w:tc>
        <w:tc>
          <w:tcPr>
            <w:tcW w:w="2600" w:type="dxa"/>
            <w:vMerge/>
            <w:shd w:val="clear" w:color="auto" w:fill="auto"/>
            <w:vAlign w:val="center"/>
          </w:tcPr>
          <w:p w:rsidR="00753147" w:rsidRPr="003207A5" w:rsidRDefault="00753147" w:rsidP="00B1566E">
            <w:pPr>
              <w:pStyle w:val="MDPI42tablebody"/>
              <w:spacing w:line="240" w:lineRule="auto"/>
              <w:ind w:firstLine="422"/>
              <w:rPr>
                <w:rFonts w:ascii="Times New Roman" w:hAnsi="Times New Roman"/>
                <w:b/>
                <w:snapToGrid/>
                <w:sz w:val="21"/>
                <w:szCs w:val="21"/>
              </w:rPr>
            </w:pPr>
          </w:p>
        </w:tc>
        <w:tc>
          <w:tcPr>
            <w:tcW w:w="993" w:type="dxa"/>
            <w:vAlign w:val="center"/>
          </w:tcPr>
          <w:p w:rsidR="00753147" w:rsidRPr="003207A5" w:rsidRDefault="00753147" w:rsidP="00DB5FED">
            <w:pPr>
              <w:pStyle w:val="MDPI42tablebody"/>
              <w:spacing w:line="240" w:lineRule="auto"/>
              <w:rPr>
                <w:rFonts w:ascii="Times New Roman" w:hAnsi="Times New Roman"/>
                <w:b/>
                <w:sz w:val="21"/>
                <w:szCs w:val="21"/>
              </w:rPr>
            </w:pPr>
            <w:r w:rsidRPr="003207A5">
              <w:rPr>
                <w:rFonts w:ascii="Times New Roman" w:hAnsi="Times New Roman"/>
                <w:b/>
                <w:sz w:val="21"/>
                <w:szCs w:val="21"/>
              </w:rPr>
              <w:t>Number</w:t>
            </w:r>
          </w:p>
        </w:tc>
        <w:tc>
          <w:tcPr>
            <w:tcW w:w="1188" w:type="dxa"/>
            <w:vAlign w:val="center"/>
          </w:tcPr>
          <w:p w:rsidR="00753147" w:rsidRPr="003207A5" w:rsidRDefault="00753147" w:rsidP="00DB5FED">
            <w:pPr>
              <w:pStyle w:val="MDPI42tablebody"/>
              <w:spacing w:line="240" w:lineRule="auto"/>
              <w:rPr>
                <w:rFonts w:ascii="Times New Roman" w:hAnsi="Times New Roman"/>
                <w:b/>
                <w:sz w:val="21"/>
                <w:szCs w:val="21"/>
              </w:rPr>
            </w:pPr>
            <w:r w:rsidRPr="003207A5">
              <w:rPr>
                <w:rFonts w:ascii="Times New Roman" w:hAnsi="Times New Roman"/>
                <w:b/>
                <w:sz w:val="21"/>
                <w:szCs w:val="21"/>
              </w:rPr>
              <w:t>Age (years)</w:t>
            </w:r>
          </w:p>
        </w:tc>
        <w:tc>
          <w:tcPr>
            <w:tcW w:w="1074" w:type="dxa"/>
            <w:vMerge/>
            <w:vAlign w:val="center"/>
          </w:tcPr>
          <w:p w:rsidR="00753147" w:rsidRPr="003207A5" w:rsidRDefault="00753147" w:rsidP="00B1566E">
            <w:pPr>
              <w:pStyle w:val="MDPI42tablebody"/>
              <w:spacing w:line="240" w:lineRule="auto"/>
              <w:ind w:firstLine="420"/>
              <w:rPr>
                <w:rFonts w:ascii="Times New Roman" w:hAnsi="Times New Roman"/>
                <w:sz w:val="21"/>
                <w:szCs w:val="21"/>
              </w:rPr>
            </w:pPr>
          </w:p>
        </w:tc>
        <w:tc>
          <w:tcPr>
            <w:tcW w:w="3794" w:type="dxa"/>
            <w:vMerge/>
            <w:shd w:val="clear" w:color="auto" w:fill="auto"/>
            <w:vAlign w:val="center"/>
          </w:tcPr>
          <w:p w:rsidR="00753147" w:rsidRPr="003207A5" w:rsidRDefault="00753147" w:rsidP="00B1566E">
            <w:pPr>
              <w:pStyle w:val="MDPI42tablebody"/>
              <w:spacing w:line="240" w:lineRule="auto"/>
              <w:ind w:firstLine="420"/>
              <w:rPr>
                <w:rFonts w:ascii="Times New Roman" w:hAnsi="Times New Roman"/>
                <w:sz w:val="21"/>
                <w:szCs w:val="21"/>
              </w:rPr>
            </w:pPr>
          </w:p>
        </w:tc>
      </w:tr>
      <w:tr w:rsidR="00B1566E"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Brewin et al. (2000)</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To investgate the contributions of apparatus and gymnasts El and technique to minimize peak force at the shoulders during BGS</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N-1</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BGS</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Gymnast and apparatus contribute to minimising peak shoulder force. The contribution of gymanst’s technique is considerably greater</w:t>
            </w:r>
          </w:p>
        </w:tc>
      </w:tr>
      <w:tr w:rsidR="00B1566E"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Sprigings et al. (2000)</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Objective information on the role of flexor/extensor of the hip and shoulder joints during BGS and to examine the timing strategy to reduce ReSw in a held handstand by doing BGS</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N-2</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BGS</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The shoulder flexors/extensors are main source of energy generation. Gymnast performed from initial 16° to 6-7.5° of ReSw</w:t>
            </w:r>
          </w:p>
        </w:tc>
      </w:tr>
      <w:tr w:rsidR="00B1566E"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Yeadon &amp; Brewin (2003)</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Can be ReSw be reduced to 0° using detailed simulation model and what are practical limits?</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N-1</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w:t>
            </w:r>
          </w:p>
        </w:tc>
        <w:tc>
          <w:tcPr>
            <w:tcW w:w="1074" w:type="dxa"/>
            <w:vAlign w:val="center"/>
          </w:tcPr>
          <w:p w:rsidR="00753147" w:rsidRPr="003207A5" w:rsidRDefault="00753147" w:rsidP="00DB5FED">
            <w:pPr>
              <w:autoSpaceDE w:val="0"/>
              <w:autoSpaceDN w:val="0"/>
              <w:adjustRightInd w:val="0"/>
              <w:ind w:firstLineChars="0" w:firstLine="0"/>
              <w:jc w:val="center"/>
            </w:pPr>
            <w:r w:rsidRPr="003207A5">
              <w:t>BGS</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Gymnast performed from initial 2.1° to 0.8° of ReSw. The optimal body configuration must be timed within 15miliseconds</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Bernasconi et al. (2004)</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To compare MA and coordination during IC on the R and H and to determine whether the H usage induced functional adaptations of shoulder muscles</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N-6</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23±3</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IC (EMG)</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Normalized RMS</w:t>
            </w:r>
          </w:p>
          <w:p w:rsidR="00753147" w:rsidRPr="003207A5" w:rsidRDefault="00753147" w:rsidP="00B1566E">
            <w:pPr>
              <w:autoSpaceDE w:val="0"/>
              <w:autoSpaceDN w:val="0"/>
              <w:adjustRightInd w:val="0"/>
              <w:ind w:firstLineChars="0" w:firstLine="0"/>
              <w:jc w:val="center"/>
            </w:pPr>
            <w:r w:rsidRPr="003207A5">
              <w:t>R</w:t>
            </w:r>
          </w:p>
          <w:p w:rsidR="00753147" w:rsidRPr="003207A5" w:rsidRDefault="00753147" w:rsidP="00B1566E">
            <w:pPr>
              <w:autoSpaceDE w:val="0"/>
              <w:autoSpaceDN w:val="0"/>
              <w:adjustRightInd w:val="0"/>
              <w:ind w:firstLineChars="0" w:firstLine="0"/>
              <w:jc w:val="center"/>
            </w:pPr>
            <w:r w:rsidRPr="003207A5">
              <w:t>10.024±1.488*</w:t>
            </w:r>
          </w:p>
          <w:p w:rsidR="00753147" w:rsidRPr="003207A5" w:rsidRDefault="00753147" w:rsidP="00B1566E">
            <w:pPr>
              <w:autoSpaceDE w:val="0"/>
              <w:autoSpaceDN w:val="0"/>
              <w:adjustRightInd w:val="0"/>
              <w:ind w:firstLineChars="0" w:firstLine="0"/>
              <w:jc w:val="center"/>
            </w:pPr>
            <w:r w:rsidRPr="003207A5">
              <w:t>H</w:t>
            </w:r>
          </w:p>
          <w:p w:rsidR="00753147" w:rsidRPr="003207A5" w:rsidRDefault="00753147" w:rsidP="00B1566E">
            <w:pPr>
              <w:autoSpaceDE w:val="0"/>
              <w:autoSpaceDN w:val="0"/>
              <w:adjustRightInd w:val="0"/>
              <w:ind w:firstLineChars="0" w:firstLine="0"/>
              <w:jc w:val="center"/>
            </w:pPr>
            <w:r w:rsidRPr="003207A5">
              <w:t>7.976±0.896*</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Bernasconi et al. (2006)</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To compare the activity of</w:t>
            </w:r>
            <w:r w:rsidR="00B1566E" w:rsidRPr="003207A5">
              <w:t xml:space="preserve"> </w:t>
            </w:r>
            <w:r w:rsidRPr="003207A5">
              <w:t>11 shoulder muscles during AZ when gymnasts used</w:t>
            </w:r>
          </w:p>
          <w:p w:rsidR="00753147" w:rsidRPr="003207A5" w:rsidRDefault="00753147" w:rsidP="003207A5">
            <w:pPr>
              <w:autoSpaceDE w:val="0"/>
              <w:autoSpaceDN w:val="0"/>
              <w:adjustRightInd w:val="0"/>
              <w:ind w:firstLine="420"/>
              <w:jc w:val="center"/>
            </w:pPr>
            <w:r w:rsidRPr="003207A5">
              <w:t>the B and the H</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N-7</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21-26</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AZ (EMG)</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RMS (B) &gt; RMS (H)</w:t>
            </w:r>
          </w:p>
          <w:p w:rsidR="00753147" w:rsidRPr="003207A5" w:rsidRDefault="00753147" w:rsidP="00B1566E">
            <w:pPr>
              <w:autoSpaceDE w:val="0"/>
              <w:autoSpaceDN w:val="0"/>
              <w:adjustRightInd w:val="0"/>
              <w:ind w:firstLineChars="0" w:firstLine="0"/>
              <w:jc w:val="center"/>
            </w:pPr>
            <w:r w:rsidRPr="003207A5">
              <w:t>(p&lt;0.05)</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Dunlavy et al. (2007)</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To determine if FP placed on supports to simulate a IC position could demonstrate the fidelity necessary to differentiate between athletes who could perform a IC from those who could not</w:t>
            </w:r>
          </w:p>
        </w:tc>
        <w:tc>
          <w:tcPr>
            <w:tcW w:w="993" w:type="dxa"/>
            <w:vAlign w:val="center"/>
          </w:tcPr>
          <w:p w:rsidR="00B1566E" w:rsidRPr="003207A5" w:rsidRDefault="00753147" w:rsidP="00DB5FED">
            <w:pPr>
              <w:autoSpaceDE w:val="0"/>
              <w:autoSpaceDN w:val="0"/>
              <w:adjustRightInd w:val="0"/>
              <w:ind w:firstLineChars="0" w:firstLine="0"/>
              <w:jc w:val="center"/>
            </w:pPr>
            <w:r w:rsidRPr="003207A5">
              <w:t>N-10</w:t>
            </w:r>
          </w:p>
          <w:p w:rsidR="00753147" w:rsidRPr="003207A5" w:rsidRDefault="00753147" w:rsidP="00DB5FED">
            <w:pPr>
              <w:autoSpaceDE w:val="0"/>
              <w:autoSpaceDN w:val="0"/>
              <w:adjustRightInd w:val="0"/>
              <w:ind w:firstLineChars="0" w:firstLine="0"/>
              <w:jc w:val="center"/>
            </w:pPr>
            <w:r w:rsidRPr="003207A5">
              <w:t>P-5</w:t>
            </w:r>
          </w:p>
          <w:p w:rsidR="00753147" w:rsidRPr="003207A5" w:rsidRDefault="00753147" w:rsidP="00DB5FED">
            <w:pPr>
              <w:autoSpaceDE w:val="0"/>
              <w:autoSpaceDN w:val="0"/>
              <w:adjustRightInd w:val="0"/>
              <w:ind w:firstLineChars="0" w:firstLine="0"/>
              <w:jc w:val="center"/>
            </w:pPr>
            <w:r w:rsidRPr="003207A5">
              <w:t>NP-5</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P-23.8±1.3</w:t>
            </w:r>
          </w:p>
          <w:p w:rsidR="00753147" w:rsidRPr="003207A5" w:rsidRDefault="00753147" w:rsidP="00DB5FED">
            <w:pPr>
              <w:autoSpaceDE w:val="0"/>
              <w:autoSpaceDN w:val="0"/>
              <w:adjustRightInd w:val="0"/>
              <w:ind w:firstLineChars="0" w:firstLine="0"/>
              <w:jc w:val="center"/>
            </w:pPr>
            <w:r w:rsidRPr="003207A5">
              <w:t>NP-14±1</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IC (FP)</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Sum of mean arm forces</w:t>
            </w:r>
            <w:r w:rsidR="00B1566E" w:rsidRPr="003207A5">
              <w:t xml:space="preserve"> </w:t>
            </w:r>
            <w:r w:rsidRPr="003207A5">
              <w:t>P-654.7±35.4 (p=.007)</w:t>
            </w:r>
          </w:p>
          <w:p w:rsidR="00753147" w:rsidRPr="003207A5" w:rsidRDefault="00753147" w:rsidP="00B1566E">
            <w:pPr>
              <w:autoSpaceDE w:val="0"/>
              <w:autoSpaceDN w:val="0"/>
              <w:adjustRightInd w:val="0"/>
              <w:ind w:firstLineChars="0" w:firstLine="0"/>
              <w:jc w:val="center"/>
            </w:pPr>
            <w:r w:rsidRPr="003207A5">
              <w:t>NP-306±201.4</w:t>
            </w:r>
          </w:p>
          <w:p w:rsidR="00753147" w:rsidRPr="003207A5" w:rsidRDefault="00753147" w:rsidP="00B1566E">
            <w:pPr>
              <w:autoSpaceDE w:val="0"/>
              <w:autoSpaceDN w:val="0"/>
              <w:adjustRightInd w:val="0"/>
              <w:ind w:firstLineChars="0" w:firstLine="0"/>
              <w:jc w:val="center"/>
            </w:pPr>
            <w:r w:rsidRPr="003207A5">
              <w:t>Sum of peak arm forces</w:t>
            </w:r>
          </w:p>
          <w:p w:rsidR="00753147" w:rsidRPr="003207A5" w:rsidRDefault="00753147" w:rsidP="00B1566E">
            <w:pPr>
              <w:autoSpaceDE w:val="0"/>
              <w:autoSpaceDN w:val="0"/>
              <w:adjustRightInd w:val="0"/>
              <w:ind w:firstLineChars="0" w:firstLine="0"/>
              <w:jc w:val="center"/>
            </w:pPr>
            <w:r w:rsidRPr="003207A5">
              <w:t>P-676±41.5 (p=.005)</w:t>
            </w:r>
          </w:p>
          <w:p w:rsidR="00753147" w:rsidRPr="003207A5" w:rsidRDefault="00753147" w:rsidP="00B1566E">
            <w:pPr>
              <w:autoSpaceDE w:val="0"/>
              <w:autoSpaceDN w:val="0"/>
              <w:adjustRightInd w:val="0"/>
              <w:ind w:firstLineChars="0" w:firstLine="0"/>
              <w:jc w:val="center"/>
            </w:pPr>
            <w:r w:rsidRPr="003207A5">
              <w:t>NP-330.3±213.5</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Bernasconi et al. (2009)</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To determine the activity of 8 shoulder muscles during a S, and to compare the muscle activity and coordination between the S and 3 training movements</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N-6</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22±3</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S (EMG)</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Compared to S (R), pectorialis major participates less in shoulder flexion during the counterweight exercise, while deltoideus is more activated during dumbbells exercise (p&lt;0.05). Barbell exercise reduces the participation of serratus anterior in stabilizing the scapula (p&lt;0.05)</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lastRenderedPageBreak/>
              <w:t>Campos et al. (2009)</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rPr>
                <w:rStyle w:val="A39"/>
                <w:sz w:val="21"/>
                <w:szCs w:val="21"/>
              </w:rPr>
              <w:t>Verifying the contribution of the S as a structural framework and to evaluate it within the R routines</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N-212</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w:t>
            </w:r>
          </w:p>
        </w:tc>
        <w:tc>
          <w:tcPr>
            <w:tcW w:w="1074" w:type="dxa"/>
            <w:vAlign w:val="center"/>
          </w:tcPr>
          <w:p w:rsidR="00753147" w:rsidRPr="003207A5" w:rsidRDefault="00753147" w:rsidP="00DB5FED">
            <w:pPr>
              <w:autoSpaceDE w:val="0"/>
              <w:autoSpaceDN w:val="0"/>
              <w:adjustRightInd w:val="0"/>
              <w:ind w:firstLineChars="0" w:firstLine="0"/>
              <w:jc w:val="center"/>
            </w:pPr>
            <w:r w:rsidRPr="003207A5">
              <w:t>S</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41% of total competitors presented S 56% included at least one S (119 gymnasts)</w:t>
            </w:r>
            <w:r w:rsidR="00B1566E" w:rsidRPr="003207A5">
              <w:t xml:space="preserve"> </w:t>
            </w:r>
            <w:r w:rsidRPr="003207A5">
              <w:t>119 gymnasts (73% of them) made two variants of S</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Campos et al. (2011)</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To characterize the S in order to identify the MA of the different muscles to create strategies of progression to learn this skill</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N-1</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S (EMG)</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Stabilizing shoulder joint, infraspinatus (69.3%), serratus anterior (53.3%) and trapezius inferior (45.1%) should be activated, during S</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rPr>
                <w:color w:val="222222"/>
                <w:shd w:val="clear" w:color="auto" w:fill="FFFFFF"/>
              </w:rPr>
              <w:t>Ningxiang</w:t>
            </w:r>
            <w:r w:rsidRPr="003207A5">
              <w:t xml:space="preserve"> et al. (2012)</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Kin characteristics and apparatus features after D (dbfs360°)</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N-1</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27</w:t>
            </w:r>
          </w:p>
        </w:tc>
        <w:tc>
          <w:tcPr>
            <w:tcW w:w="1074" w:type="dxa"/>
            <w:vAlign w:val="center"/>
          </w:tcPr>
          <w:p w:rsidR="00DB5FED" w:rsidRPr="003207A5" w:rsidRDefault="00753147" w:rsidP="00B1566E">
            <w:pPr>
              <w:autoSpaceDE w:val="0"/>
              <w:autoSpaceDN w:val="0"/>
              <w:adjustRightInd w:val="0"/>
              <w:ind w:firstLineChars="0" w:firstLine="0"/>
              <w:jc w:val="center"/>
            </w:pPr>
            <w:r w:rsidRPr="003207A5">
              <w:t xml:space="preserve">D </w:t>
            </w:r>
          </w:p>
          <w:p w:rsidR="00753147" w:rsidRPr="003207A5" w:rsidRDefault="00753147" w:rsidP="00B1566E">
            <w:pPr>
              <w:autoSpaceDE w:val="0"/>
              <w:autoSpaceDN w:val="0"/>
              <w:adjustRightInd w:val="0"/>
              <w:ind w:firstLineChars="0" w:firstLine="0"/>
              <w:jc w:val="center"/>
            </w:pPr>
            <w:r w:rsidRPr="003207A5">
              <w:t>(dbfs360°)</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D realisation</w:t>
            </w:r>
          </w:p>
          <w:p w:rsidR="00753147" w:rsidRPr="003207A5" w:rsidRDefault="00753147" w:rsidP="00B1566E">
            <w:pPr>
              <w:autoSpaceDE w:val="0"/>
              <w:autoSpaceDN w:val="0"/>
              <w:adjustRightInd w:val="0"/>
              <w:ind w:firstLineChars="0" w:firstLine="0"/>
              <w:jc w:val="center"/>
            </w:pPr>
            <w:r w:rsidRPr="003207A5">
              <w:t>dbfs-1.6s</w:t>
            </w:r>
          </w:p>
          <w:p w:rsidR="00753147" w:rsidRPr="003207A5" w:rsidRDefault="00753147" w:rsidP="00B1566E">
            <w:pPr>
              <w:autoSpaceDE w:val="0"/>
              <w:autoSpaceDN w:val="0"/>
              <w:adjustRightInd w:val="0"/>
              <w:ind w:firstLineChars="0" w:firstLine="0"/>
              <w:jc w:val="center"/>
            </w:pPr>
            <w:r w:rsidRPr="003207A5">
              <w:t>dbfs360°-1.6s</w:t>
            </w:r>
          </w:p>
          <w:p w:rsidR="00753147" w:rsidRPr="003207A5" w:rsidRDefault="00753147" w:rsidP="00B1566E">
            <w:pPr>
              <w:autoSpaceDE w:val="0"/>
              <w:autoSpaceDN w:val="0"/>
              <w:adjustRightInd w:val="0"/>
              <w:ind w:firstLineChars="0" w:firstLine="0"/>
              <w:jc w:val="center"/>
            </w:pPr>
            <w:r w:rsidRPr="003207A5">
              <w:t>Vertical distance-3.33m</w:t>
            </w:r>
          </w:p>
          <w:p w:rsidR="00753147" w:rsidRPr="003207A5" w:rsidRDefault="00753147" w:rsidP="00B1566E">
            <w:pPr>
              <w:autoSpaceDE w:val="0"/>
              <w:autoSpaceDN w:val="0"/>
              <w:adjustRightInd w:val="0"/>
              <w:ind w:firstLineChars="0" w:firstLine="0"/>
              <w:jc w:val="center"/>
            </w:pPr>
            <w:r w:rsidRPr="003207A5">
              <w:t>0⁓90°</w:t>
            </w:r>
          </w:p>
          <w:p w:rsidR="00753147" w:rsidRPr="003207A5" w:rsidRDefault="00753147" w:rsidP="00B1566E">
            <w:pPr>
              <w:autoSpaceDE w:val="0"/>
              <w:autoSpaceDN w:val="0"/>
              <w:adjustRightInd w:val="0"/>
              <w:ind w:firstLineChars="0" w:firstLine="0"/>
              <w:jc w:val="center"/>
            </w:pPr>
            <w:r w:rsidRPr="003207A5">
              <w:t>0.2s (7.58rad/s)</w:t>
            </w:r>
          </w:p>
          <w:p w:rsidR="00753147" w:rsidRPr="003207A5" w:rsidRDefault="00753147" w:rsidP="00B1566E">
            <w:pPr>
              <w:autoSpaceDE w:val="0"/>
              <w:autoSpaceDN w:val="0"/>
              <w:adjustRightInd w:val="0"/>
              <w:ind w:firstLineChars="0" w:firstLine="0"/>
              <w:jc w:val="center"/>
            </w:pPr>
            <w:r w:rsidRPr="003207A5">
              <w:t>0⁓180°</w:t>
            </w:r>
          </w:p>
          <w:p w:rsidR="00753147" w:rsidRPr="003207A5" w:rsidRDefault="00753147" w:rsidP="00B1566E">
            <w:pPr>
              <w:autoSpaceDE w:val="0"/>
              <w:autoSpaceDN w:val="0"/>
              <w:adjustRightInd w:val="0"/>
              <w:ind w:firstLineChars="0" w:firstLine="0"/>
              <w:jc w:val="center"/>
            </w:pPr>
            <w:r w:rsidRPr="003207A5">
              <w:t>0.12s (13.08rad/s)</w:t>
            </w:r>
          </w:p>
          <w:p w:rsidR="00753147" w:rsidRPr="003207A5" w:rsidRDefault="00753147" w:rsidP="00B1566E">
            <w:pPr>
              <w:autoSpaceDE w:val="0"/>
              <w:autoSpaceDN w:val="0"/>
              <w:adjustRightInd w:val="0"/>
              <w:ind w:firstLineChars="0" w:firstLine="0"/>
              <w:jc w:val="center"/>
            </w:pPr>
            <w:r w:rsidRPr="003207A5">
              <w:t>80⁓270°</w:t>
            </w:r>
          </w:p>
          <w:p w:rsidR="00753147" w:rsidRPr="003207A5" w:rsidRDefault="00753147" w:rsidP="00B1566E">
            <w:pPr>
              <w:autoSpaceDE w:val="0"/>
              <w:autoSpaceDN w:val="0"/>
              <w:adjustRightInd w:val="0"/>
              <w:ind w:firstLineChars="0" w:firstLine="0"/>
              <w:jc w:val="center"/>
            </w:pPr>
            <w:r w:rsidRPr="003207A5">
              <w:t>0.16s (9.81rad/s)</w:t>
            </w:r>
          </w:p>
          <w:p w:rsidR="00753147" w:rsidRPr="003207A5" w:rsidRDefault="00753147" w:rsidP="00B1566E">
            <w:pPr>
              <w:autoSpaceDE w:val="0"/>
              <w:autoSpaceDN w:val="0"/>
              <w:adjustRightInd w:val="0"/>
              <w:ind w:firstLineChars="0" w:firstLine="0"/>
              <w:jc w:val="center"/>
            </w:pPr>
            <w:r w:rsidRPr="003207A5">
              <w:t>70⁓360°</w:t>
            </w:r>
          </w:p>
          <w:p w:rsidR="00753147" w:rsidRPr="003207A5" w:rsidRDefault="00753147" w:rsidP="00B1566E">
            <w:pPr>
              <w:autoSpaceDE w:val="0"/>
              <w:autoSpaceDN w:val="0"/>
              <w:adjustRightInd w:val="0"/>
              <w:ind w:firstLineChars="0" w:firstLine="0"/>
              <w:jc w:val="center"/>
            </w:pPr>
            <w:r w:rsidRPr="003207A5">
              <w:t>0.2s (7.58rad/s)</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Bango et al. (2013)</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 xml:space="preserve">To develop a tool for measuring </w:t>
            </w:r>
            <w:r w:rsidRPr="003207A5">
              <w:rPr>
                <w:iCs/>
              </w:rPr>
              <w:t xml:space="preserve">Sstr </w:t>
            </w:r>
            <w:r w:rsidRPr="003207A5">
              <w:t>production of the gymnast performing S using a single FP</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N-8</w:t>
            </w:r>
          </w:p>
          <w:p w:rsidR="00753147" w:rsidRPr="003207A5" w:rsidRDefault="00753147" w:rsidP="00DB5FED">
            <w:pPr>
              <w:autoSpaceDE w:val="0"/>
              <w:autoSpaceDN w:val="0"/>
              <w:adjustRightInd w:val="0"/>
              <w:ind w:firstLineChars="0" w:firstLine="0"/>
              <w:jc w:val="center"/>
            </w:pPr>
            <w:r w:rsidRPr="003207A5">
              <w:t>P-4</w:t>
            </w:r>
          </w:p>
          <w:p w:rsidR="00753147" w:rsidRPr="003207A5" w:rsidRDefault="00753147" w:rsidP="00DB5FED">
            <w:pPr>
              <w:autoSpaceDE w:val="0"/>
              <w:autoSpaceDN w:val="0"/>
              <w:adjustRightInd w:val="0"/>
              <w:ind w:firstLineChars="0" w:firstLine="0"/>
              <w:jc w:val="center"/>
            </w:pPr>
            <w:r w:rsidRPr="003207A5">
              <w:t>NP-4</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P-24±3.6</w:t>
            </w:r>
          </w:p>
          <w:p w:rsidR="00753147" w:rsidRPr="003207A5" w:rsidRDefault="00753147" w:rsidP="00DB5FED">
            <w:pPr>
              <w:autoSpaceDE w:val="0"/>
              <w:autoSpaceDN w:val="0"/>
              <w:adjustRightInd w:val="0"/>
              <w:ind w:firstLineChars="0" w:firstLine="0"/>
              <w:jc w:val="center"/>
            </w:pPr>
            <w:r w:rsidRPr="003207A5">
              <w:t>NP-17±1.2</w:t>
            </w:r>
          </w:p>
        </w:tc>
        <w:tc>
          <w:tcPr>
            <w:tcW w:w="1074" w:type="dxa"/>
            <w:vAlign w:val="center"/>
          </w:tcPr>
          <w:p w:rsidR="00DB5FED" w:rsidRPr="003207A5" w:rsidRDefault="00753147" w:rsidP="00B1566E">
            <w:pPr>
              <w:autoSpaceDE w:val="0"/>
              <w:autoSpaceDN w:val="0"/>
              <w:adjustRightInd w:val="0"/>
              <w:ind w:firstLineChars="0" w:firstLine="0"/>
              <w:jc w:val="center"/>
            </w:pPr>
            <w:r w:rsidRPr="003207A5">
              <w:t xml:space="preserve">S </w:t>
            </w:r>
          </w:p>
          <w:p w:rsidR="00753147" w:rsidRPr="003207A5" w:rsidRDefault="00753147" w:rsidP="00B1566E">
            <w:pPr>
              <w:autoSpaceDE w:val="0"/>
              <w:autoSpaceDN w:val="0"/>
              <w:adjustRightInd w:val="0"/>
              <w:ind w:firstLineChars="0" w:firstLine="0"/>
              <w:jc w:val="center"/>
            </w:pPr>
            <w:r w:rsidRPr="003207A5">
              <w:t>(FP)</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P*, NP*</w:t>
            </w:r>
          </w:p>
          <w:p w:rsidR="00753147" w:rsidRPr="003207A5" w:rsidRDefault="00753147" w:rsidP="00B1566E">
            <w:pPr>
              <w:autoSpaceDE w:val="0"/>
              <w:autoSpaceDN w:val="0"/>
              <w:adjustRightInd w:val="0"/>
              <w:ind w:firstLineChars="0" w:firstLine="0"/>
              <w:jc w:val="center"/>
            </w:pPr>
            <w:r w:rsidRPr="003207A5">
              <w:t>ICC</w:t>
            </w:r>
          </w:p>
          <w:p w:rsidR="00753147" w:rsidRPr="003207A5" w:rsidRDefault="00753147" w:rsidP="00B1566E">
            <w:pPr>
              <w:autoSpaceDE w:val="0"/>
              <w:autoSpaceDN w:val="0"/>
              <w:adjustRightInd w:val="0"/>
              <w:ind w:firstLineChars="0" w:firstLine="0"/>
              <w:jc w:val="center"/>
            </w:pPr>
            <w:r w:rsidRPr="003207A5">
              <w:t>MxIF–ARF (N)-0.993</w:t>
            </w:r>
          </w:p>
          <w:p w:rsidR="00753147" w:rsidRPr="003207A5" w:rsidRDefault="00753147" w:rsidP="00B1566E">
            <w:pPr>
              <w:autoSpaceDE w:val="0"/>
              <w:autoSpaceDN w:val="0"/>
              <w:adjustRightInd w:val="0"/>
              <w:ind w:firstLineChars="0" w:firstLine="0"/>
              <w:jc w:val="center"/>
            </w:pPr>
            <w:r w:rsidRPr="003207A5">
              <w:t>MxIF–%RF (%)-0.998</w:t>
            </w:r>
          </w:p>
          <w:p w:rsidR="00753147" w:rsidRPr="003207A5" w:rsidRDefault="00753147" w:rsidP="00B1566E">
            <w:pPr>
              <w:autoSpaceDE w:val="0"/>
              <w:autoSpaceDN w:val="0"/>
              <w:adjustRightInd w:val="0"/>
              <w:ind w:firstLineChars="0" w:firstLine="0"/>
              <w:jc w:val="center"/>
            </w:pPr>
            <w:r w:rsidRPr="003207A5">
              <w:t>MxIF–RRF (N*kg</w:t>
            </w:r>
            <w:r w:rsidRPr="003207A5">
              <w:rPr>
                <w:vertAlign w:val="superscript"/>
              </w:rPr>
              <w:t>-1</w:t>
            </w:r>
            <w:r w:rsidRPr="003207A5">
              <w:t>)-0.988</w:t>
            </w:r>
          </w:p>
          <w:p w:rsidR="00753147" w:rsidRPr="003207A5" w:rsidRDefault="00753147" w:rsidP="00B1566E">
            <w:pPr>
              <w:autoSpaceDE w:val="0"/>
              <w:autoSpaceDN w:val="0"/>
              <w:adjustRightInd w:val="0"/>
              <w:ind w:firstLineChars="0" w:firstLine="0"/>
              <w:jc w:val="center"/>
            </w:pPr>
            <w:r w:rsidRPr="003207A5">
              <w:t>MnIF–ARF (N)-0.995</w:t>
            </w:r>
          </w:p>
          <w:p w:rsidR="00753147" w:rsidRPr="003207A5" w:rsidRDefault="00753147" w:rsidP="00B1566E">
            <w:pPr>
              <w:autoSpaceDE w:val="0"/>
              <w:autoSpaceDN w:val="0"/>
              <w:adjustRightInd w:val="0"/>
              <w:ind w:firstLineChars="0" w:firstLine="0"/>
              <w:jc w:val="center"/>
            </w:pPr>
            <w:r w:rsidRPr="003207A5">
              <w:t>MnIF–%RF (%)-0.992</w:t>
            </w:r>
          </w:p>
          <w:p w:rsidR="00753147" w:rsidRPr="003207A5" w:rsidRDefault="00753147" w:rsidP="00B1566E">
            <w:pPr>
              <w:autoSpaceDE w:val="0"/>
              <w:autoSpaceDN w:val="0"/>
              <w:adjustRightInd w:val="0"/>
              <w:ind w:firstLineChars="0" w:firstLine="0"/>
              <w:jc w:val="center"/>
            </w:pPr>
            <w:r w:rsidRPr="003207A5">
              <w:t>MnIF–RRF (N*kg</w:t>
            </w:r>
            <w:r w:rsidRPr="003207A5">
              <w:rPr>
                <w:vertAlign w:val="superscript"/>
              </w:rPr>
              <w:t>-1</w:t>
            </w:r>
            <w:r w:rsidRPr="003207A5">
              <w:t>)-0.992</w:t>
            </w:r>
          </w:p>
          <w:p w:rsidR="00753147" w:rsidRPr="003207A5" w:rsidRDefault="00753147" w:rsidP="00B1566E">
            <w:pPr>
              <w:autoSpaceDE w:val="0"/>
              <w:autoSpaceDN w:val="0"/>
              <w:adjustRightInd w:val="0"/>
              <w:ind w:firstLineChars="0" w:firstLine="0"/>
              <w:jc w:val="center"/>
            </w:pPr>
            <w:r w:rsidRPr="003207A5">
              <w:t>CV</w:t>
            </w:r>
            <w:r w:rsidRPr="003207A5">
              <w:rPr>
                <w:vertAlign w:val="subscript"/>
              </w:rPr>
              <w:t xml:space="preserve">SEM </w:t>
            </w:r>
            <w:r w:rsidRPr="003207A5">
              <w:t>(%)</w:t>
            </w:r>
          </w:p>
          <w:p w:rsidR="00753147" w:rsidRPr="003207A5" w:rsidRDefault="00753147" w:rsidP="00B1566E">
            <w:pPr>
              <w:autoSpaceDE w:val="0"/>
              <w:autoSpaceDN w:val="0"/>
              <w:adjustRightInd w:val="0"/>
              <w:ind w:firstLineChars="0" w:firstLine="0"/>
              <w:jc w:val="center"/>
            </w:pPr>
            <w:r w:rsidRPr="003207A5">
              <w:t>MxIF–ARF (N)-3.82</w:t>
            </w:r>
          </w:p>
          <w:p w:rsidR="00753147" w:rsidRPr="003207A5" w:rsidRDefault="00753147" w:rsidP="00B1566E">
            <w:pPr>
              <w:autoSpaceDE w:val="0"/>
              <w:autoSpaceDN w:val="0"/>
              <w:adjustRightInd w:val="0"/>
              <w:ind w:firstLineChars="0" w:firstLine="0"/>
              <w:jc w:val="center"/>
            </w:pPr>
            <w:r w:rsidRPr="003207A5">
              <w:t>MxIF–%RF (%)-3.14</w:t>
            </w:r>
          </w:p>
          <w:p w:rsidR="00753147" w:rsidRPr="003207A5" w:rsidRDefault="00753147" w:rsidP="00B1566E">
            <w:pPr>
              <w:autoSpaceDE w:val="0"/>
              <w:autoSpaceDN w:val="0"/>
              <w:adjustRightInd w:val="0"/>
              <w:ind w:firstLineChars="0" w:firstLine="0"/>
              <w:jc w:val="center"/>
            </w:pPr>
            <w:r w:rsidRPr="003207A5">
              <w:t>MxIF–RRF (N*kg</w:t>
            </w:r>
            <w:r w:rsidRPr="003207A5">
              <w:rPr>
                <w:vertAlign w:val="superscript"/>
              </w:rPr>
              <w:t>-1</w:t>
            </w:r>
            <w:r w:rsidRPr="003207A5">
              <w:t>)-3.14</w:t>
            </w:r>
          </w:p>
          <w:p w:rsidR="00753147" w:rsidRPr="003207A5" w:rsidRDefault="00753147" w:rsidP="00B1566E">
            <w:pPr>
              <w:autoSpaceDE w:val="0"/>
              <w:autoSpaceDN w:val="0"/>
              <w:adjustRightInd w:val="0"/>
              <w:ind w:firstLineChars="0" w:firstLine="0"/>
              <w:jc w:val="center"/>
            </w:pPr>
            <w:r w:rsidRPr="003207A5">
              <w:t>MnIF–ARF (N)-4.00</w:t>
            </w:r>
          </w:p>
          <w:p w:rsidR="00753147" w:rsidRPr="003207A5" w:rsidRDefault="00753147" w:rsidP="00B1566E">
            <w:pPr>
              <w:autoSpaceDE w:val="0"/>
              <w:autoSpaceDN w:val="0"/>
              <w:adjustRightInd w:val="0"/>
              <w:ind w:firstLineChars="0" w:firstLine="0"/>
              <w:jc w:val="center"/>
            </w:pPr>
            <w:r w:rsidRPr="003207A5">
              <w:t>MnIF–%RF (%)-3.24</w:t>
            </w:r>
          </w:p>
          <w:p w:rsidR="00753147" w:rsidRPr="003207A5" w:rsidRDefault="00753147" w:rsidP="00B1566E">
            <w:pPr>
              <w:autoSpaceDE w:val="0"/>
              <w:autoSpaceDN w:val="0"/>
              <w:adjustRightInd w:val="0"/>
              <w:ind w:firstLineChars="0" w:firstLine="0"/>
              <w:jc w:val="center"/>
            </w:pPr>
            <w:r w:rsidRPr="003207A5">
              <w:t>MnIF–RRF (N*kg</w:t>
            </w:r>
            <w:r w:rsidRPr="003207A5">
              <w:rPr>
                <w:vertAlign w:val="superscript"/>
              </w:rPr>
              <w:t>-1</w:t>
            </w:r>
            <w:r w:rsidRPr="003207A5">
              <w:t>)-3.24</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Gorosito (2013)</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rPr>
                <w:iCs/>
              </w:rPr>
            </w:pPr>
            <w:r w:rsidRPr="003207A5">
              <w:t xml:space="preserve">To analyze </w:t>
            </w:r>
            <w:r w:rsidRPr="003207A5">
              <w:rPr>
                <w:iCs/>
              </w:rPr>
              <w:t>the correlation between gymnasts Rstr and the time in</w:t>
            </w:r>
            <w:r w:rsidR="00B1566E" w:rsidRPr="003207A5">
              <w:rPr>
                <w:iCs/>
              </w:rPr>
              <w:t xml:space="preserve"> </w:t>
            </w:r>
            <w:r w:rsidRPr="003207A5">
              <w:rPr>
                <w:iCs/>
              </w:rPr>
              <w:t>seconds that gymnasts can hold the S and to identify the minimum Rstr required for the proper execution</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N-14</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18-30</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S</w:t>
            </w:r>
          </w:p>
        </w:tc>
        <w:tc>
          <w:tcPr>
            <w:tcW w:w="3794" w:type="dxa"/>
            <w:shd w:val="clear" w:color="auto" w:fill="auto"/>
            <w:vAlign w:val="center"/>
          </w:tcPr>
          <w:p w:rsidR="00B1566E" w:rsidRPr="003207A5" w:rsidRDefault="00753147" w:rsidP="00B1566E">
            <w:pPr>
              <w:autoSpaceDE w:val="0"/>
              <w:autoSpaceDN w:val="0"/>
              <w:adjustRightInd w:val="0"/>
              <w:ind w:firstLineChars="0" w:firstLine="0"/>
              <w:jc w:val="center"/>
            </w:pPr>
            <w:r w:rsidRPr="003207A5">
              <w:t xml:space="preserve">+ </w:t>
            </w:r>
            <w:r w:rsidRPr="003207A5">
              <w:rPr>
                <w:iCs/>
              </w:rPr>
              <w:t xml:space="preserve">Rstr </w:t>
            </w:r>
            <w:r w:rsidRPr="003207A5">
              <w:t>and holding the S</w:t>
            </w:r>
            <w:r w:rsidR="00B1566E" w:rsidRPr="003207A5">
              <w:t xml:space="preserve"> </w:t>
            </w:r>
            <w:r w:rsidRPr="003207A5">
              <w:t>(r = 0.952, p&lt;0.001)</w:t>
            </w:r>
            <w:r w:rsidR="00B1566E" w:rsidRPr="003207A5">
              <w:t>.</w:t>
            </w:r>
          </w:p>
          <w:p w:rsidR="00753147" w:rsidRPr="003207A5" w:rsidRDefault="00753147" w:rsidP="00B1566E">
            <w:pPr>
              <w:autoSpaceDE w:val="0"/>
              <w:autoSpaceDN w:val="0"/>
              <w:adjustRightInd w:val="0"/>
              <w:ind w:firstLineChars="0" w:firstLine="0"/>
              <w:jc w:val="center"/>
            </w:pPr>
            <w:r w:rsidRPr="003207A5">
              <w:t>Body structure (height, sitting height and wingspan) is not important factor for proper execution of S</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Hubner &amp; Scharer (2015)</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 xml:space="preserve">To investigate the correlation between strength in seven </w:t>
            </w:r>
            <w:r w:rsidRPr="003207A5">
              <w:lastRenderedPageBreak/>
              <w:t>preconditioning exercises and performance of S, IC and SS</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lastRenderedPageBreak/>
              <w:t>N-10</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21.5±2.5</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S, IC, SS</w:t>
            </w:r>
          </w:p>
        </w:tc>
        <w:tc>
          <w:tcPr>
            <w:tcW w:w="3794" w:type="dxa"/>
            <w:shd w:val="clear" w:color="auto" w:fill="auto"/>
            <w:vAlign w:val="center"/>
          </w:tcPr>
          <w:p w:rsidR="00B1566E" w:rsidRPr="003207A5" w:rsidRDefault="00753147" w:rsidP="00B1566E">
            <w:pPr>
              <w:autoSpaceDE w:val="0"/>
              <w:autoSpaceDN w:val="0"/>
              <w:adjustRightInd w:val="0"/>
              <w:ind w:firstLineChars="0" w:firstLine="0"/>
              <w:jc w:val="center"/>
            </w:pPr>
            <w:r w:rsidRPr="003207A5">
              <w:t>+ S with preconditioning S supine position (r=0.71, p=0.031) and BP (r=0.71, p=0.046)</w:t>
            </w:r>
          </w:p>
          <w:p w:rsidR="00753147" w:rsidRPr="003207A5" w:rsidRDefault="00753147" w:rsidP="00B1566E">
            <w:pPr>
              <w:autoSpaceDE w:val="0"/>
              <w:autoSpaceDN w:val="0"/>
              <w:adjustRightInd w:val="0"/>
              <w:ind w:firstLineChars="0" w:firstLine="0"/>
              <w:jc w:val="center"/>
            </w:pPr>
            <w:r w:rsidRPr="003207A5">
              <w:lastRenderedPageBreak/>
              <w:t>+ SS and  S supine position (r=0.69, p=0.039)</w:t>
            </w:r>
          </w:p>
          <w:p w:rsidR="00753147" w:rsidRPr="003207A5" w:rsidRDefault="00753147" w:rsidP="00B1566E">
            <w:pPr>
              <w:autoSpaceDE w:val="0"/>
              <w:autoSpaceDN w:val="0"/>
              <w:adjustRightInd w:val="0"/>
              <w:ind w:firstLineChars="0" w:firstLine="0"/>
              <w:jc w:val="center"/>
            </w:pPr>
            <w:r w:rsidRPr="003207A5">
              <w:t>+ IC with IC-B (r=0.66, p=0.051) and BP (r=0.67, p=0.069)</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lastRenderedPageBreak/>
              <w:t>Scharer &amp; Hubner (2016)</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To determine the MX in terms of counterweight or additional weight, at different holding times based on the MX of S, IC and SS</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N-10</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21.5±2.5</w:t>
            </w:r>
          </w:p>
        </w:tc>
        <w:tc>
          <w:tcPr>
            <w:tcW w:w="1074" w:type="dxa"/>
            <w:vAlign w:val="center"/>
          </w:tcPr>
          <w:p w:rsidR="00753147" w:rsidRPr="003207A5" w:rsidRDefault="00753147" w:rsidP="00B1566E">
            <w:pPr>
              <w:autoSpaceDE w:val="0"/>
              <w:autoSpaceDN w:val="0"/>
              <w:adjustRightInd w:val="0"/>
              <w:ind w:firstLineChars="0" w:firstLine="0"/>
              <w:jc w:val="center"/>
            </w:pPr>
            <w:r w:rsidRPr="003207A5">
              <w:t>S, IC, SS</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 in MX as holding time increases (t-test: p&lt;0.001)</w:t>
            </w:r>
          </w:p>
        </w:tc>
      </w:tr>
      <w:tr w:rsidR="00DB5FED" w:rsidRPr="003207A5" w:rsidTr="001D7980">
        <w:trPr>
          <w:jc w:val="center"/>
        </w:trPr>
        <w:tc>
          <w:tcPr>
            <w:tcW w:w="143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Kolimechkov (2021)</w:t>
            </w:r>
          </w:p>
        </w:tc>
        <w:tc>
          <w:tcPr>
            <w:tcW w:w="2600"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To conduct a Kin analysis of dbfs and dbfs 360°</w:t>
            </w:r>
          </w:p>
        </w:tc>
        <w:tc>
          <w:tcPr>
            <w:tcW w:w="993" w:type="dxa"/>
            <w:vAlign w:val="center"/>
          </w:tcPr>
          <w:p w:rsidR="00753147" w:rsidRPr="003207A5" w:rsidRDefault="00753147" w:rsidP="00DB5FED">
            <w:pPr>
              <w:autoSpaceDE w:val="0"/>
              <w:autoSpaceDN w:val="0"/>
              <w:adjustRightInd w:val="0"/>
              <w:ind w:firstLineChars="0" w:firstLine="0"/>
              <w:jc w:val="center"/>
            </w:pPr>
            <w:r w:rsidRPr="003207A5">
              <w:t>N-2</w:t>
            </w:r>
          </w:p>
        </w:tc>
        <w:tc>
          <w:tcPr>
            <w:tcW w:w="1188" w:type="dxa"/>
            <w:vAlign w:val="center"/>
          </w:tcPr>
          <w:p w:rsidR="00753147" w:rsidRPr="003207A5" w:rsidRDefault="00753147" w:rsidP="00DB5FED">
            <w:pPr>
              <w:autoSpaceDE w:val="0"/>
              <w:autoSpaceDN w:val="0"/>
              <w:adjustRightInd w:val="0"/>
              <w:ind w:firstLineChars="0" w:firstLine="0"/>
              <w:jc w:val="center"/>
            </w:pPr>
            <w:r w:rsidRPr="003207A5">
              <w:t>/</w:t>
            </w:r>
          </w:p>
        </w:tc>
        <w:tc>
          <w:tcPr>
            <w:tcW w:w="1074" w:type="dxa"/>
            <w:vAlign w:val="center"/>
          </w:tcPr>
          <w:p w:rsidR="00753147" w:rsidRPr="003207A5" w:rsidRDefault="00753147" w:rsidP="00DB5FED">
            <w:pPr>
              <w:autoSpaceDE w:val="0"/>
              <w:autoSpaceDN w:val="0"/>
              <w:adjustRightInd w:val="0"/>
              <w:ind w:firstLineChars="0" w:firstLine="0"/>
              <w:jc w:val="center"/>
            </w:pPr>
            <w:r w:rsidRPr="003207A5">
              <w:t>D (dbfs, dbfs 360°)</w:t>
            </w:r>
          </w:p>
        </w:tc>
        <w:tc>
          <w:tcPr>
            <w:tcW w:w="3794" w:type="dxa"/>
            <w:shd w:val="clear" w:color="auto" w:fill="auto"/>
            <w:vAlign w:val="center"/>
          </w:tcPr>
          <w:p w:rsidR="00753147" w:rsidRPr="003207A5" w:rsidRDefault="00753147" w:rsidP="00B1566E">
            <w:pPr>
              <w:autoSpaceDE w:val="0"/>
              <w:autoSpaceDN w:val="0"/>
              <w:adjustRightInd w:val="0"/>
              <w:ind w:firstLineChars="0" w:firstLine="0"/>
              <w:jc w:val="center"/>
            </w:pPr>
            <w:r w:rsidRPr="003207A5">
              <w:t>Ankle speed</w:t>
            </w:r>
          </w:p>
          <w:p w:rsidR="00753147" w:rsidRPr="003207A5" w:rsidRDefault="00753147" w:rsidP="00B1566E">
            <w:pPr>
              <w:autoSpaceDE w:val="0"/>
              <w:autoSpaceDN w:val="0"/>
              <w:adjustRightInd w:val="0"/>
              <w:ind w:firstLineChars="0" w:firstLine="0"/>
              <w:jc w:val="center"/>
            </w:pPr>
            <w:r w:rsidRPr="003207A5">
              <w:t>1 gymnast-11.11m/s</w:t>
            </w:r>
          </w:p>
          <w:p w:rsidR="00753147" w:rsidRPr="003207A5" w:rsidRDefault="00753147" w:rsidP="00B1566E">
            <w:pPr>
              <w:autoSpaceDE w:val="0"/>
              <w:autoSpaceDN w:val="0"/>
              <w:adjustRightInd w:val="0"/>
              <w:ind w:firstLineChars="0" w:firstLine="0"/>
              <w:jc w:val="center"/>
            </w:pPr>
            <w:r w:rsidRPr="003207A5">
              <w:t>2 gymnast-11.29m/s</w:t>
            </w:r>
          </w:p>
          <w:p w:rsidR="00753147" w:rsidRPr="003207A5" w:rsidRDefault="00753147" w:rsidP="00B1566E">
            <w:pPr>
              <w:autoSpaceDE w:val="0"/>
              <w:autoSpaceDN w:val="0"/>
              <w:adjustRightInd w:val="0"/>
              <w:ind w:firstLineChars="0" w:firstLine="0"/>
              <w:jc w:val="center"/>
            </w:pPr>
            <w:r w:rsidRPr="003207A5">
              <w:t>Angular velocity</w:t>
            </w:r>
          </w:p>
          <w:p w:rsidR="00753147" w:rsidRPr="003207A5" w:rsidRDefault="00753147" w:rsidP="00B1566E">
            <w:pPr>
              <w:autoSpaceDE w:val="0"/>
              <w:autoSpaceDN w:val="0"/>
              <w:adjustRightInd w:val="0"/>
              <w:ind w:firstLineChars="0" w:firstLine="0"/>
              <w:jc w:val="center"/>
            </w:pPr>
            <w:r w:rsidRPr="003207A5">
              <w:t>1 gymnast-10.0rad/s</w:t>
            </w:r>
          </w:p>
          <w:p w:rsidR="00753147" w:rsidRPr="003207A5" w:rsidRDefault="00753147" w:rsidP="00B1566E">
            <w:pPr>
              <w:autoSpaceDE w:val="0"/>
              <w:autoSpaceDN w:val="0"/>
              <w:adjustRightInd w:val="0"/>
              <w:ind w:firstLineChars="0" w:firstLine="0"/>
              <w:jc w:val="center"/>
            </w:pPr>
            <w:r w:rsidRPr="003207A5">
              <w:t>2 gymnast-9.05rad/s</w:t>
            </w:r>
          </w:p>
        </w:tc>
      </w:tr>
    </w:tbl>
    <w:p w:rsidR="00DB5FED" w:rsidRPr="00DB5FED" w:rsidRDefault="00DB5FED" w:rsidP="00DB5FED">
      <w:pPr>
        <w:tabs>
          <w:tab w:val="left" w:pos="6915"/>
        </w:tabs>
        <w:ind w:firstLineChars="0" w:firstLine="0"/>
        <w:rPr>
          <w:szCs w:val="24"/>
        </w:rPr>
      </w:pPr>
      <w:r w:rsidRPr="00154E00">
        <w:rPr>
          <w:szCs w:val="16"/>
        </w:rPr>
        <w:t>Legend: N-total number of participants P-performers, NP- non performers, BGS-b</w:t>
      </w:r>
      <w:r w:rsidRPr="00154E00">
        <w:rPr>
          <w:szCs w:val="20"/>
        </w:rPr>
        <w:t xml:space="preserve">ackward giant swing, EMG-electromyography, SEMG-surface electromyography, IC-iron cross, RMS-root-mean-square value, S-swallow, SS-support scale, AZ- Azariam, D-dismount, dbfs-double back flip straight, dbfs360°-double back flip straight with a 360° turn, </w:t>
      </w:r>
      <w:r w:rsidRPr="00154E00">
        <w:rPr>
          <w:szCs w:val="24"/>
        </w:rPr>
        <w:t>El-elasticity,</w:t>
      </w:r>
      <w:r w:rsidRPr="00154E00">
        <w:rPr>
          <w:szCs w:val="20"/>
        </w:rPr>
        <w:t xml:space="preserve"> </w:t>
      </w:r>
      <w:r w:rsidRPr="00154E00">
        <w:rPr>
          <w:szCs w:val="24"/>
        </w:rPr>
        <w:t>ReSw-residual swing</w:t>
      </w:r>
      <w:r w:rsidRPr="00154E00">
        <w:rPr>
          <w:szCs w:val="20"/>
        </w:rPr>
        <w:t>, Kin-kinematic, Sstr-specific strength, Rstr-relative strength, R-rings, H-herdos, B-belt, MX-maximal resistance,</w:t>
      </w:r>
      <w:r w:rsidRPr="00154E00">
        <w:rPr>
          <w:sz w:val="22"/>
          <w:szCs w:val="20"/>
        </w:rPr>
        <w:t xml:space="preserve"> </w:t>
      </w:r>
      <w:r w:rsidRPr="00154E00">
        <w:rPr>
          <w:szCs w:val="24"/>
        </w:rPr>
        <w:t xml:space="preserve">MA-muscle activity, </w:t>
      </w:r>
      <w:r w:rsidRPr="00154E00">
        <w:rPr>
          <w:szCs w:val="20"/>
        </w:rPr>
        <w:t>FP-force platform, ICC-intra-class correlation coefficient, CV</w:t>
      </w:r>
      <w:r w:rsidRPr="00154E00">
        <w:rPr>
          <w:szCs w:val="20"/>
          <w:vertAlign w:val="subscript"/>
        </w:rPr>
        <w:t>sem</w:t>
      </w:r>
      <w:r w:rsidRPr="00154E00">
        <w:rPr>
          <w:szCs w:val="20"/>
        </w:rPr>
        <w:t xml:space="preserve">-coefficient of variation of the standard error of measurement, BP-bench press, MxIF–ARF-maximal isometric force–absoulute released force, MxIF–%RF-maximal isometric force–percentage of released force, MxIF–RRF-maximal isometric force–relative releaced force, MnIF–ARF-mean isometric force–absoulute released force, MnIF–%RF-mean isometric force–percentage of released force, MnIF–RRF-mean isometric force–relative releaced force, </w:t>
      </w:r>
      <w:r w:rsidRPr="00154E00">
        <w:rPr>
          <w:szCs w:val="24"/>
        </w:rPr>
        <w:t>*</w:t>
      </w:r>
      <w:r w:rsidRPr="00154E00">
        <w:rPr>
          <w:szCs w:val="20"/>
        </w:rPr>
        <w:t>-significant difference between groups (P&gt;0.05), *↓-significant decrease, +-significant positive correlation</w:t>
      </w:r>
    </w:p>
    <w:p w:rsidR="000E37DA" w:rsidRDefault="000E37DA" w:rsidP="00DB5FED">
      <w:pPr>
        <w:tabs>
          <w:tab w:val="left" w:pos="6915"/>
        </w:tabs>
        <w:ind w:firstLineChars="0" w:firstLine="0"/>
      </w:pPr>
    </w:p>
    <w:p w:rsidR="00E0686F" w:rsidRDefault="00E0686F" w:rsidP="00E0686F">
      <w:pPr>
        <w:tabs>
          <w:tab w:val="left" w:pos="6915"/>
        </w:tabs>
        <w:ind w:firstLine="420"/>
        <w:rPr>
          <w:szCs w:val="24"/>
        </w:rPr>
      </w:pPr>
      <w:r w:rsidRPr="00154E00">
        <w:t xml:space="preserve">There were a total of 292 male participants. The youngest participants was 14 years old </w:t>
      </w:r>
      <w:r w:rsidRPr="00154E00">
        <w:fldChar w:fldCharType="begin" w:fldLock="1"/>
      </w:r>
      <w:r w:rsidRPr="00154E00">
        <w:instrText>ADDIN CSL_CITATION {"citationItems":[{"id":"ITEM-1","itemData":{"author":[{"dropping-particle":"","family":"Dunlavy","given":"Jennifer K","non-dropping-particle":"","parse-names":false,"suffix":""},{"dropping-particle":"","family":"Sands","given":"William A","non-dropping-particle":"","parse-names":false,"suffix":""},{"dropping-particle":"","family":"McNeal","given":"Jeni R","non-dropping-particle":"","parse-names":false,"suffix":""},{"dropping-particle":"","family":"Stone","given":"Michael H","non-dropping-particle":"","parse-names":false,"suffix":""},{"dropping-particle":"","family":"Smith","given":"Sarah L","non-dropping-particle":"","parse-names":false,"suffix":""},{"dropping-particle":"","family":"Jemni","given":"Monem","non-dropping-particle":"","parse-names":false,"suffix":""},{"dropping-particle":"","family":"Haff","given":"G Gregory","non-dropping-particle":"","parse-names":false,"suffix":""}],"container-title":"Journal of sports science &amp; medicine","id":"ITEM-1","issue":"1","issued":{"date-parts":[["2007"]]},"page":"93","publisher":"Dept. of Sports Medicine, Medical Faculty of Uludag University","title":"Strength performance assessment in a simulated men’s gymnastics still rings cross","type":"article-journal","volume":"6"},"uris":["http://www.mendeley.com/documents/?uuid=fddaf659-c9fd-44c4-aab6-3062ea30a544"]}],"mendeley":{"formattedCitation":"(22)","manualFormatting":"[22]","plainTextFormattedCitation":"(22)","previouslyFormattedCitation":"(22)"},"properties":{"noteIndex":0},"schema":"https://github.com/citation-style-language/schema/raw/master/csl-citation.json"}</w:instrText>
      </w:r>
      <w:r w:rsidRPr="00154E00">
        <w:fldChar w:fldCharType="separate"/>
      </w:r>
      <w:r w:rsidRPr="00154E00">
        <w:rPr>
          <w:noProof/>
        </w:rPr>
        <w:t>[22]</w:t>
      </w:r>
      <w:r w:rsidRPr="00154E00">
        <w:fldChar w:fldCharType="end"/>
      </w:r>
      <w:r w:rsidRPr="00154E00">
        <w:rPr>
          <w:szCs w:val="24"/>
        </w:rPr>
        <w:t xml:space="preserve">, </w:t>
      </w:r>
      <w:r w:rsidRPr="00154E00">
        <w:t xml:space="preserve">the oldest was 30 years old </w:t>
      </w:r>
      <w:r w:rsidRPr="00154E00">
        <w:fldChar w:fldCharType="begin" w:fldLock="1"/>
      </w:r>
      <w:r w:rsidRPr="00154E00">
        <w:instrText>ADDIN CSL_CITATION {"citationItems":[{"id":"ITEM-1","itemData":{"ISSN":"1855-7171","author":[{"dropping-particle":"","family":"Gorosito","given":"Mario A","non-dropping-particle":"","parse-names":false,"suffix":""}],"container-title":"Science of Gymnastics Journal","id":"ITEM-1","issue":"3","issued":{"date-parts":[["2013"]]},"page":"59","publisher":"University of Ljubljana, Faculty of Sport","title":"Relative strength requirement for Swallow element proper execution: A predictive test","type":"article-journal","volume":"5"},"uris":["http://www.mendeley.com/documents/?uuid=ae2cda51-7b7d-4cbf-9918-d2b0b07c7f7b"]}],"mendeley":{"formattedCitation":"(10)","manualFormatting":"[10]","plainTextFormattedCitation":"(10)","previouslyFormattedCitation":"(10)"},"properties":{"noteIndex":0},"schema":"https://github.com/citation-style-language/schema/raw/master/csl-citation.json"}</w:instrText>
      </w:r>
      <w:r w:rsidRPr="00154E00">
        <w:fldChar w:fldCharType="separate"/>
      </w:r>
      <w:r w:rsidRPr="00154E00">
        <w:rPr>
          <w:noProof/>
        </w:rPr>
        <w:t>[10]</w:t>
      </w:r>
      <w:r w:rsidRPr="00154E00">
        <w:fldChar w:fldCharType="end"/>
      </w:r>
      <w:r w:rsidRPr="00154E00">
        <w:rPr>
          <w:szCs w:val="24"/>
        </w:rPr>
        <w:t xml:space="preserve"> and there were a group of studies that did not present the sample age </w:t>
      </w:r>
      <w:r w:rsidRPr="00154E00">
        <w:rPr>
          <w:szCs w:val="24"/>
        </w:rPr>
        <w:fldChar w:fldCharType="begin" w:fldLock="1"/>
      </w:r>
      <w:r w:rsidRPr="00154E00">
        <w:rPr>
          <w:szCs w:val="24"/>
        </w:rPr>
        <w:instrText>ADDIN CSL_CITATION {"citationItems":[{"id":"ITEM-1","itemData":{"ISSN":"1855-7171","author":[{"dropping-particle":"","family":"Kolimechkov","given":"Stefan","non-dropping-particle":"","parse-names":false,"suffix":""},{"dropping-particle":"","family":"Yanev","given":"Iliya","non-dropping-particle":"","parse-names":false,"suffix":""},{"dropping-particle":"","family":"Kiuchukov","given":"Iliya","non-dropping-particle":"","parse-names":false,"suffix":""},{"dropping-particle":"","family":"Petrov","given":"Lubomir","non-dropping-particle":"","parse-names":false,"suffix":""}],"container-title":"Science of Gymnastics Journal","id":"ITEM-1","issue":"2","issued":{"date-parts":[["2021"]]},"title":"Kinematic analysis of double back straight somersault and double back straight somersault with full twist on rings","type":"article-journal","volume":"13"},"uris":["http://www.mendeley.com/documents/?uuid=ae94994f-5f39-4803-a2b5-03106ad9c081"]},{"id":"ITEM-2","itemData":{"ISSN":"1582-1943","author":[{"dropping-particle":"","family":"Campos","given":"Manuel J A","non-dropping-particle":"","parse-names":false,"suffix":""},{"dropping-particle":"","family":"Côrte-Real","given":"Cristina","non-dropping-particle":"","parse-names":false,"suffix":""},{"dropping-particle":"","family":"Lebre","given":"Eunice","non-dropping-particle":"","parse-names":false,"suffix":""}],"container-title":"Palestrica of the Third Millennium Civilization &amp; Sport","id":"ITEM-2","issue":"2","issued":{"date-parts":[["2009"]]},"title":"The importance of the „Swallow “on structuring and valuing rings exercises of Men's Artistic Gymnastics.","type":"article-journal","volume":"10"},"uris":["http://www.mendeley.com/documents/?uuid=f7d501ad-5ac7-40ca-9b53-7056ab1ef5fb"]},{"id":"ITEM-3","itemData":{"ISBN":"1999-4168","author":[{"dropping-particle":"","family":"Campos","given":"Manuel","non-dropping-particle":"","parse-names":false,"suffix":""},{"dropping-particle":"","family":"Sousa","given":"Filipa","non-dropping-particle":"","parse-names":false,"suffix":""},{"dropping-particle":"","family":"Lebre","given":"Eunice","non-dropping-particle":"","parse-names":false,"suffix":""}],"container-title":"ISBS-Conference Proceedings Archive","id":"ITEM-3","issued":{"date-parts":[["2011"]]},"title":"The swallow element and muscular activations","type":"paper-conference"},"uris":["http://www.mendeley.com/documents/?uuid=0a4e4fb6-16e7-40b3-a90a-c7fbf0f7292e"]},{"id":"ITEM-4","itemData":{"ISSN":"0021-9290","author":[{"dropping-particle":"","family":"Yeadon","given":"Maurice R","non-dropping-particle":"","parse-names":false,"suffix":""},{"dropping-particle":"","family":"Brewin","given":"Mark A","non-dropping-particle":"","parse-names":false,"suffix":""}],"container-title":"Journal of Biomechanics","id":"ITEM-4","issue":"4","issued":{"date-parts":[["2003"]]},"page":"545-552","publisher":"Elsevier","title":"Optimised performance of the backward longswing on rings","type":"article-journal","volume":"36"},"uris":["http://www.mendeley.com/documents/?uuid=6ca8aba2-7a9a-4126-9d62-72726dd2c8ca"]},{"id":"ITEM-5","itemData":{"ISSN":"1065-8483","author":[{"dropping-particle":"","family":"Sprigings","given":"Eric J","non-dropping-particle":"","parse-names":false,"suffix":""},{"dropping-particle":"","family":"Lanovaz","given":"Joel L","non-dropping-particle":"","parse-names":false,"suffix":""},{"dropping-particle":"","family":"Russell","given":"Keith W","non-dropping-particle":"","parse-names":false,"suffix":""}],"container-title":"Journal of Applied Biomechanics","id":"ITEM-5","issue":"3","issued":{"date-parts":[["2000"]]},"page":"289-300","publisher":"Human Kinetics, Inc.","title":"The role of shoulder and hip torques generated during a backward giant swing on rings","type":"article-journal","volume":"16"},"uris":["http://www.mendeley.com/documents/?uuid=a7bf4317-6f9d-4151-a3c2-82cdbd630c36"]},{"id":"ITEM-6","itemData":{"ISSN":"0167-9457","author":[{"dropping-particle":"","family":"Brewin","given":"Mark A","non-dropping-particle":"","parse-names":false,"suffix":""},{"dropping-particle":"","family":"Yeadon","given":"Maurice R","non-dropping-particle":"","parse-names":false,"suffix":""},{"dropping-particle":"","family":"Kerwin","given":"David G","non-dropping-particle":"","parse-names":false,"suffix":""}],"container-title":"Human Movement Science","id":"ITEM-6","issue":"5","issued":{"date-parts":[["2000"]]},"page":"717-736","publisher":"Elsevier","title":"Minimising peak forces at the shoulders during backward longswings on rings","type":"article-journal","volume":"19"},"uris":["http://www.mendeley.com/documents/?uuid=a5a11a4e-6ae8-4895-9910-aeba8df86372"]}],"mendeley":{"formattedCitation":"(23–28)","manualFormatting":"[23–28]","plainTextFormattedCitation":"(23–28)","previouslyFormattedCitation":"(23–28)"},"properties":{"noteIndex":0},"schema":"https://github.com/citation-style-language/schema/raw/master/csl-citation.json"}</w:instrText>
      </w:r>
      <w:r w:rsidRPr="00154E00">
        <w:rPr>
          <w:szCs w:val="24"/>
        </w:rPr>
        <w:fldChar w:fldCharType="separate"/>
      </w:r>
      <w:r w:rsidRPr="00154E00">
        <w:rPr>
          <w:noProof/>
          <w:szCs w:val="24"/>
        </w:rPr>
        <w:t>[23–28]</w:t>
      </w:r>
      <w:r w:rsidRPr="00154E00">
        <w:rPr>
          <w:szCs w:val="24"/>
        </w:rPr>
        <w:fldChar w:fldCharType="end"/>
      </w:r>
      <w:r w:rsidRPr="00154E00">
        <w:rPr>
          <w:szCs w:val="24"/>
        </w:rPr>
        <w:t xml:space="preserve">. </w:t>
      </w:r>
      <w:r w:rsidRPr="00154E00">
        <w:t xml:space="preserve">The highest number of participants was 212 </w:t>
      </w:r>
      <w:r w:rsidRPr="00154E00">
        <w:fldChar w:fldCharType="begin" w:fldLock="1"/>
      </w:r>
      <w:r w:rsidRPr="00154E00">
        <w:instrText>ADDIN CSL_CITATION {"citationItems":[{"id":"ITEM-1","itemData":{"ISSN":"1582-1943","author":[{"dropping-particle":"","family":"Campos","given":"Manuel J A","non-dropping-particle":"","parse-names":false,"suffix":""},{"dropping-particle":"","family":"Côrte-Real","given":"Cristina","non-dropping-particle":"","parse-names":false,"suffix":""},{"dropping-particle":"","family":"Lebre","given":"Eunice","non-dropping-particle":"","parse-names":false,"suffix":""}],"container-title":"Palestrica of the Third Millennium Civilization &amp; Sport","id":"ITEM-1","issue":"2","issued":{"date-parts":[["2009"]]},"title":"The importance of the „Swallow “on structuring and valuing rings exercises of Men's Artistic Gymnastics.","type":"article-journal","volume":"10"},"uris":["http://www.mendeley.com/documents/?uuid=f7d501ad-5ac7-40ca-9b53-7056ab1ef5fb"]}],"mendeley":{"formattedCitation":"(24)","manualFormatting":"[24]","plainTextFormattedCitation":"(24)","previouslyFormattedCitation":"(24)"},"properties":{"noteIndex":0},"schema":"https://github.com/citation-style-language/schema/raw/master/csl-citation.json"}</w:instrText>
      </w:r>
      <w:r w:rsidRPr="00154E00">
        <w:fldChar w:fldCharType="separate"/>
      </w:r>
      <w:r w:rsidRPr="00154E00">
        <w:rPr>
          <w:noProof/>
        </w:rPr>
        <w:t>[24]</w:t>
      </w:r>
      <w:r w:rsidRPr="00154E00">
        <w:fldChar w:fldCharType="end"/>
      </w:r>
      <w:r w:rsidRPr="00154E00">
        <w:rPr>
          <w:szCs w:val="24"/>
        </w:rPr>
        <w:t xml:space="preserve">, while the lowest was only 1 participant in several studies </w:t>
      </w:r>
      <w:r w:rsidRPr="00154E00">
        <w:rPr>
          <w:szCs w:val="24"/>
        </w:rPr>
        <w:fldChar w:fldCharType="begin" w:fldLock="1"/>
      </w:r>
      <w:r w:rsidRPr="00154E00">
        <w:rPr>
          <w:szCs w:val="24"/>
        </w:rPr>
        <w:instrText>ADDIN CSL_CITATION {"citationItems":[{"id":"ITEM-1","itemData":{"ISBN":"146730199X","author":[{"dropping-particle":"","family":"Ningxiang","given":"Zou","non-dropping-particle":"","parse-names":false,"suffix":""},{"dropping-particle":"","family":"Mingxin","given":"Gong","non-dropping-particle":"","parse-names":false,"suffix":""},{"dropping-particle":"","family":"Lejun","given":"Wang","non-dropping-particle":"","parse-names":false,"suffix":""},{"dropping-particle":"","family":"Jiangbo","given":"Wu","non-dropping-particle":"","parse-names":false,"suffix":""}],"container-title":"2012 International Conference on Systems and Informatics (ICSAI2012)","id":"ITEM-1","issued":{"date-parts":[["2012"]]},"page":"1050-1053","publisher":"IEEE","title":"A Kinematic Analysis of Yan Mingyong's landing from Rings after the backward giant swing tuck of 2-circle back flip and a 360° turn","type":"paper-conference"},"uris":["http://www.mendeley.com/documents/?uuid=59a490ee-7851-4bef-816a-a3d176f1032e"]},{"id":"ITEM-2","itemData":{"ISSN":"1582-1943","author":[{"dropping-particle":"","family":"Campos","given":"Manuel J A","non-dropping-particle":"","parse-names":false,"suffix":""},{"dropping-particle":"","family":"Côrte-Real","given":"Cristina","non-dropping-particle":"","parse-names":false,"suffix":""},{"dropping-particle":"","family":"Lebre","given":"Eunice","non-dropping-particle":"","parse-names":false,"suffix":""}],"container-title":"Palestrica of the Third Millennium Civilization &amp; Sport","id":"ITEM-2","issue":"2","issued":{"date-parts":[["2009"]]},"title":"The importance of the „Swallow “on structuring and valuing rings exercises of Men's Artistic Gymnastics.","type":"article-journal","volume":"10"},"uris":["http://www.mendeley.com/documents/?uuid=f7d501ad-5ac7-40ca-9b53-7056ab1ef5fb"]},{"id":"ITEM-3","itemData":{"ISSN":"0021-9290","author":[{"dropping-particle":"","family":"Yeadon","given":"Maurice R","non-dropping-particle":"","parse-names":false,"suffix":""},{"dropping-particle":"","family":"Brewin","given":"Mark A","non-dropping-particle":"","parse-names":false,"suffix":""}],"container-title":"Journal of Biomechanics","id":"ITEM-3","issue":"4","issued":{"date-parts":[["2003"]]},"page":"545-552","publisher":"Elsevier","title":"Optimised performance of the backward longswing on rings","type":"article-journal","volume":"36"},"uris":["http://www.mendeley.com/documents/?uuid=6ca8aba2-7a9a-4126-9d62-72726dd2c8ca"]},{"id":"ITEM-4","itemData":{"ISSN":"0167-9457","author":[{"dropping-particle":"","family":"Brewin","given":"Mark A","non-dropping-particle":"","parse-names":false,"suffix":""},{"dropping-particle":"","family":"Yeadon","given":"Maurice R","non-dropping-particle":"","parse-names":false,"suffix":""},{"dropping-particle":"","family":"Kerwin","given":"David G","non-dropping-particle":"","parse-names":false,"suffix":""}],"container-title":"Human Movement Science","id":"ITEM-4","issue":"5","issued":{"date-parts":[["2000"]]},"page":"717-736","publisher":"Elsevier","title":"Minimising peak forces at the shoulders during backward longswings on rings","type":"article-journal","volume":"19"},"uris":["http://www.mendeley.com/documents/?uuid=a5a11a4e-6ae8-4895-9910-aeba8df86372"]}],"mendeley":{"formattedCitation":"(24,26,28,29)","manualFormatting":"[24,26,28,29]","plainTextFormattedCitation":"(24,26,28,29)","previouslyFormattedCitation":"(24,26,28,29)"},"properties":{"noteIndex":0},"schema":"https://github.com/citation-style-language/schema/raw/master/csl-citation.json"}</w:instrText>
      </w:r>
      <w:r w:rsidRPr="00154E00">
        <w:rPr>
          <w:szCs w:val="24"/>
        </w:rPr>
        <w:fldChar w:fldCharType="separate"/>
      </w:r>
      <w:r w:rsidRPr="00154E00">
        <w:rPr>
          <w:noProof/>
          <w:szCs w:val="24"/>
        </w:rPr>
        <w:t>[24,26,28,29]</w:t>
      </w:r>
      <w:r w:rsidRPr="00154E00">
        <w:rPr>
          <w:szCs w:val="24"/>
        </w:rPr>
        <w:fldChar w:fldCharType="end"/>
      </w:r>
      <w:r w:rsidRPr="00154E00">
        <w:rPr>
          <w:szCs w:val="24"/>
        </w:rPr>
        <w:t>.</w:t>
      </w:r>
    </w:p>
    <w:p w:rsidR="000E37DA" w:rsidRPr="00E0686F" w:rsidRDefault="00E0686F" w:rsidP="00E0686F">
      <w:pPr>
        <w:tabs>
          <w:tab w:val="left" w:pos="6915"/>
        </w:tabs>
        <w:ind w:firstLine="420"/>
      </w:pPr>
      <w:r w:rsidRPr="00154E00">
        <w:t xml:space="preserve">Giant swing backward, as the only evaluated swing element on rings were conducted by three studies </w:t>
      </w:r>
      <w:r w:rsidRPr="00154E00">
        <w:fldChar w:fldCharType="begin" w:fldLock="1"/>
      </w:r>
      <w:r w:rsidRPr="00154E00">
        <w:instrText>ADDIN CSL_CITATION {"citationItems":[{"id":"ITEM-1","itemData":{"ISSN":"0167-9457","author":[{"dropping-particle":"","family":"Brewin","given":"Mark A","non-dropping-particle":"","parse-names":false,"suffix":""},{"dropping-particle":"","family":"Yeadon","given":"Maurice R","non-dropping-particle":"","parse-names":false,"suffix":""},{"dropping-particle":"","family":"Kerwin","given":"David G","non-dropping-particle":"","parse-names":false,"suffix":""}],"container-title":"Human Movement Science","id":"ITEM-1","issue":"5","issued":{"date-parts":[["2000"]]},"page":"717-736","publisher":"Elsevier","title":"Minimising peak forces at the shoulders during backward longswings on rings","type":"article-journal","volume":"19"},"uris":["http://www.mendeley.com/documents/?uuid=a5a11a4e-6ae8-4895-9910-aeba8df86372"]},{"id":"ITEM-2","itemData":{"ISSN":"1065-8483","author":[{"dropping-particle":"","family":"Sprigings","given":"Eric J","non-dropping-particle":"","parse-names":false,"suffix":""},{"dropping-particle":"","family":"Lanovaz","given":"Joel L","non-dropping-particle":"","parse-names":false,"suffix":""},{"dropping-particle":"","family":"Russell","given":"Keith W","non-dropping-particle":"","parse-names":false,"suffix":""}],"container-title":"Journal of Applied Biomechanics","id":"ITEM-2","issue":"3","issued":{"date-parts":[["2000"]]},"page":"289-300","publisher":"Human Kinetics, Inc.","title":"The role of shoulder and hip torques generated during a backward giant swing on rings","type":"article-journal","volume":"16"},"uris":["http://www.mendeley.com/documents/?uuid=a7bf4317-6f9d-4151-a3c2-82cdbd630c36"]},{"id":"ITEM-3","itemData":{"ISSN":"0021-9290","author":[{"dropping-particle":"","family":"Yeadon","given":"Maurice R","non-dropping-particle":"","parse-names":false,"suffix":""},{"dropping-particle":"","family":"Brewin","given":"Mark A","non-dropping-particle":"","parse-names":false,"suffix":""}],"container-title":"Journal of Biomechanics","id":"ITEM-3","issue":"4","issued":{"date-parts":[["2003"]]},"page":"545-552","publisher":"Elsevier","title":"Optimised performance of the backward longswing on rings","type":"article-journal","volume":"36"},"uris":["http://www.mendeley.com/documents/?uuid=6ca8aba2-7a9a-4126-9d62-72726dd2c8ca"]}],"mendeley":{"formattedCitation":"(26–28)","manualFormatting":"[26–28]","plainTextFormattedCitation":"(26–28)","previouslyFormattedCitation":"(26–28)"},"properties":{"noteIndex":0},"schema":"https://github.com/citation-style-language/schema/raw/master/csl-citation.json"}</w:instrText>
      </w:r>
      <w:r w:rsidRPr="00154E00">
        <w:fldChar w:fldCharType="separate"/>
      </w:r>
      <w:r w:rsidRPr="00154E00">
        <w:rPr>
          <w:noProof/>
        </w:rPr>
        <w:t>[26–28]</w:t>
      </w:r>
      <w:r w:rsidRPr="00154E00">
        <w:fldChar w:fldCharType="end"/>
      </w:r>
      <w:r w:rsidRPr="00154E00">
        <w:t xml:space="preserve">, while 9 studies overall evaluated different strength elements, such as swallow </w:t>
      </w:r>
      <w:r w:rsidRPr="00154E00">
        <w:fldChar w:fldCharType="begin" w:fldLock="1"/>
      </w:r>
      <w:r w:rsidRPr="00154E00">
        <w:instrText>ADDIN CSL_CITATION {"citationItems":[{"id":"ITEM-1","itemData":{"ISSN":"1855-7171","author":[{"dropping-particle":"","family":"Schärer","given":"Christoph","non-dropping-particle":"","parse-names":false,"suffix":""},{"dropping-particle":"","family":"Hübner","given":"Klaus","non-dropping-particle":"","parse-names":false,"suffix":""}],"container-title":"Science of Gymnastics Journal","id":"ITEM-1","issue":"2","issued":{"date-parts":[["2016"]]},"page":"125-134","publisher":"Univerza v Ljubljani, Fakulteta za Sport","title":"Accuracy of prediction of maximum resistance at increased holding times based on a three seconds maximum static strength test of the three main strength elements on rings","type":"article-journal","volume":"8"},"uris":["http://www.mendeley.com/documents/?uuid=83dc6220-5d37-43df-a3f2-33792d7cc4ab"]},{"id":"ITEM-2","itemData":{"ISSN":"1855-7171","author":[{"dropping-particle":"","family":"Hübner","given":"Klaus","non-dropping-particle":"","parse-names":false,"suffix":""},{"dropping-particle":"","family":"Schärer","given":"Christoph","non-dropping-particle":"","parse-names":false,"suffix":""}],"container-title":"Science of Gymnastics Journal","id":"ITEM-2","issue":"3","issued":{"date-parts":[["2015"]]},"page":"59-68","publisher":"University of Ljubljana, Faculty of Sport, Department of Gymnastics","title":"Relationship between the Elements Swallow, Support Scale and Iron Cross on rings and their specific preconditioning strengthening exercises","type":"article-journal","volume":"7"},"uris":["http://www.mendeley.com/documents/?uuid=adcf49a5-4463-47d0-bac9-cfa58d5d5aa3"]},{"id":"ITEM-3","itemData":{"ISSN":"1855-7171","author":[{"dropping-particle":"","family":"Gorosito","given":"Mario A","non-dropping-particle":"","parse-names":false,"suffix":""}],"container-title":"Science of Gymnastics Journal","id":"ITEM-3","issue":"3","issued":{"date-parts":[["2013"]]},"page":"59","publisher":"University of Ljubljana, Faculty of Sport","title":"Relative strength requirement for Swallow element proper execution: A predictive test","type":"article-journal","volume":"5"},"uris":["http://www.mendeley.com/documents/?uuid=ae2cda51-7b7d-4cbf-9918-d2b0b07c7f7b"]},{"id":"ITEM-4","itemData":{"ISSN":"1855-7171","author":[{"dropping-particle":"","family":"Bango Melcon","given":"Benjamin","non-dropping-particle":"","parse-names":false,"suffix":""},{"dropping-particle":"","family":"Sillero Quintana","given":"Manuel","non-dropping-particle":"","parse-names":false,"suffix":""},{"dropping-particle":"","family":"Grande Rodriguez","given":"Ignacio","non-dropping-particle":"","parse-names":false,"suffix":""}],"container-title":"Science of Gymnastics Journal","id":"ITEM-4","issue":"3","issued":{"date-parts":[["2013"]]},"page":"47-58","publisher":"Department of Gymnastics, Faculty of Sport, University of Ljubljana","title":"New tool to assess the force production in the swallow","type":"article-journal","volume":"5"},"uris":["http://www.mendeley.com/documents/?uuid=f0e1a43e-35c7-4b78-974a-c8406affc26b"]},{"id":"ITEM-5","itemData":{"ISSN":"1582-1943","author":[{"dropping-particle":"","family":"Campos","given":"Manuel J A","non-dropping-particle":"","parse-names":false,"suffix":""},{"dropping-particle":"","family":"Côrte-Real","given":"Cristina","non-dropping-particle":"","parse-names":false,"suffix":""},{"dropping-particle":"","family":"Lebre","given":"Eunice","non-dropping-particle":"","parse-names":false,"suffix":""}],"container-title":"Palestrica of the Third Millennium Civilization &amp; Sport","id":"ITEM-5","issue":"2","issued":{"date-parts":[["2009"]]},"title":"The importance of the „Swallow “on structuring and valuing rings exercises of Men's Artistic Gymnastics.","type":"article-journal","volume":"10"},"uris":["http://www.mendeley.com/documents/?uuid=f7d501ad-5ac7-40ca-9b53-7056ab1ef5fb"]},{"id":"ITEM-6","itemData":{"ISBN":"1999-4168","author":[{"dropping-particle":"","family":"Campos","given":"Manuel","non-dropping-particle":"","parse-names":false,"suffix":""},{"dropping-particle":"","family":"Sousa","given":"Filipa","non-dropping-particle":"","parse-names":false,"suffix":""},{"dropping-particle":"","family":"Lebre","given":"Eunice","non-dropping-particle":"","parse-names":false,"suffix":""}],"container-title":"ISBS-Conference Proceedings Archive","id":"ITEM-6","issued":{"date-parts":[["2011"]]},"title":"The swallow element and muscular activations","type":"paper-conference"},"uris":["http://www.mendeley.com/documents/?uuid=0a4e4fb6-16e7-40b3-a90a-c7fbf0f7292e"]},{"id":"ITEM-7","itemData":{"ISSN":"1064-8011","author":[{"dropping-particle":"","family":"Bernasconi","given":"Sylvain M","non-dropping-particle":"","parse-names":false,"suffix":""},{"dropping-particle":"","family":"Tordi","given":"Nicolas R","non-dropping-particle":"","parse-names":false,"suffix":""},{"dropping-particle":"","family":"Parratte","given":"Bernard M","non-dropping-particle":"","parse-names":false,"suffix":""},{"dropping-particle":"","family":"Rouillon","given":"Jean-Denis R","non-dropping-particle":"","parse-names":false,"suffix":""}],"container-title":"The Journal of Strength &amp; Conditioning Research","id":"ITEM-7","issue":"8","issued":{"date-parts":[["2009"]]},"page":"2381-2388","publisher":"LWW","title":"Can shoulder muscle coordination during the support scale at ring height be replicated during training exercises in gymnastics?","type":"article-journal","volume":"23"},"uris":["http://www.mendeley.com/documents/?uuid=920d0153-221c-4d6e-9a20-44d86ad32b5c"]}],"mendeley":{"formattedCitation":"(10,24,25,30–33)","manualFormatting":"[10,24,25,30–33]","plainTextFormattedCitation":"(10,24,25,30–33)","previouslyFormattedCitation":"(10,24,25,30–33)"},"properties":{"noteIndex":0},"schema":"https://github.com/citation-style-language/schema/raw/master/csl-citation.json"}</w:instrText>
      </w:r>
      <w:r w:rsidRPr="00154E00">
        <w:fldChar w:fldCharType="separate"/>
      </w:r>
      <w:r w:rsidRPr="00154E00">
        <w:rPr>
          <w:noProof/>
        </w:rPr>
        <w:t>[10,24,25,30–33]</w:t>
      </w:r>
      <w:r w:rsidRPr="00154E00">
        <w:fldChar w:fldCharType="end"/>
      </w:r>
      <w:r w:rsidRPr="00154E00">
        <w:rPr>
          <w:szCs w:val="24"/>
        </w:rPr>
        <w:t>,</w:t>
      </w:r>
      <w:r w:rsidRPr="00154E00">
        <w:t xml:space="preserve"> Azarian </w:t>
      </w:r>
      <w:r w:rsidRPr="00154E00">
        <w:fldChar w:fldCharType="begin" w:fldLock="1"/>
      </w:r>
      <w:r w:rsidRPr="00154E00">
        <w:instrText>ADDIN CSL_CITATION {"citationItems":[{"id":"ITEM-1","itemData":{"author":[{"dropping-particle":"","family":"Bernasconi","given":"Sylvain","non-dropping-particle":"","parse-names":false,"suffix":""},{"dropping-particle":"","family":"Tordi","given":"Nicolas","non-dropping-particle":"","parse-names":false,"suffix":""},{"dropping-particle":"","family":"Parratte","given":"Bernard","non-dropping-particle":"","parse-names":false,"suffix":""},{"dropping-particle":"","family":"Rouillon","given":"Jean-Denis","non-dropping-particle":"","parse-names":false,"suffix":""},{"dropping-particle":"","family":"Monnier","given":"Guy","non-dropping-particle":"","parse-names":false,"suffix":""}],"container-title":"J Strength Cond Res","id":"ITEM-1","issued":{"date-parts":[["2006"]]},"page":"53-57","title":"Effects of two devices on the surface EMG responses of eleven shoulder muscles during Azarian in gymnastics","type":"article-journal","volume":"20"},"uris":["http://www.mendeley.com/documents/?uuid=31d5860e-cf2d-4eb6-9d82-51c0122361da"]}],"mendeley":{"formattedCitation":"(34)","manualFormatting":"[34]","plainTextFormattedCitation":"(34)","previouslyFormattedCitation":"(34)"},"properties":{"noteIndex":0},"schema":"https://github.com/citation-style-language/schema/raw/master/csl-citation.json"}</w:instrText>
      </w:r>
      <w:r w:rsidRPr="00154E00">
        <w:fldChar w:fldCharType="separate"/>
      </w:r>
      <w:r w:rsidRPr="00154E00">
        <w:rPr>
          <w:noProof/>
        </w:rPr>
        <w:t>[34]</w:t>
      </w:r>
      <w:r w:rsidRPr="00154E00">
        <w:fldChar w:fldCharType="end"/>
      </w:r>
      <w:r w:rsidRPr="00154E00">
        <w:rPr>
          <w:szCs w:val="24"/>
        </w:rPr>
        <w:t xml:space="preserve">, </w:t>
      </w:r>
      <w:r w:rsidRPr="00154E00">
        <w:t xml:space="preserve">iron cross </w:t>
      </w:r>
      <w:r w:rsidRPr="00154E00">
        <w:fldChar w:fldCharType="begin" w:fldLock="1"/>
      </w:r>
      <w:r w:rsidRPr="00154E00">
        <w:instrText>ADDIN CSL_CITATION {"citationItems":[{"id":"ITEM-1","itemData":{"ISSN":"1855-7171","author":[{"dropping-particle":"","family":"Schärer","given":"Christoph","non-dropping-particle":"","parse-names":false,"suffix":""},{"dropping-particle":"","family":"Hübner","given":"Klaus","non-dropping-particle":"","parse-names":false,"suffix":""}],"container-title":"Science of Gymnastics Journal","id":"ITEM-1","issue":"2","issued":{"date-parts":[["2016"]]},"page":"125-134","publisher":"Univerza v Ljubljani, Fakulteta za Sport","title":"Accuracy of prediction of maximum resistance at increased holding times based on a three seconds maximum static strength test of the three main strength elements on rings","type":"article-journal","volume":"8"},"uris":["http://www.mendeley.com/documents/?uuid=83dc6220-5d37-43df-a3f2-33792d7cc4ab"]},{"id":"ITEM-2","itemData":{"ISSN":"1855-7171","author":[{"dropping-particle":"","family":"Hübner","given":"Klaus","non-dropping-particle":"","parse-names":false,"suffix":""},{"dropping-particle":"","family":"Schärer","given":"Christoph","non-dropping-particle":"","parse-names":false,"suffix":""}],"container-title":"Science of Gymnastics Journal","id":"ITEM-2","issue":"3","issued":{"date-parts":[["2015"]]},"page":"59-68","publisher":"University of Ljubljana, Faculty of Sport, Department of Gymnastics","title":"Relationship between the Elements Swallow, Support Scale and Iron Cross on rings and their specific preconditioning strengthening exercises","type":"article-journal","volume":"7"},"uris":["http://www.mendeley.com/documents/?uuid=adcf49a5-4463-47d0-bac9-cfa58d5d5aa3"]},{"id":"ITEM-3","itemData":{"author":[{"dropping-particle":"","family":"Dunlavy","given":"Jennifer K","non-dropping-particle":"","parse-names":false,"suffix":""},{"dropping-particle":"","family":"Sands","given":"William A","non-dropping-particle":"","parse-names":false,"suffix":""},{"dropping-particle":"","family":"McNeal","given":"Jeni R","non-dropping-particle":"","parse-names":false,"suffix":""},{"dropping-particle":"","family":"Stone","given":"Michael H","non-dropping-particle":"","parse-names":false,"suffix":""},{"dropping-particle":"","family":"Smith","given":"Sarah L","non-dropping-particle":"","parse-names":false,"suffix":""},{"dropping-particle":"","family":"Jemni","given":"Monem","non-dropping-particle":"","parse-names":false,"suffix":""},{"dropping-particle":"","family":"Haff","given":"G Gregory","non-dropping-particle":"","parse-names":false,"suffix":""}],"container-title":"Journal of sports science &amp; medicine","id":"ITEM-3","issue":"1","issued":{"date-parts":[["2007"]]},"page":"93","publisher":"Dept. of Sports Medicine, Medical Faculty of Uludag University","title":"Strength performance assessment in a simulated men’s gymnastics still rings cross","type":"article-journal","volume":"6"},"uris":["http://www.mendeley.com/documents/?uuid=fddaf659-c9fd-44c4-aab6-3062ea30a544"]},{"id":"ITEM-4","itemData":{"author":[{"dropping-particle":"","family":"Bernasconi","given":"S","non-dropping-particle":"","parse-names":false,"suffix":""},{"dropping-particle":"","family":"Tordi","given":"N","non-dropping-particle":"","parse-names":false,"suffix":""},{"dropping-particle":"","family":"Parratte","given":"B","non-dropping-particle":"","parse-names":false,"suffix":""},{"dropping-particle":"","family":"Rouillon","given":"J D","non-dropping-particle":"","parse-names":false,"suffix":""},{"dropping-particle":"","family":"Monnier","given":"G","non-dropping-particle":"","parse-names":false,"suffix":""}],"container-title":"J Sports Med Phys Fitness","id":"ITEM-4","issue":"3","issued":{"date-parts":[["2004"]]},"page":"240-245","title":"Surface electromyography of nine shoulder muscles in two iron cross conditions in gymnastics","type":"article-journal","volume":"44"},"uris":["http://www.mendeley.com/documents/?uuid=8f269f2b-6d3c-4534-a8ce-047fdcf05431"]}],"mendeley":{"formattedCitation":"(22,30,31,35)","manualFormatting":"[22,30,31,35]","plainTextFormattedCitation":"(22,30,31,35)","previouslyFormattedCitation":"(22,30,31,35)"},"properties":{"noteIndex":0},"schema":"https://github.com/citation-style-language/schema/raw/master/csl-citation.json"}</w:instrText>
      </w:r>
      <w:r w:rsidRPr="00154E00">
        <w:fldChar w:fldCharType="separate"/>
      </w:r>
      <w:r w:rsidRPr="00154E00">
        <w:rPr>
          <w:noProof/>
        </w:rPr>
        <w:t>[22,30,31,35]</w:t>
      </w:r>
      <w:r w:rsidRPr="00154E00">
        <w:fldChar w:fldCharType="end"/>
      </w:r>
      <w:r w:rsidRPr="00154E00">
        <w:t xml:space="preserve"> and support scale </w:t>
      </w:r>
      <w:r w:rsidRPr="00154E00">
        <w:fldChar w:fldCharType="begin" w:fldLock="1"/>
      </w:r>
      <w:r w:rsidRPr="00154E00">
        <w:instrText>ADDIN CSL_CITATION {"citationItems":[{"id":"ITEM-1","itemData":{"ISSN":"1855-7171","author":[{"dropping-particle":"","family":"Schärer","given":"Christoph","non-dropping-particle":"","parse-names":false,"suffix":""},{"dropping-particle":"","family":"Hübner","given":"Klaus","non-dropping-particle":"","parse-names":false,"suffix":""}],"container-title":"Science of Gymnastics Journal","id":"ITEM-1","issue":"2","issued":{"date-parts":[["2016"]]},"page":"125-134","publisher":"Univerza v Ljubljani, Fakulteta za Sport","title":"Accuracy of prediction of maximum resistance at increased holding times based on a three seconds maximum static strength test of the three main strength elements on rings","type":"article-journal","volume":"8"},"uris":["http://www.mendeley.com/documents/?uuid=83dc6220-5d37-43df-a3f2-33792d7cc4ab"]},{"id":"ITEM-2","itemData":{"ISSN":"1855-7171","author":[{"dropping-particle":"","family":"Hübner","given":"Klaus","non-dropping-particle":"","parse-names":false,"suffix":""},{"dropping-particle":"","family":"Schärer","given":"Christoph","non-dropping-particle":"","parse-names":false,"suffix":""}],"container-title":"Science of Gymnastics Journal","id":"ITEM-2","issue":"3","issued":{"date-parts":[["2015"]]},"page":"59-68","publisher":"University of Ljubljana, Faculty of Sport, Department of Gymnastics","title":"Relationship between the Elements Swallow, Support Scale and Iron Cross on rings and their specific preconditioning strengthening exercises","type":"article-journal","volume":"7"},"uris":["http://www.mendeley.com/documents/?uuid=adcf49a5-4463-47d0-bac9-cfa58d5d5aa3"]}],"mendeley":{"formattedCitation":"(30,31)","manualFormatting":"[30,31]","plainTextFormattedCitation":"(30,31)","previouslyFormattedCitation":"(30,31)"},"properties":{"noteIndex":0},"schema":"https://github.com/citation-style-language/schema/raw/master/csl-citation.json"}</w:instrText>
      </w:r>
      <w:r w:rsidRPr="00154E00">
        <w:fldChar w:fldCharType="separate"/>
      </w:r>
      <w:r w:rsidRPr="00154E00">
        <w:rPr>
          <w:noProof/>
        </w:rPr>
        <w:t>[30,31]</w:t>
      </w:r>
      <w:r w:rsidRPr="00154E00">
        <w:fldChar w:fldCharType="end"/>
      </w:r>
      <w:r w:rsidRPr="00154E00">
        <w:t xml:space="preserve">. Kolimechkov et al. </w:t>
      </w:r>
      <w:r w:rsidRPr="00154E00">
        <w:rPr>
          <w:szCs w:val="24"/>
        </w:rPr>
        <w:fldChar w:fldCharType="begin" w:fldLock="1"/>
      </w:r>
      <w:r w:rsidRPr="00154E00">
        <w:rPr>
          <w:szCs w:val="24"/>
        </w:rPr>
        <w:instrText>ADDIN CSL_CITATION {"citationItems":[{"id":"ITEM-1","itemData":{"ISSN":"1855-7171","author":[{"dropping-particle":"","family":"Kolimechkov","given":"Stefan","non-dropping-particle":"","parse-names":false,"suffix":""},{"dropping-particle":"","family":"Yanev","given":"Iliya","non-dropping-particle":"","parse-names":false,"suffix":""},{"dropping-particle":"","family":"Kiuchukov","given":"Iliya","non-dropping-particle":"","parse-names":false,"suffix":""},{"dropping-particle":"","family":"Petrov","given":"Lubomir","non-dropping-particle":"","parse-names":false,"suffix":""}],"container-title":"Science of Gymnastics Journal","id":"ITEM-1","issue":"2","issued":{"date-parts":[["2021"]]},"title":"Kinematic analysis of double back straight somersault and double back straight somersault with full twist on rings","type":"article-journal","volume":"13"},"uris":["http://www.mendeley.com/documents/?uuid=ae94994f-5f39-4803-a2b5-03106ad9c081"]}],"mendeley":{"formattedCitation":"(23)","manualFormatting":"[23]","plainTextFormattedCitation":"(23)","previouslyFormattedCitation":"(23)"},"properties":{"noteIndex":0},"schema":"https://github.com/citation-style-language/schema/raw/master/csl-citation.json"}</w:instrText>
      </w:r>
      <w:r w:rsidRPr="00154E00">
        <w:rPr>
          <w:szCs w:val="24"/>
        </w:rPr>
        <w:fldChar w:fldCharType="separate"/>
      </w:r>
      <w:r w:rsidRPr="00154E00">
        <w:rPr>
          <w:noProof/>
          <w:szCs w:val="24"/>
        </w:rPr>
        <w:t>[23]</w:t>
      </w:r>
      <w:r w:rsidRPr="00154E00">
        <w:rPr>
          <w:szCs w:val="24"/>
        </w:rPr>
        <w:fldChar w:fldCharType="end"/>
      </w:r>
      <w:r w:rsidRPr="00154E00">
        <w:rPr>
          <w:szCs w:val="24"/>
        </w:rPr>
        <w:t xml:space="preserve"> evaluated </w:t>
      </w:r>
      <w:r w:rsidRPr="00154E00">
        <w:t>double back flip straight with a 360° turn</w:t>
      </w:r>
      <w:r w:rsidRPr="00154E00">
        <w:rPr>
          <w:szCs w:val="24"/>
        </w:rPr>
        <w:t xml:space="preserve">, as well as </w:t>
      </w:r>
      <w:r w:rsidRPr="00154E00">
        <w:t>double back flip straight</w:t>
      </w:r>
      <w:r w:rsidRPr="00154E00">
        <w:rPr>
          <w:szCs w:val="24"/>
        </w:rPr>
        <w:t xml:space="preserve"> only, while Ningxiang et al. </w:t>
      </w:r>
      <w:r w:rsidRPr="00154E00">
        <w:rPr>
          <w:szCs w:val="24"/>
        </w:rPr>
        <w:fldChar w:fldCharType="begin" w:fldLock="1"/>
      </w:r>
      <w:r w:rsidRPr="00154E00">
        <w:rPr>
          <w:szCs w:val="24"/>
        </w:rPr>
        <w:instrText>ADDIN CSL_CITATION {"citationItems":[{"id":"ITEM-1","itemData":{"ISBN":"146730199X","author":[{"dropping-particle":"","family":"Ningxiang","given":"Zou","non-dropping-particle":"","parse-names":false,"suffix":""},{"dropping-particle":"","family":"Mingxin","given":"Gong","non-dropping-particle":"","parse-names":false,"suffix":""},{"dropping-particle":"","family":"Lejun","given":"Wang","non-dropping-particle":"","parse-names":false,"suffix":""},{"dropping-particle":"","family":"Jiangbo","given":"Wu","non-dropping-particle":"","parse-names":false,"suffix":""}],"container-title":"2012 International Conference on Systems and Informatics (ICSAI2012)","id":"ITEM-1","issued":{"date-parts":[["2012"]]},"page":"1050-1053","publisher":"IEEE","title":"A Kinematic Analysis of Yan Mingyong's landing from Rings after the backward giant swing tuck of 2-circle back flip and a 360° turn","type":"paper-conference"},"uris":["http://www.mendeley.com/documents/?uuid=59a490ee-7851-4bef-816a-a3d176f1032e"]}],"mendeley":{"formattedCitation":"(29)","manualFormatting":"[29]","plainTextFormattedCitation":"(29)","previouslyFormattedCitation":"(29)"},"properties":{"noteIndex":0},"schema":"https://github.com/citation-style-language/schema/raw/master/csl-citation.json"}</w:instrText>
      </w:r>
      <w:r w:rsidRPr="00154E00">
        <w:rPr>
          <w:szCs w:val="24"/>
        </w:rPr>
        <w:fldChar w:fldCharType="separate"/>
      </w:r>
      <w:r w:rsidRPr="00154E00">
        <w:rPr>
          <w:noProof/>
          <w:szCs w:val="24"/>
        </w:rPr>
        <w:t>[29]</w:t>
      </w:r>
      <w:r w:rsidRPr="00154E00">
        <w:rPr>
          <w:szCs w:val="24"/>
        </w:rPr>
        <w:fldChar w:fldCharType="end"/>
      </w:r>
      <w:r w:rsidRPr="00154E00">
        <w:rPr>
          <w:szCs w:val="24"/>
        </w:rPr>
        <w:t xml:space="preserve"> evaluated only </w:t>
      </w:r>
      <w:r w:rsidRPr="00154E00">
        <w:t xml:space="preserve">double back flip straight with a 360° turn. </w:t>
      </w:r>
      <w:r w:rsidRPr="00154E00">
        <w:rPr>
          <w:szCs w:val="24"/>
        </w:rPr>
        <w:t xml:space="preserve">Four studies have conducted electromyography of muscle activation on strength elements, such as iron cross </w:t>
      </w:r>
      <w:r w:rsidRPr="00154E00">
        <w:rPr>
          <w:szCs w:val="24"/>
        </w:rPr>
        <w:fldChar w:fldCharType="begin" w:fldLock="1"/>
      </w:r>
      <w:r w:rsidRPr="00154E00">
        <w:rPr>
          <w:szCs w:val="24"/>
        </w:rPr>
        <w:instrText>ADDIN CSL_CITATION {"citationItems":[{"id":"ITEM-1","itemData":{"author":[{"dropping-particle":"","family":"Bernasconi","given":"S","non-dropping-particle":"","parse-names":false,"suffix":""},{"dropping-particle":"","family":"Tordi","given":"N","non-dropping-particle":"","parse-names":false,"suffix":""},{"dropping-particle":"","family":"Parratte","given":"B","non-dropping-particle":"","parse-names":false,"suffix":""},{"dropping-particle":"","family":"Rouillon","given":"J D","non-dropping-particle":"","parse-names":false,"suffix":""},{"dropping-particle":"","family":"Monnier","given":"G","non-dropping-particle":"","parse-names":false,"suffix":""}],"container-title":"J Sports Med Phys Fitness","id":"ITEM-1","issue":"3","issued":{"date-parts":[["2004"]]},"page":"240-245","title":"Surface electromyography of nine shoulder muscles in two iron cross conditions in gymnastics","type":"article-journal","volume":"44"},"uris":["http://www.mendeley.com/documents/?uuid=8f269f2b-6d3c-4534-a8ce-047fdcf05431"]}],"mendeley":{"formattedCitation":"(35)","manualFormatting":"[35]","plainTextFormattedCitation":"(35)","previouslyFormattedCitation":"(35)"},"properties":{"noteIndex":0},"schema":"https://github.com/citation-style-language/schema/raw/master/csl-citation.json"}</w:instrText>
      </w:r>
      <w:r w:rsidRPr="00154E00">
        <w:rPr>
          <w:szCs w:val="24"/>
        </w:rPr>
        <w:fldChar w:fldCharType="separate"/>
      </w:r>
      <w:r w:rsidRPr="00154E00">
        <w:rPr>
          <w:noProof/>
          <w:szCs w:val="24"/>
        </w:rPr>
        <w:t>[35]</w:t>
      </w:r>
      <w:r w:rsidRPr="00154E00">
        <w:rPr>
          <w:szCs w:val="24"/>
        </w:rPr>
        <w:fldChar w:fldCharType="end"/>
      </w:r>
      <w:r w:rsidRPr="00154E00">
        <w:rPr>
          <w:szCs w:val="24"/>
        </w:rPr>
        <w:t xml:space="preserve">, swallow </w:t>
      </w:r>
      <w:r w:rsidRPr="00154E00">
        <w:rPr>
          <w:szCs w:val="24"/>
        </w:rPr>
        <w:fldChar w:fldCharType="begin" w:fldLock="1"/>
      </w:r>
      <w:r w:rsidRPr="00154E00">
        <w:rPr>
          <w:szCs w:val="24"/>
        </w:rPr>
        <w:instrText>ADDIN CSL_CITATION {"citationItems":[{"id":"ITEM-1","itemData":{"ISBN":"1999-4168","author":[{"dropping-particle":"","family":"Campos","given":"Manuel","non-dropping-particle":"","parse-names":false,"suffix":""},{"dropping-particle":"","family":"Sousa","given":"Filipa","non-dropping-particle":"","parse-names":false,"suffix":""},{"dropping-particle":"","family":"Lebre","given":"Eunice","non-dropping-particle":"","parse-names":false,"suffix":""}],"container-title":"ISBS-Conference Proceedings Archive","id":"ITEM-1","issued":{"date-parts":[["2011"]]},"title":"The swallow element and muscular activations","type":"paper-conference"},"uris":["http://www.mendeley.com/documents/?uuid=0a4e4fb6-16e7-40b3-a90a-c7fbf0f7292e"]},{"id":"ITEM-2","itemData":{"ISSN":"1064-8011","author":[{"dropping-particle":"","family":"Bernasconi","given":"Sylvain M","non-dropping-particle":"","parse-names":false,"suffix":""},{"dropping-particle":"","family":"Tordi","given":"Nicolas R","non-dropping-particle":"","parse-names":false,"suffix":""},{"dropping-particle":"","family":"Parratte","given":"Bernard M","non-dropping-particle":"","parse-names":false,"suffix":""},{"dropping-particle":"","family":"Rouillon","given":"Jean-Denis R","non-dropping-particle":"","parse-names":false,"suffix":""}],"container-title":"The Journal of Strength &amp; Conditioning Research","id":"ITEM-2","issue":"8","issued":{"date-parts":[["2009"]]},"page":"2381-2388","publisher":"LWW","title":"Can shoulder muscle coordination during the support scale at ring height be replicated during training exercises in gymnastics?","type":"article-journal","volume":"23"},"uris":["http://www.mendeley.com/documents/?uuid=920d0153-221c-4d6e-9a20-44d86ad32b5c"]}],"mendeley":{"formattedCitation":"(25,33)","manualFormatting":"[25,33]","plainTextFormattedCitation":"(25,33)","previouslyFormattedCitation":"(25,33)"},"properties":{"noteIndex":0},"schema":"https://github.com/citation-style-language/schema/raw/master/csl-citation.json"}</w:instrText>
      </w:r>
      <w:r w:rsidRPr="00154E00">
        <w:rPr>
          <w:szCs w:val="24"/>
        </w:rPr>
        <w:fldChar w:fldCharType="separate"/>
      </w:r>
      <w:r w:rsidRPr="00154E00">
        <w:rPr>
          <w:noProof/>
          <w:szCs w:val="24"/>
        </w:rPr>
        <w:t>[25,33]</w:t>
      </w:r>
      <w:r w:rsidRPr="00154E00">
        <w:rPr>
          <w:szCs w:val="24"/>
        </w:rPr>
        <w:fldChar w:fldCharType="end"/>
      </w:r>
      <w:r w:rsidRPr="00154E00">
        <w:rPr>
          <w:szCs w:val="24"/>
        </w:rPr>
        <w:t xml:space="preserve"> and Azarian </w:t>
      </w:r>
      <w:r w:rsidRPr="00154E00">
        <w:rPr>
          <w:szCs w:val="24"/>
        </w:rPr>
        <w:fldChar w:fldCharType="begin" w:fldLock="1"/>
      </w:r>
      <w:r w:rsidRPr="00154E00">
        <w:rPr>
          <w:szCs w:val="24"/>
        </w:rPr>
        <w:instrText>ADDIN CSL_CITATION {"citationItems":[{"id":"ITEM-1","itemData":{"author":[{"dropping-particle":"","family":"Bernasconi","given":"Sylvain","non-dropping-particle":"","parse-names":false,"suffix":""},{"dropping-particle":"","family":"Tordi","given":"Nicolas","non-dropping-particle":"","parse-names":false,"suffix":""},{"dropping-particle":"","family":"Parratte","given":"Bernard","non-dropping-particle":"","parse-names":false,"suffix":""},{"dropping-particle":"","family":"Rouillon","given":"Jean-Denis","non-dropping-particle":"","parse-names":false,"suffix":""},{"dropping-particle":"","family":"Monnier","given":"Guy","non-dropping-particle":"","parse-names":false,"suffix":""}],"container-title":"J Strength Cond Res","id":"ITEM-1","issued":{"date-parts":[["2006"]]},"page":"53-57","title":"Effects of two devices on the surface EMG responses of eleven shoulder muscles during Azarian in gymnastics","type":"article-journal","volume":"20"},"uris":["http://www.mendeley.com/documents/?uuid=31d5860e-cf2d-4eb6-9d82-51c0122361da"]}],"mendeley":{"formattedCitation":"(34)","manualFormatting":"[34]","plainTextFormattedCitation":"(34)","previouslyFormattedCitation":"(34)"},"properties":{"noteIndex":0},"schema":"https://github.com/citation-style-language/schema/raw/master/csl-citation.json"}</w:instrText>
      </w:r>
      <w:r w:rsidRPr="00154E00">
        <w:rPr>
          <w:szCs w:val="24"/>
        </w:rPr>
        <w:fldChar w:fldCharType="separate"/>
      </w:r>
      <w:r w:rsidRPr="00154E00">
        <w:rPr>
          <w:noProof/>
          <w:szCs w:val="24"/>
        </w:rPr>
        <w:t>[34]</w:t>
      </w:r>
      <w:r w:rsidRPr="00154E00">
        <w:rPr>
          <w:szCs w:val="24"/>
        </w:rPr>
        <w:fldChar w:fldCharType="end"/>
      </w:r>
      <w:r w:rsidRPr="00154E00">
        <w:rPr>
          <w:szCs w:val="24"/>
          <w:lang w:val="sr-Cyrl-RS"/>
        </w:rPr>
        <w:t>,</w:t>
      </w:r>
      <w:r w:rsidRPr="00154E00">
        <w:rPr>
          <w:szCs w:val="24"/>
        </w:rPr>
        <w:t xml:space="preserve"> whereas two studies have used force plates to evaluate the required specific strength for successful performance of the</w:t>
      </w:r>
      <w:r w:rsidRPr="00154E00">
        <w:t xml:space="preserve"> iron cross </w:t>
      </w:r>
      <w:r w:rsidRPr="00154E00">
        <w:fldChar w:fldCharType="begin" w:fldLock="1"/>
      </w:r>
      <w:r w:rsidRPr="00154E00">
        <w:instrText>ADDIN CSL_CITATION {"citationItems":[{"id":"ITEM-1","itemData":{"author":[{"dropping-particle":"","family":"Dunlavy","given":"Jennifer K","non-dropping-particle":"","parse-names":false,"suffix":""},{"dropping-particle":"","family":"Sands","given":"William A","non-dropping-particle":"","parse-names":false,"suffix":""},{"dropping-particle":"","family":"McNeal","given":"Jeni R","non-dropping-particle":"","parse-names":false,"suffix":""},{"dropping-particle":"","family":"Stone","given":"Michael H","non-dropping-particle":"","parse-names":false,"suffix":""},{"dropping-particle":"","family":"Smith","given":"Sarah L","non-dropping-particle":"","parse-names":false,"suffix":""},{"dropping-particle":"","family":"Jemni","given":"Monem","non-dropping-particle":"","parse-names":false,"suffix":""},{"dropping-particle":"","family":"Haff","given":"G Gregory","non-dropping-particle":"","parse-names":false,"suffix":""}],"container-title":"Journal of sports science &amp; medicine","id":"ITEM-1","issue":"1","issued":{"date-parts":[["2007"]]},"page":"93","publisher":"Dept. of Sports Medicine, Medical Faculty of Uludag University","title":"Strength performance assessment in a simulated men’s gymnastics still rings cross","type":"article-journal","volume":"6"},"uris":["http://www.mendeley.com/documents/?uuid=fddaf659-c9fd-44c4-aab6-3062ea30a544"]}],"mendeley":{"formattedCitation":"(22)","manualFormatting":"[22]","plainTextFormattedCitation":"(22)","previouslyFormattedCitation":"(22)"},"properties":{"noteIndex":0},"schema":"https://github.com/citation-style-language/schema/raw/master/csl-citation.json"}</w:instrText>
      </w:r>
      <w:r w:rsidRPr="00154E00">
        <w:fldChar w:fldCharType="separate"/>
      </w:r>
      <w:r w:rsidRPr="00154E00">
        <w:rPr>
          <w:noProof/>
        </w:rPr>
        <w:t>[22]</w:t>
      </w:r>
      <w:r w:rsidRPr="00154E00">
        <w:fldChar w:fldCharType="end"/>
      </w:r>
      <w:r w:rsidRPr="00154E00">
        <w:rPr>
          <w:szCs w:val="24"/>
        </w:rPr>
        <w:t xml:space="preserve"> and swallow </w:t>
      </w:r>
      <w:r w:rsidRPr="00154E00">
        <w:rPr>
          <w:szCs w:val="24"/>
        </w:rPr>
        <w:fldChar w:fldCharType="begin" w:fldLock="1"/>
      </w:r>
      <w:r w:rsidRPr="00154E00">
        <w:rPr>
          <w:szCs w:val="24"/>
        </w:rPr>
        <w:instrText>ADDIN CSL_CITATION {"citationItems":[{"id":"ITEM-1","itemData":{"ISSN":"1855-7171","author":[{"dropping-particle":"","family":"Bango Melcon","given":"Benjamin","non-dropping-particle":"","parse-names":false,"suffix":""},{"dropping-particle":"","family":"Sillero Quintana","given":"Manuel","non-dropping-particle":"","parse-names":false,"suffix":""},{"dropping-particle":"","family":"Grande Rodriguez","given":"Ignacio","non-dropping-particle":"","parse-names":false,"suffix":""}],"container-title":"Science of Gymnastics Journal","id":"ITEM-1","issue":"3","issued":{"date-parts":[["2013"]]},"page":"47-58","publisher":"Department of Gymnastics, Faculty of Sport, University of Ljubljana","title":"New tool to assess the force production in the swallow","type":"article-journal","volume":"5"},"uris":["http://www.mendeley.com/documents/?uuid=f0e1a43e-35c7-4b78-974a-c8406affc26b"]}],"mendeley":{"formattedCitation":"(32)","manualFormatting":"[32]","plainTextFormattedCitation":"(32)","previouslyFormattedCitation":"(32)"},"properties":{"noteIndex":0},"schema":"https://github.com/citation-style-language/schema/raw/master/csl-citation.json"}</w:instrText>
      </w:r>
      <w:r w:rsidRPr="00154E00">
        <w:rPr>
          <w:szCs w:val="24"/>
        </w:rPr>
        <w:fldChar w:fldCharType="separate"/>
      </w:r>
      <w:r w:rsidRPr="00154E00">
        <w:rPr>
          <w:noProof/>
          <w:szCs w:val="24"/>
        </w:rPr>
        <w:t>[32]</w:t>
      </w:r>
      <w:r w:rsidRPr="00154E00">
        <w:rPr>
          <w:szCs w:val="24"/>
        </w:rPr>
        <w:fldChar w:fldCharType="end"/>
      </w:r>
      <w:r w:rsidRPr="00800AB8">
        <w:rPr>
          <w:sz w:val="24"/>
        </w:rPr>
        <w:t>.</w:t>
      </w:r>
    </w:p>
    <w:p w:rsidR="00AB4A9D" w:rsidRDefault="00833FCC">
      <w:pPr>
        <w:pStyle w:val="Heading1"/>
      </w:pPr>
      <w:r>
        <w:t>4. Discussion</w:t>
      </w:r>
    </w:p>
    <w:p w:rsidR="00E0686F" w:rsidRDefault="00E0686F" w:rsidP="00E0686F">
      <w:pPr>
        <w:tabs>
          <w:tab w:val="left" w:pos="6915"/>
        </w:tabs>
        <w:ind w:firstLine="420"/>
        <w:rPr>
          <w:szCs w:val="24"/>
        </w:rPr>
      </w:pPr>
      <w:r w:rsidRPr="002C1877">
        <w:t xml:space="preserve">The aim of this systematic review was to </w:t>
      </w:r>
      <w:r w:rsidR="00046D35">
        <w:rPr>
          <w:color w:val="000000"/>
          <w:shd w:val="clear" w:color="auto" w:fill="FFFFFF"/>
        </w:rPr>
        <w:t xml:space="preserve">identify, summarize and </w:t>
      </w:r>
      <w:r w:rsidR="00046D35" w:rsidRPr="00153F78">
        <w:t xml:space="preserve">examine </w:t>
      </w:r>
      <w:r w:rsidRPr="002C1877">
        <w:t>the scientific evidence regarding exercises on the rings in men’s artis</w:t>
      </w:r>
      <w:r w:rsidR="00683FFC">
        <w:t>t</w:t>
      </w:r>
      <w:r w:rsidRPr="002C1877">
        <w:t xml:space="preserve">ic gymnastics. The main findings of this systematic review is the fact that, of the total of 146 elements recognized by the FIG Code of Points (2022-2024) </w:t>
      </w:r>
      <w:r w:rsidRPr="002C1877">
        <w:fldChar w:fldCharType="begin" w:fldLock="1"/>
      </w:r>
      <w:r w:rsidRPr="002C1877">
        <w:instrText>ADDIN CSL_CITATION {"citationItems":[{"id":"ITEM-1","itemData":{"URL":"https://www.gymnastics.sport/publicdir/rules/files/en_ 2022-2024 MAG CoP.pdf","author":[{"dropping-particle":"","family":"FIG","given":"","non-dropping-particle":"","parse-names":false,"suffix":""}],"container-title":"Laussanne, Switzerland","id":"ITEM-1","issued":{"date-parts":[["2022"]]},"title":"Code of Points 2022-2024 for Men's Artistic Gymnastics Competitions","type":"webpage"},"uris":["http://www.mendeley.com/documents/?uuid=eeb9fd42-5abd-45ec-9a9b-14a009f10341"]}],"mendeley":{"formattedCitation":"(15)","manualFormatting":"[15]","plainTextFormattedCitation":"(15)","previouslyFormattedCitation":"(15)"},"properties":{"noteIndex":0},"schema":"https://github.com/citation-style-language/schema/raw/master/csl-citation.json"}</w:instrText>
      </w:r>
      <w:r w:rsidRPr="002C1877">
        <w:fldChar w:fldCharType="separate"/>
      </w:r>
      <w:r w:rsidRPr="002C1877">
        <w:rPr>
          <w:noProof/>
        </w:rPr>
        <w:t>[15]</w:t>
      </w:r>
      <w:r w:rsidRPr="002C1877">
        <w:fldChar w:fldCharType="end"/>
      </w:r>
      <w:r w:rsidRPr="002C1877">
        <w:t>, 7 elements in total were identified and presented. There were investigated only four strength elements (swallow, Azarian, iron cross and support scale), two dismounts (double back flip straight and double back flip straight with a 360° turn) and one swing element (</w:t>
      </w:r>
      <w:r w:rsidRPr="002C1877">
        <w:rPr>
          <w:szCs w:val="16"/>
        </w:rPr>
        <w:t>b</w:t>
      </w:r>
      <w:r w:rsidRPr="002C1877">
        <w:t xml:space="preserve">ackward </w:t>
      </w:r>
      <w:r w:rsidRPr="002C1877">
        <w:lastRenderedPageBreak/>
        <w:t xml:space="preserve">giant swing). Overall, two studies have conducted kinematic analysis of dismounts, four studies have conducted electromyography </w:t>
      </w:r>
      <w:r w:rsidRPr="002C1877">
        <w:rPr>
          <w:szCs w:val="24"/>
        </w:rPr>
        <w:t>on strength elements</w:t>
      </w:r>
      <w:r w:rsidRPr="002C1877">
        <w:t xml:space="preserve">, while </w:t>
      </w:r>
      <w:r w:rsidRPr="002C1877">
        <w:rPr>
          <w:szCs w:val="24"/>
        </w:rPr>
        <w:t>two studies have used force plates to evaluate the required specific strength for the successful performance.</w:t>
      </w:r>
    </w:p>
    <w:p w:rsidR="00E0686F" w:rsidRDefault="00E0686F" w:rsidP="00E0686F">
      <w:pPr>
        <w:tabs>
          <w:tab w:val="left" w:pos="6915"/>
        </w:tabs>
        <w:ind w:firstLine="420"/>
        <w:rPr>
          <w:szCs w:val="24"/>
        </w:rPr>
      </w:pPr>
      <w:r w:rsidRPr="002C1877">
        <w:t xml:space="preserve">Maintaining a static strength element on rings may be considered as an eccentric muscle contraction due to the decelerating muscle work required in order to overcome gravity while maintaining the static positions. That is why a high level of relative maximum strength of the upper limbs and advanced balance skills in the hold positions are crucial for the gymnast in order to perform these types of elements </w:t>
      </w:r>
      <w:r w:rsidRPr="002C1877">
        <w:fldChar w:fldCharType="begin" w:fldLock="1"/>
      </w:r>
      <w:r w:rsidRPr="002C1877">
        <w:instrText>ADDIN CSL_CITATION {"citationItems":[{"id":"ITEM-1","itemData":{"ISSN":"1855-7171","author":[{"dropping-particle":"","family":"Bango Melcon","given":"Benjamin","non-dropping-particle":"","parse-names":false,"suffix":""},{"dropping-particle":"","family":"Sillero Quintana","given":"Manuel","non-dropping-particle":"","parse-names":false,"suffix":""},{"dropping-particle":"","family":"Grande Rodriguez","given":"Ignacio","non-dropping-particle":"","parse-names":false,"suffix":""}],"container-title":"Science of Gymnastics Journal","id":"ITEM-1","issue":"3","issued":{"date-parts":[["2013"]]},"page":"47-58","publisher":"Department of Gymnastics, Faculty of Sport, University of Ljubljana","title":"New tool to assess the force production in the swallow","type":"article-journal","volume":"5"},"uris":["http://www.mendeley.com/documents/?uuid=f0e1a43e-35c7-4b78-974a-c8406affc26b"]},{"id":"ITEM-2","itemData":{"author":[{"dropping-particle":"","family":"Dunlavy","given":"Jennifer K","non-dropping-particle":"","parse-names":false,"suffix":""},{"dropping-particle":"","family":"Sands","given":"William A","non-dropping-particle":"","parse-names":false,"suffix":""},{"dropping-particle":"","family":"McNeal","given":"Jeni R","non-dropping-particle":"","parse-names":false,"suffix":""},{"dropping-particle":"","family":"Stone","given":"Michael H","non-dropping-particle":"","parse-names":false,"suffix":""},{"dropping-particle":"","family":"Smith","given":"Sarah L","non-dropping-particle":"","parse-names":false,"suffix":""},{"dropping-particle":"","family":"Jemni","given":"Monem","non-dropping-particle":"","parse-names":false,"suffix":""},{"dropping-particle":"","family":"Haff","given":"G Gregory","non-dropping-particle":"","parse-names":false,"suffix":""}],"container-title":"Journal of sports science &amp; medicine","id":"ITEM-2","issue":"1","issued":{"date-parts":[["2007"]]},"page":"93","publisher":"Dept. of Sports Medicine, Medical Faculty of Uludag University","title":"Strength performance assessment in a simulated men’s gymnastics still rings cross","type":"article-journal","volume":"6"},"uris":["http://www.mendeley.com/documents/?uuid=fddaf659-c9fd-44c4-aab6-3062ea30a544"]},{"id":"ITEM-3","itemData":{"ISSN":"1855-7171","author":[{"dropping-particle":"","family":"Schärer","given":"Christoph","non-dropping-particle":"","parse-names":false,"suffix":""},{"dropping-particle":"","family":"Hübner","given":"Klaus","non-dropping-particle":"","parse-names":false,"suffix":""}],"container-title":"Science of Gymnastics Journal","id":"ITEM-3","issue":"2","issued":{"date-parts":[["2016"]]},"page":"125-134","publisher":"Univerza v Ljubljani, Fakulteta za Sport","title":"Accuracy of prediction of maximum resistance at increased holding times based on a three seconds maximum static strength test of the three main strength elements on rings","type":"article-journal","volume":"8"},"uris":["http://www.mendeley.com/documents/?uuid=83dc6220-5d37-43df-a3f2-33792d7cc4ab"]}],"mendeley":{"formattedCitation":"(22,30,32)","manualFormatting":"[22,30,32]","plainTextFormattedCitation":"(22,30,32)","previouslyFormattedCitation":"(22,30,32)"},"properties":{"noteIndex":0},"schema":"https://github.com/citation-style-language/schema/raw/master/csl-citation.json"}</w:instrText>
      </w:r>
      <w:r w:rsidRPr="002C1877">
        <w:fldChar w:fldCharType="separate"/>
      </w:r>
      <w:r w:rsidRPr="002C1877">
        <w:rPr>
          <w:noProof/>
        </w:rPr>
        <w:t>[22,30,32]</w:t>
      </w:r>
      <w:r w:rsidRPr="002C1877">
        <w:fldChar w:fldCharType="end"/>
      </w:r>
      <w:r w:rsidRPr="002C1877">
        <w:rPr>
          <w:szCs w:val="24"/>
        </w:rPr>
        <w:t xml:space="preserve">. </w:t>
      </w:r>
      <w:r w:rsidRPr="002C1877">
        <w:t>Most of these skills are relatively slow moving or held (i.e., isometric), occur in extraordinary postures and require months or even years of evolvent.</w:t>
      </w:r>
      <w:r w:rsidRPr="002C1877">
        <w:rPr>
          <w:szCs w:val="24"/>
        </w:rPr>
        <w:t xml:space="preserve"> Scharer &amp; Hubner </w:t>
      </w:r>
      <w:r w:rsidRPr="002C1877">
        <w:rPr>
          <w:szCs w:val="24"/>
        </w:rPr>
        <w:fldChar w:fldCharType="begin" w:fldLock="1"/>
      </w:r>
      <w:r w:rsidRPr="002C1877">
        <w:rPr>
          <w:szCs w:val="24"/>
        </w:rPr>
        <w:instrText>ADDIN CSL_CITATION {"citationItems":[{"id":"ITEM-1","itemData":{"ISSN":"1855-7171","author":[{"dropping-particle":"","family":"Schärer","given":"Christoph","non-dropping-particle":"","parse-names":false,"suffix":""},{"dropping-particle":"","family":"Hübner","given":"Klaus","non-dropping-particle":"","parse-names":false,"suffix":""}],"container-title":"Science of Gymnastics Journal","id":"ITEM-1","issue":"2","issued":{"date-parts":[["2016"]]},"page":"125-134","publisher":"Univerza v Ljubljani, Fakulteta za Sport","title":"Accuracy of prediction of maximum resistance at increased holding times based on a three seconds maximum static strength test of the three main strength elements on rings","type":"article-journal","volume":"8"},"uris":["http://www.mendeley.com/documents/?uuid=83dc6220-5d37-43df-a3f2-33792d7cc4ab"]}],"mendeley":{"formattedCitation":"(30)","manualFormatting":"[30]","plainTextFormattedCitation":"(30)","previouslyFormattedCitation":"(30)"},"properties":{"noteIndex":0},"schema":"https://github.com/citation-style-language/schema/raw/master/csl-citation.json"}</w:instrText>
      </w:r>
      <w:r w:rsidRPr="002C1877">
        <w:rPr>
          <w:szCs w:val="24"/>
        </w:rPr>
        <w:fldChar w:fldCharType="separate"/>
      </w:r>
      <w:r w:rsidRPr="002C1877">
        <w:rPr>
          <w:noProof/>
          <w:szCs w:val="24"/>
        </w:rPr>
        <w:t>[30]</w:t>
      </w:r>
      <w:r w:rsidRPr="002C1877">
        <w:rPr>
          <w:szCs w:val="24"/>
        </w:rPr>
        <w:fldChar w:fldCharType="end"/>
      </w:r>
      <w:r w:rsidRPr="002C1877">
        <w:rPr>
          <w:szCs w:val="24"/>
        </w:rPr>
        <w:t xml:space="preserve"> have identified significant decreases in maximal resistance as the time in the holding element increses. This result is corresponding with the findings from Komimura &amp; Ikuta </w:t>
      </w:r>
      <w:r w:rsidRPr="002C1877">
        <w:rPr>
          <w:szCs w:val="24"/>
        </w:rPr>
        <w:fldChar w:fldCharType="begin" w:fldLock="1"/>
      </w:r>
      <w:r w:rsidRPr="002C1877">
        <w:rPr>
          <w:szCs w:val="24"/>
        </w:rPr>
        <w:instrText>ADDIN CSL_CITATION {"citationItems":[{"id":"ITEM-1","itemData":{"ISSN":"1650-1977","author":[{"dropping-particle":"","family":"Kamimura","given":"Tomoko","non-dropping-particle":"","parse-names":false,"suffix":""},{"dropping-particle":"","family":"Ikuta","given":"Yoshikazu","non-dropping-particle":"","parse-names":false,"suffix":""}],"container-title":"Journal of Rehabilitation Medicine","id":"ITEM-1","issue":"5","issued":{"date-parts":[["2001"]]},"page":"225-229","publisher":"Stockholm, Sweden: Taylor &amp; Francis, c2001-","title":"Evaluation of grip strength with a sustained maximal isometric contraction for 6 and 10 seconds","type":"article-journal","volume":"33"},"uris":["http://www.mendeley.com/documents/?uuid=617046e7-1cd1-4127-b0bc-a94df14641e6"]}],"mendeley":{"formattedCitation":"(36)","manualFormatting":"[36]","plainTextFormattedCitation":"(36)","previouslyFormattedCitation":"(36)"},"properties":{"noteIndex":0},"schema":"https://github.com/citation-style-language/schema/raw/master/csl-citation.json"}</w:instrText>
      </w:r>
      <w:r w:rsidRPr="002C1877">
        <w:rPr>
          <w:szCs w:val="24"/>
        </w:rPr>
        <w:fldChar w:fldCharType="separate"/>
      </w:r>
      <w:r w:rsidRPr="002C1877">
        <w:rPr>
          <w:noProof/>
          <w:szCs w:val="24"/>
        </w:rPr>
        <w:t>[36]</w:t>
      </w:r>
      <w:r w:rsidRPr="002C1877">
        <w:rPr>
          <w:szCs w:val="24"/>
        </w:rPr>
        <w:fldChar w:fldCharType="end"/>
      </w:r>
      <w:r w:rsidRPr="002C1877">
        <w:rPr>
          <w:szCs w:val="24"/>
        </w:rPr>
        <w:t xml:space="preserve">, who have found a gradual decrease of maximal isometric grip strength ratios every second. This can be explained by the high intensity of maintaining a static elements </w:t>
      </w:r>
      <w:r w:rsidRPr="002C1877">
        <w:rPr>
          <w:szCs w:val="24"/>
        </w:rPr>
        <w:fldChar w:fldCharType="begin" w:fldLock="1"/>
      </w:r>
      <w:r w:rsidRPr="002C1877">
        <w:rPr>
          <w:szCs w:val="24"/>
        </w:rPr>
        <w:instrText>ADDIN CSL_CITATION {"citationItems":[{"id":"ITEM-1","itemData":{"ISSN":"0172-4622","author":[{"dropping-particle":"","family":"Rozand","given":"Vianney","non-dropping-particle":"","parse-names":false,"suffix":""},{"dropping-particle":"","family":"Cattagni","given":"Thomas","non-dropping-particle":"","parse-names":false,"suffix":""},{"dropping-particle":"","family":"Theurel","given":"Jean","non-dropping-particle":"","parse-names":false,"suffix":""},{"dropping-particle":"","family":"Martin","given":"Alain","non-dropping-particle":"","parse-names":false,"suffix":""},{"dropping-particle":"","family":"Lepers","given":"Romuald","non-dropping-particle":"","parse-names":false,"suffix":""}],"container-title":"International journal of sports medicine","id":"ITEM-1","issue":"01","issued":{"date-parts":[["2015"]]},"page":"35-40","publisher":"© Georg Thieme Verlag KG","title":"Neuromuscular fatigue following isometric contractions with similar torque time integral","type":"article-journal","volume":"36"},"uris":["http://www.mendeley.com/documents/?uuid=ede87fb9-4458-4469-9026-4d74f17342df"]}],"mendeley":{"formattedCitation":"(37)","manualFormatting":"[37]","plainTextFormattedCitation":"(37)","previouslyFormattedCitation":"(37)"},"properties":{"noteIndex":0},"schema":"https://github.com/citation-style-language/schema/raw/master/csl-citation.json"}</w:instrText>
      </w:r>
      <w:r w:rsidRPr="002C1877">
        <w:rPr>
          <w:szCs w:val="24"/>
        </w:rPr>
        <w:fldChar w:fldCharType="separate"/>
      </w:r>
      <w:r w:rsidRPr="002C1877">
        <w:rPr>
          <w:noProof/>
          <w:szCs w:val="24"/>
        </w:rPr>
        <w:t>[37]</w:t>
      </w:r>
      <w:r w:rsidRPr="002C1877">
        <w:rPr>
          <w:szCs w:val="24"/>
        </w:rPr>
        <w:fldChar w:fldCharType="end"/>
      </w:r>
      <w:r w:rsidRPr="002C1877">
        <w:rPr>
          <w:szCs w:val="24"/>
        </w:rPr>
        <w:t xml:space="preserve">. Hubner &amp; Scharer </w:t>
      </w:r>
      <w:r w:rsidRPr="002C1877">
        <w:rPr>
          <w:szCs w:val="24"/>
        </w:rPr>
        <w:fldChar w:fldCharType="begin" w:fldLock="1"/>
      </w:r>
      <w:r w:rsidRPr="002C1877">
        <w:rPr>
          <w:szCs w:val="24"/>
        </w:rPr>
        <w:instrText>ADDIN CSL_CITATION {"citationItems":[{"id":"ITEM-1","itemData":{"ISSN":"1855-7171","author":[{"dropping-particle":"","family":"Hübner","given":"Klaus","non-dropping-particle":"","parse-names":false,"suffix":""},{"dropping-particle":"","family":"Schärer","given":"Christoph","non-dropping-particle":"","parse-names":false,"suffix":""}],"container-title":"Science of Gymnastics Journal","id":"ITEM-1","issue":"3","issued":{"date-parts":[["2015"]]},"page":"59-68","publisher":"University of Ljubljana, Faculty of Sport, Department of Gymnastics","title":"Relationship between the Elements Swallow, Support Scale and Iron Cross on rings and their specific preconditioning strengthening exercises","type":"article-journal","volume":"7"},"uris":["http://www.mendeley.com/documents/?uuid=adcf49a5-4463-47d0-bac9-cfa58d5d5aa3"]}],"mendeley":{"formattedCitation":"(31)","manualFormatting":"[31]","plainTextFormattedCitation":"(31)","previouslyFormattedCitation":"(31)"},"properties":{"noteIndex":0},"schema":"https://github.com/citation-style-language/schema/raw/master/csl-citation.json"}</w:instrText>
      </w:r>
      <w:r w:rsidRPr="002C1877">
        <w:rPr>
          <w:szCs w:val="24"/>
        </w:rPr>
        <w:fldChar w:fldCharType="separate"/>
      </w:r>
      <w:r w:rsidRPr="002C1877">
        <w:rPr>
          <w:noProof/>
          <w:szCs w:val="24"/>
        </w:rPr>
        <w:t>[31]</w:t>
      </w:r>
      <w:r w:rsidRPr="002C1877">
        <w:rPr>
          <w:szCs w:val="24"/>
        </w:rPr>
        <w:fldChar w:fldCharType="end"/>
      </w:r>
      <w:r w:rsidRPr="002C1877">
        <w:rPr>
          <w:szCs w:val="24"/>
        </w:rPr>
        <w:t xml:space="preserve"> </w:t>
      </w:r>
      <w:r w:rsidRPr="002C1877">
        <w:t xml:space="preserve">have found that preconditioning exercises, iron cross with belt and bench </w:t>
      </w:r>
      <w:r w:rsidRPr="002C1877">
        <w:rPr>
          <w:szCs w:val="24"/>
        </w:rPr>
        <w:t xml:space="preserve">press positively correlates </w:t>
      </w:r>
      <w:r w:rsidRPr="002C1877">
        <w:t xml:space="preserve">(r=0.66, p=0.051; </w:t>
      </w:r>
      <w:r w:rsidRPr="002C1877">
        <w:rPr>
          <w:szCs w:val="24"/>
        </w:rPr>
        <w:t>r=0.67, p=0.069, respectively)</w:t>
      </w:r>
      <w:r w:rsidRPr="002C1877">
        <w:t xml:space="preserve"> </w:t>
      </w:r>
      <w:r w:rsidRPr="002C1877">
        <w:rPr>
          <w:szCs w:val="24"/>
        </w:rPr>
        <w:t>with iron cross on the rings.</w:t>
      </w:r>
      <w:r w:rsidRPr="002C1877">
        <w:t xml:space="preserve"> These results are in accordance with Starischka </w:t>
      </w:r>
      <w:r w:rsidRPr="002C1877">
        <w:fldChar w:fldCharType="begin" w:fldLock="1"/>
      </w:r>
      <w:r w:rsidRPr="002C1877">
        <w:instrText>ADDIN CSL_CITATION {"citationItems":[{"id":"ITEM-1","itemData":{"author":[{"dropping-particle":"","family":"Starischka","given":"S","non-dropping-particle":"","parse-names":false,"suffix":""}],"container-title":"Leistungssport","id":"ITEM-1","issue":"5","issued":{"date-parts":[["1978"]]},"page":"405-411","title":"Überlegungen zur Erstellung disziplinspezifischer Krafttrainingsprogramme im Kunstturnen","type":"article-journal","volume":"8"},"uris":["http://www.mendeley.com/documents/?uuid=9aa83c31-c948-4553-9ac3-40cc5538324a"]}],"mendeley":{"formattedCitation":"(38)","manualFormatting":"[38]","plainTextFormattedCitation":"(38)","previouslyFormattedCitation":"(38)"},"properties":{"noteIndex":0},"schema":"https://github.com/citation-style-language/schema/raw/master/csl-citation.json"}</w:instrText>
      </w:r>
      <w:r w:rsidRPr="002C1877">
        <w:fldChar w:fldCharType="separate"/>
      </w:r>
      <w:r w:rsidRPr="002C1877">
        <w:rPr>
          <w:noProof/>
        </w:rPr>
        <w:t>[38]</w:t>
      </w:r>
      <w:r w:rsidRPr="002C1877">
        <w:fldChar w:fldCharType="end"/>
      </w:r>
      <w:r w:rsidRPr="002C1877">
        <w:t xml:space="preserve"> and Starischka &amp; Tschiene </w:t>
      </w:r>
      <w:r w:rsidRPr="002C1877">
        <w:fldChar w:fldCharType="begin" w:fldLock="1"/>
      </w:r>
      <w:r w:rsidRPr="002C1877">
        <w:instrText>ADDIN CSL_CITATION {"citationItems":[{"id":"ITEM-1","itemData":{"author":[{"dropping-particle":"","family":"Starischka","given":"S","non-dropping-particle":"","parse-names":false,"suffix":""},{"dropping-particle":"","family":"Tschiene","given":"P","non-dropping-particle":"","parse-names":false,"suffix":""}],"container-title":"Leistungssport","id":"ITEM-1","issue":"4","issued":{"date-parts":[["1977"]]},"page":"275-281","title":"Anmerkungen zur Trainingssteuerung","type":"article-journal","volume":"7"},"uris":["http://www.mendeley.com/documents/?uuid=36602a81-647b-4dc6-b70d-751069a14906"]}],"mendeley":{"formattedCitation":"(39)","manualFormatting":"[39]","plainTextFormattedCitation":"(39)","previouslyFormattedCitation":"(39)"},"properties":{"noteIndex":0},"schema":"https://github.com/citation-style-language/schema/raw/master/csl-citation.json"}</w:instrText>
      </w:r>
      <w:r w:rsidRPr="002C1877">
        <w:fldChar w:fldCharType="separate"/>
      </w:r>
      <w:r w:rsidRPr="002C1877">
        <w:rPr>
          <w:noProof/>
        </w:rPr>
        <w:t>[39]</w:t>
      </w:r>
      <w:r w:rsidRPr="002C1877">
        <w:fldChar w:fldCharType="end"/>
      </w:r>
      <w:r w:rsidRPr="002C1877">
        <w:t xml:space="preserve"> who have observed a significant improvements of the iron cross specific maximal resistance if the hold element is trained at 90% of maximum intensity. On the other hand, Bernasconi et al. </w:t>
      </w:r>
      <w:r w:rsidRPr="002C1877">
        <w:fldChar w:fldCharType="begin" w:fldLock="1"/>
      </w:r>
      <w:r w:rsidRPr="002C1877">
        <w:instrText>ADDIN CSL_CITATION {"citationItems":[{"id":"ITEM-1","itemData":{"author":[{"dropping-particle":"","family":"Bernasconi","given":"S","non-dropping-particle":"","parse-names":false,"suffix":""},{"dropping-particle":"","family":"Tordi","given":"N","non-dropping-particle":"","parse-names":false,"suffix":""},{"dropping-particle":"","family":"Parratte","given":"B","non-dropping-particle":"","parse-names":false,"suffix":""},{"dropping-particle":"","family":"Rouillon","given":"J D","non-dropping-particle":"","parse-names":false,"suffix":""},{"dropping-particle":"","family":"Monnier","given":"G","non-dropping-particle":"","parse-names":false,"suffix":""}],"container-title":"J Sports Med Phys Fitness","id":"ITEM-1","issue":"3","issued":{"date-parts":[["2004"]]},"page":"240-245","title":"Surface electromyography of nine shoulder muscles in two iron cross conditions in gymnastics","type":"article-journal","volume":"44"},"uris":["http://www.mendeley.com/documents/?uuid=8f269f2b-6d3c-4534-a8ce-047fdcf05431"]},{"id":"ITEM-2","itemData":{"author":[{"dropping-particle":"","family":"Bernasconi","given":"Sylvain","non-dropping-particle":"","parse-names":false,"suffix":""},{"dropping-particle":"","family":"Tordi","given":"Nicolas","non-dropping-particle":"","parse-names":false,"suffix":""},{"dropping-particle":"","family":"Parratte","given":"Bernard","non-dropping-particle":"","parse-names":false,"suffix":""},{"dropping-particle":"","family":"Rouillon","given":"Jean-Denis","non-dropping-particle":"","parse-names":false,"suffix":""},{"dropping-particle":"","family":"Monnier","given":"Guy","non-dropping-particle":"","parse-names":false,"suffix":""}],"container-title":"J Strength Cond Res","id":"ITEM-2","issued":{"date-parts":[["2006"]]},"page":"53-57","title":"Effects of two devices on the surface EMG responses of eleven shoulder muscles during Azarian in gymnastics","type":"article-journal","volume":"20"},"uris":["http://www.mendeley.com/documents/?uuid=31d5860e-cf2d-4eb6-9d82-51c0122361da"]}],"mendeley":{"formattedCitation":"(34,35)","manualFormatting":"[34,35]","plainTextFormattedCitation":"(34,35)"},"properties":{"noteIndex":0},"schema":"https://github.com/citation-style-language/schema/raw/master/csl-citation.json"}</w:instrText>
      </w:r>
      <w:r w:rsidRPr="002C1877">
        <w:fldChar w:fldCharType="separate"/>
      </w:r>
      <w:r w:rsidRPr="002C1877">
        <w:rPr>
          <w:noProof/>
        </w:rPr>
        <w:t>[34,35]</w:t>
      </w:r>
      <w:r w:rsidRPr="002C1877">
        <w:fldChar w:fldCharType="end"/>
      </w:r>
      <w:r w:rsidRPr="002C1877">
        <w:t xml:space="preserve"> have showed that conducting preconditionig exercises on herdos, iron cross or Azarian respectively, do not provide same shoulder coordination and activation as on the actual rings or belt, respectively. Hubner &amp; Scharer </w:t>
      </w:r>
      <w:r w:rsidRPr="002C1877">
        <w:fldChar w:fldCharType="begin" w:fldLock="1"/>
      </w:r>
      <w:r w:rsidRPr="002C1877">
        <w:instrText>ADDIN CSL_CITATION {"citationItems":[{"id":"ITEM-1","itemData":{"ISSN":"1855-7171","author":[{"dropping-particle":"","family":"Hübner","given":"Klaus","non-dropping-particle":"","parse-names":false,"suffix":""},{"dropping-particle":"","family":"Schärer","given":"Christoph","non-dropping-particle":"","parse-names":false,"suffix":""}],"container-title":"Science of Gymnastics Journal","id":"ITEM-1","issue":"3","issued":{"date-parts":[["2015"]]},"page":"59-68","publisher":"University of Ljubljana, Faculty of Sport, Department of Gymnastics","title":"Relationship between the Elements Swallow, Support Scale and Iron Cross on rings and their specific preconditioning strengthening exercises","type":"article-journal","volume":"7"},"uris":["http://www.mendeley.com/documents/?uuid=adcf49a5-4463-47d0-bac9-cfa58d5d5aa3"]}],"mendeley":{"formattedCitation":"(31)","manualFormatting":"[31]","plainTextFormattedCitation":"(31)","previouslyFormattedCitation":"(31)"},"properties":{"noteIndex":0},"schema":"https://github.com/citation-style-language/schema/raw/master/csl-citation.json"}</w:instrText>
      </w:r>
      <w:r w:rsidRPr="002C1877">
        <w:fldChar w:fldCharType="separate"/>
      </w:r>
      <w:r w:rsidRPr="002C1877">
        <w:rPr>
          <w:noProof/>
        </w:rPr>
        <w:t>[31]</w:t>
      </w:r>
      <w:r w:rsidRPr="002C1877">
        <w:fldChar w:fldCharType="end"/>
      </w:r>
      <w:r w:rsidRPr="002C1877">
        <w:rPr>
          <w:szCs w:val="24"/>
        </w:rPr>
        <w:t xml:space="preserve"> have also identified that preconditioning exercieses, swallow in supine position and bench press positively correlates </w:t>
      </w:r>
      <w:r w:rsidRPr="002C1877">
        <w:t>(r=0.71, p=0.031; r=0.71, p=0.046, respectively</w:t>
      </w:r>
      <w:r w:rsidRPr="002C1877">
        <w:rPr>
          <w:szCs w:val="24"/>
        </w:rPr>
        <w:t xml:space="preserve">) with swallow on rings. In addition, swallow in supine position, as preconditioning exercise also positively correlates </w:t>
      </w:r>
      <w:r w:rsidRPr="002C1877">
        <w:t>(r=0.69; p=0.039)</w:t>
      </w:r>
      <w:r w:rsidRPr="002C1877">
        <w:rPr>
          <w:szCs w:val="24"/>
        </w:rPr>
        <w:t xml:space="preserve"> with support scale on the rings. These findings are in accordance with some previously reported studies </w:t>
      </w:r>
      <w:r w:rsidRPr="002C1877">
        <w:rPr>
          <w:szCs w:val="24"/>
        </w:rPr>
        <w:fldChar w:fldCharType="begin" w:fldLock="1"/>
      </w:r>
      <w:r w:rsidRPr="002C1877">
        <w:rPr>
          <w:szCs w:val="24"/>
        </w:rPr>
        <w:instrText>ADDIN CSL_CITATION {"citationItems":[{"id":"ITEM-1","itemData":{"ISSN":"1064-8011","author":[{"dropping-particle":"","family":"Reynolds","given":"Jeff M","non-dropping-particle":"","parse-names":false,"suffix":""},{"dropping-particle":"","family":"Gordon","given":"Toryanno J","non-dropping-particle":"","parse-names":false,"suffix":""},{"dropping-particle":"","family":"Robergs","given":"Robert A","non-dropping-particle":"","parse-names":false,"suffix":""}],"container-title":"The Journal of Strength &amp; Conditioning Research","id":"ITEM-1","issue":"3","issued":{"date-parts":[["2006"]]},"page":"584-592","publisher":"LWW","title":"Prediction of one repetition maximum strength from multiple repetition maximum testing and anthropometry","type":"article-journal","volume":"20"},"uris":["http://www.mendeley.com/documents/?uuid=de9cd8cd-416e-4cd0-83d1-4319b9575819"]},{"id":"ITEM-2","itemData":{"ISSN":"1064-8011","author":[{"dropping-particle":"","family":"Brechue","given":"William F","non-dropping-particle":"","parse-names":false,"suffix":""},{"dropping-particle":"","family":"Mayhew","given":"Jerry L","non-dropping-particle":"","parse-names":false,"suffix":""}],"container-title":"The Journal of Strength &amp; Conditioning Research","id":"ITEM-2","issue":"9","issued":{"date-parts":[["2009"]]},"page":"2477-2486","publisher":"LWW","title":"Upper-body work capacity and 1RM prediction are unaltered by increasing muscular strength in college football players","type":"article-journal","volume":"23"},"uris":["http://www.mendeley.com/documents/?uuid=3c0d328c-4e40-4b35-869e-2213c53a9d12"]}],"mendeley":{"formattedCitation":"(40,41)","manualFormatting":"[40,41]","plainTextFormattedCitation":"(40,41)","previouslyFormattedCitation":"(40,41)"},"properties":{"noteIndex":0},"schema":"https://github.com/citation-style-language/schema/raw/master/csl-citation.json"}</w:instrText>
      </w:r>
      <w:r w:rsidRPr="002C1877">
        <w:rPr>
          <w:szCs w:val="24"/>
        </w:rPr>
        <w:fldChar w:fldCharType="separate"/>
      </w:r>
      <w:r w:rsidRPr="002C1877">
        <w:rPr>
          <w:noProof/>
          <w:szCs w:val="24"/>
        </w:rPr>
        <w:t>[40,41]</w:t>
      </w:r>
      <w:r w:rsidRPr="002C1877">
        <w:rPr>
          <w:szCs w:val="24"/>
        </w:rPr>
        <w:fldChar w:fldCharType="end"/>
      </w:r>
      <w:r w:rsidRPr="002C1877">
        <w:rPr>
          <w:szCs w:val="24"/>
        </w:rPr>
        <w:t xml:space="preserve">, who have identified a higher predictability of the 1RM from lower repetition maximum testing than from 10 or more repetitions. Campos et al. </w:t>
      </w:r>
      <w:r w:rsidRPr="002C1877">
        <w:rPr>
          <w:szCs w:val="24"/>
        </w:rPr>
        <w:fldChar w:fldCharType="begin" w:fldLock="1"/>
      </w:r>
      <w:r w:rsidRPr="002C1877">
        <w:rPr>
          <w:szCs w:val="24"/>
        </w:rPr>
        <w:instrText>ADDIN CSL_CITATION {"citationItems":[{"id":"ITEM-1","itemData":{"ISBN":"1999-4168","author":[{"dropping-particle":"","family":"Campos","given":"Manuel","non-dropping-particle":"","parse-names":false,"suffix":""},{"dropping-particle":"","family":"Sousa","given":"Filipa","non-dropping-particle":"","parse-names":false,"suffix":""},{"dropping-particle":"","family":"Lebre","given":"Eunice","non-dropping-particle":"","parse-names":false,"suffix":""}],"container-title":"ISBS-Conference Proceedings Archive","id":"ITEM-1","issued":{"date-parts":[["2011"]]},"title":"The swallow element and muscular activations","type":"paper-conference"},"uris":["http://www.mendeley.com/documents/?uuid=0a4e4fb6-16e7-40b3-a90a-c7fbf0f7292e"]}],"mendeley":{"formattedCitation":"(25)","manualFormatting":"[25]","plainTextFormattedCitation":"(25)","previouslyFormattedCitation":"(25)"},"properties":{"noteIndex":0},"schema":"https://github.com/citation-style-language/schema/raw/master/csl-citation.json"}</w:instrText>
      </w:r>
      <w:r w:rsidRPr="002C1877">
        <w:rPr>
          <w:szCs w:val="24"/>
        </w:rPr>
        <w:fldChar w:fldCharType="separate"/>
      </w:r>
      <w:r w:rsidRPr="002C1877">
        <w:rPr>
          <w:noProof/>
          <w:szCs w:val="24"/>
        </w:rPr>
        <w:t>[25]</w:t>
      </w:r>
      <w:r w:rsidRPr="002C1877">
        <w:rPr>
          <w:szCs w:val="24"/>
        </w:rPr>
        <w:fldChar w:fldCharType="end"/>
      </w:r>
      <w:r w:rsidRPr="002C1877">
        <w:rPr>
          <w:sz w:val="22"/>
          <w:szCs w:val="24"/>
        </w:rPr>
        <w:t xml:space="preserve"> </w:t>
      </w:r>
      <w:r w:rsidRPr="002C1877">
        <w:rPr>
          <w:szCs w:val="24"/>
        </w:rPr>
        <w:t xml:space="preserve">emphasize that </w:t>
      </w:r>
      <w:r w:rsidRPr="002C1877">
        <w:t>infraspinatus (69.3%), serratus anterior (53.3%) and trapezius inferior (45.1%) should be activated the most during swallow.</w:t>
      </w:r>
      <w:r w:rsidRPr="002C1877">
        <w:rPr>
          <w:szCs w:val="24"/>
        </w:rPr>
        <w:t xml:space="preserve"> Furthermore, according to Gorosito </w:t>
      </w:r>
      <w:r w:rsidRPr="002C1877">
        <w:rPr>
          <w:szCs w:val="24"/>
        </w:rPr>
        <w:fldChar w:fldCharType="begin" w:fldLock="1"/>
      </w:r>
      <w:r w:rsidRPr="002C1877">
        <w:rPr>
          <w:szCs w:val="24"/>
        </w:rPr>
        <w:instrText>ADDIN CSL_CITATION {"citationItems":[{"id":"ITEM-1","itemData":{"ISSN":"1855-7171","author":[{"dropping-particle":"","family":"Gorosito","given":"Mario A","non-dropping-particle":"","parse-names":false,"suffix":""}],"container-title":"Science of Gymnastics Journal","id":"ITEM-1","issue":"3","issued":{"date-parts":[["2013"]]},"page":"59","publisher":"University of Ljubljana, Faculty of Sport","title":"Relative strength requirement for Swallow element proper execution: A predictive test","type":"article-journal","volume":"5"},"uris":["http://www.mendeley.com/documents/?uuid=ae2cda51-7b7d-4cbf-9918-d2b0b07c7f7b"]}],"mendeley":{"formattedCitation":"(10)","manualFormatting":"[10]","plainTextFormattedCitation":"(10)","previouslyFormattedCitation":"(10)"},"properties":{"noteIndex":0},"schema":"https://github.com/citation-style-language/schema/raw/master/csl-citation.json"}</w:instrText>
      </w:r>
      <w:r w:rsidRPr="002C1877">
        <w:rPr>
          <w:szCs w:val="24"/>
        </w:rPr>
        <w:fldChar w:fldCharType="separate"/>
      </w:r>
      <w:r w:rsidRPr="002C1877">
        <w:rPr>
          <w:noProof/>
          <w:szCs w:val="24"/>
        </w:rPr>
        <w:t>[10]</w:t>
      </w:r>
      <w:r w:rsidRPr="002C1877">
        <w:rPr>
          <w:szCs w:val="24"/>
        </w:rPr>
        <w:fldChar w:fldCharType="end"/>
      </w:r>
      <w:r w:rsidRPr="002C1877">
        <w:rPr>
          <w:szCs w:val="24"/>
        </w:rPr>
        <w:t>, in order to perform a valid swallow or even support scale on the rings, a gymnast should be able to hold at least 30% of his body weight on each hand in preconditioning exercises in supine position. However, based on the fact that swallow and support scale have very similar performance, as well as the Azarian with the iron cross, it is of great importance the pectoralis muscles, teres major, deltoideus and serratus anterior, as well as the handgrip strength, in order to properly hold the static position of mentioned elements on the rings.</w:t>
      </w:r>
    </w:p>
    <w:p w:rsidR="00E0686F" w:rsidRDefault="00E0686F" w:rsidP="00E0686F">
      <w:pPr>
        <w:tabs>
          <w:tab w:val="left" w:pos="6915"/>
        </w:tabs>
        <w:ind w:firstLine="420"/>
      </w:pPr>
      <w:r w:rsidRPr="002C1877">
        <w:t xml:space="preserve">The backward giant swing is commonly used as a connecting element between two mandatory held handstands </w:t>
      </w:r>
      <w:r w:rsidRPr="002C1877">
        <w:fldChar w:fldCharType="begin" w:fldLock="1"/>
      </w:r>
      <w:r w:rsidRPr="002C1877">
        <w:instrText>ADDIN CSL_CITATION {"citationItems":[{"id":"ITEM-1","itemData":{"ISSN":"0021-9290","author":[{"dropping-particle":"","family":"Sprigings","given":"Eric J","non-dropping-particle":"","parse-names":false,"suffix":""},{"dropping-particle":"","family":"Lanovaz","given":"Joel L","non-dropping-particle":"","parse-names":false,"suffix":""},{"dropping-particle":"","family":"Watson","given":"L Glen","non-dropping-particle":"","parse-names":false,"suffix":""},{"dropping-particle":"","family":"Russell","given":"Keith W","non-dropping-particle":"","parse-names":false,"suffix":""}],"container-title":"Journal of biomechanics","id":"ITEM-1","issue":"1","issued":{"date-parts":[["1997"]]},"page":"27-35","publisher":"Elsevier","title":"Removing swing from a handstand on rings using a properly timed backward giant circle: a simulation solution","type":"article-journal","volume":"31"},"uris":["http://www.mendeley.com/documents/?uuid=733da109-3e1e-454c-9bb0-968b9fcd18ee"]}],"mendeley":{"formattedCitation":"(42)","manualFormatting":"[42]","plainTextFormattedCitation":"(42)","previouslyFormattedCitation":"(42)"},"properties":{"noteIndex":0},"schema":"https://github.com/citation-style-language/schema/raw/master/csl-citation.json"}</w:instrText>
      </w:r>
      <w:r w:rsidRPr="002C1877">
        <w:fldChar w:fldCharType="separate"/>
      </w:r>
      <w:r w:rsidRPr="002C1877">
        <w:rPr>
          <w:noProof/>
        </w:rPr>
        <w:t>[42]</w:t>
      </w:r>
      <w:r w:rsidRPr="002C1877">
        <w:fldChar w:fldCharType="end"/>
      </w:r>
      <w:r w:rsidRPr="002C1877">
        <w:t xml:space="preserve">. According to Yeadon &amp; Brewin </w:t>
      </w:r>
      <w:r w:rsidRPr="002C1877">
        <w:fldChar w:fldCharType="begin" w:fldLock="1"/>
      </w:r>
      <w:r w:rsidRPr="002C1877">
        <w:instrText>ADDIN CSL_CITATION {"citationItems":[{"id":"ITEM-1","itemData":{"ISSN":"0021-9290","author":[{"dropping-particle":"","family":"Yeadon","given":"Maurice R","non-dropping-particle":"","parse-names":false,"suffix":""},{"dropping-particle":"","family":"Brewin","given":"Mark A","non-dropping-particle":"","parse-names":false,"suffix":""}],"container-title":"Journal of Biomechanics","id":"ITEM-1","issue":"4","issued":{"date-parts":[["2003"]]},"page":"545-552","publisher":"Elsevier","title":"Optimised performance of the backward longswing on rings","type":"article-journal","volume":"36"},"uris":["http://www.mendeley.com/documents/?uuid=6ca8aba2-7a9a-4126-9d62-72726dd2c8ca"]}],"mendeley":{"formattedCitation":"(26)","manualFormatting":"[26]","plainTextFormattedCitation":"(26)","previouslyFormattedCitation":"(26)"},"properties":{"noteIndex":0},"schema":"https://github.com/citation-style-language/schema/raw/master/csl-citation.json"}</w:instrText>
      </w:r>
      <w:r w:rsidRPr="002C1877">
        <w:fldChar w:fldCharType="separate"/>
      </w:r>
      <w:r w:rsidRPr="002C1877">
        <w:rPr>
          <w:noProof/>
        </w:rPr>
        <w:t>[26]</w:t>
      </w:r>
      <w:r w:rsidRPr="002C1877">
        <w:fldChar w:fldCharType="end"/>
      </w:r>
      <w:r w:rsidRPr="002C1877">
        <w:t xml:space="preserve">, the ability to perform a giant swing to a stationary handstand position is of great importance to elite gymnasts. Two decades ago, a gymnast had to realize both backward and forward swinging elements that are completed and held in stationary handstand position </w:t>
      </w:r>
      <w:r w:rsidRPr="002C1877">
        <w:fldChar w:fldCharType="begin" w:fldLock="1"/>
      </w:r>
      <w:r w:rsidRPr="002C1877">
        <w:instrText>ADDIN CSL_CITATION {"citationItems":[{"id":"ITEM-1","itemData":{"author":[{"dropping-particle":"","family":"FIG","given":"","non-dropping-particle":"","parse-names":false,"suffix":""}],"container-title":"Laussanne, Switzerland.","id":"ITEM-1","issued":{"date-parts":[["1997"]]},"title":"Code of Points 1997-2000 for Men's Artistic Gymnastics Competitions","type":"webpage"},"uris":["http://www.mendeley.com/documents/?uuid=0dc18f5f-5fa5-4ee1-831d-da933189fc4f"]}],"mendeley":{"formattedCitation":"(43)","manualFormatting":"[43]","plainTextFormattedCitation":"(43)","previouslyFormattedCitation":"(43)"},"properties":{"noteIndex":0},"schema":"https://github.com/citation-style-language/schema/raw/master/csl-citation.json"}</w:instrText>
      </w:r>
      <w:r w:rsidRPr="002C1877">
        <w:fldChar w:fldCharType="separate"/>
      </w:r>
      <w:r w:rsidRPr="002C1877">
        <w:rPr>
          <w:noProof/>
        </w:rPr>
        <w:t>[43]</w:t>
      </w:r>
      <w:r w:rsidRPr="002C1877">
        <w:fldChar w:fldCharType="end"/>
      </w:r>
      <w:r w:rsidRPr="002C1877">
        <w:t xml:space="preserve">. Today, a gymnast can realize one of mentioned swinging element, depending on the gymnasts individual predisposition </w:t>
      </w:r>
      <w:r w:rsidRPr="002C1877">
        <w:fldChar w:fldCharType="begin" w:fldLock="1"/>
      </w:r>
      <w:r w:rsidRPr="002C1877">
        <w:instrText>ADDIN CSL_CITATION {"citationItems":[{"id":"ITEM-1","itemData":{"URL":"https://www.gymnastics.sport/publicdir/rules/files/en_ 2022-2024 MAG CoP.pdf","author":[{"dropping-particle":"","family":"FIG","given":"","non-dropping-particle":"","parse-names":false,"suffix":""}],"container-title":"Laussanne, Switzerland","id":"ITEM-1","issued":{"date-parts":[["2022"]]},"title":"Code of Points 2022-2024 for Men's Artistic Gymnastics Competitions","type":"webpage"},"uris":["http://www.mendeley.com/documents/?uuid=eeb9fd42-5abd-45ec-9a9b-14a009f10341"]}],"mendeley":{"formattedCitation":"(15)","manualFormatting":"[15]","plainTextFormattedCitation":"(15)","previouslyFormattedCitation":"(15)"},"properties":{"noteIndex":0},"schema":"https://github.com/citation-style-language/schema/raw/master/csl-citation.json"}</w:instrText>
      </w:r>
      <w:r w:rsidRPr="002C1877">
        <w:fldChar w:fldCharType="separate"/>
      </w:r>
      <w:r w:rsidRPr="002C1877">
        <w:rPr>
          <w:noProof/>
        </w:rPr>
        <w:t>[15]</w:t>
      </w:r>
      <w:r w:rsidRPr="002C1877">
        <w:fldChar w:fldCharType="end"/>
      </w:r>
      <w:r w:rsidRPr="002C1877">
        <w:t xml:space="preserve">. Brewin et al. </w:t>
      </w:r>
      <w:r w:rsidRPr="002C1877">
        <w:fldChar w:fldCharType="begin" w:fldLock="1"/>
      </w:r>
      <w:r w:rsidRPr="002C1877">
        <w:instrText>ADDIN CSL_CITATION {"citationItems":[{"id":"ITEM-1","itemData":{"ISSN":"0167-9457","author":[{"dropping-particle":"","family":"Brewin","given":"Mark A","non-dropping-particle":"","parse-names":false,"suffix":""},{"dropping-particle":"","family":"Yeadon","given":"Maurice R","non-dropping-particle":"","parse-names":false,"suffix":""},{"dropping-particle":"","family":"Kerwin","given":"David G","non-dropping-particle":"","parse-names":false,"suffix":""}],"container-title":"Human Movement Science","id":"ITEM-1","issue":"5","issued":{"date-parts":[["2000"]]},"page":"717-736","publisher":"Elsevier","title":"Minimising peak forces at the shoulders during backward longswings on rings","type":"article-journal","volume":"19"},"uris":["http://www.mendeley.com/documents/?uuid=a5a11a4e-6ae8-4895-9910-aeba8df86372"]}],"mendeley":{"formattedCitation":"(28)","manualFormatting":"[28]","plainTextFormattedCitation":"(28)","previouslyFormattedCitation":"(28)"},"properties":{"noteIndex":0},"schema":"https://github.com/citation-style-language/schema/raw/master/csl-citation.json"}</w:instrText>
      </w:r>
      <w:r w:rsidRPr="002C1877">
        <w:fldChar w:fldCharType="separate"/>
      </w:r>
      <w:r w:rsidRPr="002C1877">
        <w:rPr>
          <w:noProof/>
        </w:rPr>
        <w:t>[28]</w:t>
      </w:r>
      <w:r w:rsidRPr="002C1877">
        <w:fldChar w:fldCharType="end"/>
      </w:r>
      <w:r w:rsidRPr="002C1877">
        <w:t xml:space="preserve"> have showed that increasing apparatus elasticity produces only a small reduction in peak force at the shoulders. Since this study was conducted more than two decades ago, a varius types of new apparatus manufacturer have showed up, such as American Athletic, Continental Sports, Gymnova, Spieth, Senoh, Taishan etc. </w:t>
      </w:r>
      <w:r w:rsidRPr="002C1877">
        <w:fldChar w:fldCharType="begin" w:fldLock="1"/>
      </w:r>
      <w:r w:rsidRPr="002C1877">
        <w:instrText>ADDIN CSL_CITATION {"citationItems":[{"id":"ITEM-1","itemData":{"URL":"https://www.gymnastics.sport/publicdir/rules/files/en_ 2022-2024 MAG CoP.pdf","author":[{"dropping-particle":"","family":"FIG","given":"","non-dropping-particle":"","parse-names":false,"suffix":""}],"container-title":"Laussanne, Switzerland","id":"ITEM-1","issued":{"date-parts":[["2022"]]},"title":"Code of Points 2022-2024 for Men's Artistic Gymnastics Competitions","type":"webpage"},"uris":["http://www.mendeley.com/documents/?uuid=eeb9fd42-5abd-45ec-9a9b-14a009f10341"]}],"mendeley":{"formattedCitation":"(15)","manualFormatting":"[15]","plainTextFormattedCitation":"(15)","previouslyFormattedCitation":"(15)"},"properties":{"noteIndex":0},"schema":"https://github.com/citation-style-language/schema/raw/master/csl-citation.json"}</w:instrText>
      </w:r>
      <w:r w:rsidRPr="002C1877">
        <w:fldChar w:fldCharType="separate"/>
      </w:r>
      <w:r w:rsidRPr="002C1877">
        <w:rPr>
          <w:noProof/>
        </w:rPr>
        <w:t>[15]</w:t>
      </w:r>
      <w:r w:rsidRPr="002C1877">
        <w:fldChar w:fldCharType="end"/>
      </w:r>
      <w:r w:rsidRPr="002C1877">
        <w:t xml:space="preserve">. But in order to examine the shoulders peak force on giant swing at different types of apparatus manufacturers, a further research is needed. </w:t>
      </w:r>
    </w:p>
    <w:p w:rsidR="00E0686F" w:rsidRDefault="00E0686F" w:rsidP="00E0686F">
      <w:pPr>
        <w:tabs>
          <w:tab w:val="left" w:pos="6915"/>
        </w:tabs>
        <w:ind w:firstLine="420"/>
        <w:rPr>
          <w:szCs w:val="24"/>
        </w:rPr>
      </w:pPr>
      <w:r w:rsidRPr="002C1877">
        <w:t xml:space="preserve">Sprigings et al. </w:t>
      </w:r>
      <w:r w:rsidRPr="002C1877">
        <w:fldChar w:fldCharType="begin" w:fldLock="1"/>
      </w:r>
      <w:r w:rsidRPr="002C1877">
        <w:instrText>ADDIN CSL_CITATION {"citationItems":[{"id":"ITEM-1","itemData":{"ISSN":"1065-8483","author":[{"dropping-particle":"","family":"Sprigings","given":"Eric J","non-dropping-particle":"","parse-names":false,"suffix":""},{"dropping-particle":"","family":"Lanovaz","given":"Joel L","non-dropping-particle":"","parse-names":false,"suffix":""},{"dropping-particle":"","family":"Russell","given":"Keith W","non-dropping-particle":"","parse-names":false,"suffix":""}],"container-title":"Journal of Applied Biomechanics","id":"ITEM-1","issue":"3","issued":{"date-parts":[["2000"]]},"page":"289-300","publisher":"Human Kinetics, Inc.","title":"The role of shoulder and hip torques generated during a backward giant swing on rings","type":"article-journal","volume":"16"},"uris":["http://www.mendeley.com/documents/?uuid=a7bf4317-6f9d-4151-a3c2-82cdbd630c36"]}],"mendeley":{"formattedCitation":"(27)","manualFormatting":"[27]","plainTextFormattedCitation":"(27)","previouslyFormattedCitation":"(27)"},"properties":{"noteIndex":0},"schema":"https://github.com/citation-style-language/schema/raw/master/csl-citation.json"}</w:instrText>
      </w:r>
      <w:r w:rsidRPr="002C1877">
        <w:fldChar w:fldCharType="separate"/>
      </w:r>
      <w:r w:rsidRPr="002C1877">
        <w:rPr>
          <w:noProof/>
        </w:rPr>
        <w:t>[27]</w:t>
      </w:r>
      <w:r w:rsidRPr="002C1877">
        <w:fldChar w:fldCharType="end"/>
      </w:r>
      <w:r w:rsidRPr="002C1877">
        <w:rPr>
          <w:szCs w:val="24"/>
        </w:rPr>
        <w:t xml:space="preserve"> and Yeadon &amp; Brewin </w:t>
      </w:r>
      <w:r w:rsidRPr="002C1877">
        <w:rPr>
          <w:szCs w:val="24"/>
        </w:rPr>
        <w:fldChar w:fldCharType="begin" w:fldLock="1"/>
      </w:r>
      <w:r w:rsidRPr="002C1877">
        <w:rPr>
          <w:szCs w:val="24"/>
        </w:rPr>
        <w:instrText>ADDIN CSL_CITATION {"citationItems":[{"id":"ITEM-1","itemData":{"ISSN":"0021-9290","author":[{"dropping-particle":"","family":"Yeadon","given":"Maurice R","non-dropping-particle":"","parse-names":false,"suffix":""},{"dropping-particle":"","family":"Brewin","given":"Mark A","non-dropping-particle":"","parse-names":false,"suffix":""}],"container-title":"Journal of Biomechanics","id":"ITEM-1","issue":"4","issued":{"date-parts":[["2003"]]},"page":"545-552","publisher":"Elsevier","title":"Optimised performance of the backward longswing on rings","type":"article-journal","volume":"36"},"uris":["http://www.mendeley.com/documents/?uuid=6ca8aba2-7a9a-4126-9d62-72726dd2c8ca"]}],"mendeley":{"formattedCitation":"(26)","manualFormatting":"[26]","plainTextFormattedCitation":"(26)","previouslyFormattedCitation":"(26)"},"properties":{"noteIndex":0},"schema":"https://github.com/citation-style-language/schema/raw/master/csl-citation.json"}</w:instrText>
      </w:r>
      <w:r w:rsidRPr="002C1877">
        <w:rPr>
          <w:szCs w:val="24"/>
        </w:rPr>
        <w:fldChar w:fldCharType="separate"/>
      </w:r>
      <w:r w:rsidRPr="002C1877">
        <w:rPr>
          <w:noProof/>
          <w:szCs w:val="24"/>
        </w:rPr>
        <w:t>[26]</w:t>
      </w:r>
      <w:r w:rsidRPr="002C1877">
        <w:rPr>
          <w:szCs w:val="24"/>
        </w:rPr>
        <w:fldChar w:fldCharType="end"/>
      </w:r>
      <w:r w:rsidRPr="002C1877">
        <w:rPr>
          <w:szCs w:val="24"/>
        </w:rPr>
        <w:t xml:space="preserve"> have tried to analyze and minimize residual swing after performing giant swing, whereas results have showed initial 16° and 2.1°, respectively, to a final 7.5° and 0.8°, respectively. From a practical point of view, in order to successfully conduct a giant swing to stationary handstand, there should be taking in consideration six factors. First, the stable handstand should be provided, second, the lateral movement of the rings at the initial descending phase from a handstand and third, the active role of shoulder joint flexors in pushing the rings backwards shortly after the bottom swing arc. The fourth is the hip extensor muscle </w:t>
      </w:r>
      <w:r w:rsidRPr="002C1877">
        <w:rPr>
          <w:szCs w:val="24"/>
        </w:rPr>
        <w:lastRenderedPageBreak/>
        <w:t xml:space="preserve">activity, as the legs swung upwards past the horizontal, the gymnast power profile is the fifth factor and the performance technique as sixth </w:t>
      </w:r>
      <w:r w:rsidRPr="002C1877">
        <w:rPr>
          <w:rStyle w:val="FootnoteReference"/>
          <w:szCs w:val="24"/>
        </w:rPr>
        <w:fldChar w:fldCharType="begin" w:fldLock="1"/>
      </w:r>
      <w:r w:rsidRPr="002C1877">
        <w:rPr>
          <w:szCs w:val="24"/>
        </w:rPr>
        <w:instrText>ADDIN CSL_CITATION {"citationItems":[{"id":"ITEM-1","itemData":{"ISSN":"1065-8483","author":[{"dropping-particle":"","family":"Sprigings","given":"Eric J","non-dropping-particle":"","parse-names":false,"suffix":""},{"dropping-particle":"","family":"Lanovaz","given":"Joel L","non-dropping-particle":"","parse-names":false,"suffix":""},{"dropping-particle":"","family":"Russell","given":"Keith W","non-dropping-particle":"","parse-names":false,"suffix":""}],"container-title":"Journal of Applied Biomechanics","id":"ITEM-1","issue":"3","issued":{"date-parts":[["2000"]]},"page":"289-300","publisher":"Human Kinetics, Inc.","title":"The role of shoulder and hip torques generated during a backward giant swing on rings","type":"article-journal","volume":"16"},"uris":["http://www.mendeley.com/documents/?uuid=a7bf4317-6f9d-4151-a3c2-82cdbd630c36"]}],"mendeley":{"formattedCitation":"(27)","manualFormatting":"[27]","plainTextFormattedCitation":"(27)","previouslyFormattedCitation":"(27)"},"properties":{"noteIndex":0},"schema":"https://github.com/citation-style-language/schema/raw/master/csl-citation.json"}</w:instrText>
      </w:r>
      <w:r w:rsidRPr="002C1877">
        <w:rPr>
          <w:rStyle w:val="FootnoteReference"/>
          <w:szCs w:val="24"/>
        </w:rPr>
        <w:fldChar w:fldCharType="separate"/>
      </w:r>
      <w:r w:rsidRPr="002C1877">
        <w:rPr>
          <w:noProof/>
          <w:szCs w:val="24"/>
        </w:rPr>
        <w:t>[27]</w:t>
      </w:r>
      <w:r w:rsidRPr="002C1877">
        <w:rPr>
          <w:rStyle w:val="FootnoteReference"/>
          <w:szCs w:val="24"/>
        </w:rPr>
        <w:fldChar w:fldCharType="end"/>
      </w:r>
      <w:r w:rsidRPr="002C1877">
        <w:rPr>
          <w:szCs w:val="24"/>
        </w:rPr>
        <w:t>. Although training modalities may differs from coach to coach, mentioned factors may provide more opportunities for the gymnast to make the performing task properly and successfully.</w:t>
      </w:r>
    </w:p>
    <w:p w:rsidR="00E0686F" w:rsidRDefault="00E0686F" w:rsidP="00E0686F">
      <w:pPr>
        <w:tabs>
          <w:tab w:val="left" w:pos="6915"/>
        </w:tabs>
        <w:ind w:firstLine="420"/>
      </w:pPr>
      <w:r w:rsidRPr="002C1877">
        <w:t xml:space="preserve">The final element on the rings is the dismount and in many cases, it is a crutial skill for scoring the rings routine </w:t>
      </w:r>
      <w:r w:rsidRPr="002C1877">
        <w:fldChar w:fldCharType="begin" w:fldLock="1"/>
      </w:r>
      <w:r w:rsidRPr="002C1877">
        <w:instrText>ADDIN CSL_CITATION {"citationItems":[{"id":"ITEM-1","itemData":{"ISSN":"1855-7171","author":[{"dropping-particle":"","family":"Kolimechkov","given":"Stefan","non-dropping-particle":"","parse-names":false,"suffix":""},{"dropping-particle":"","family":"Yanev","given":"Iliya","non-dropping-particle":"","parse-names":false,"suffix":""},{"dropping-particle":"","family":"Kiuchukov","given":"Iliya","non-dropping-particle":"","parse-names":false,"suffix":""},{"dropping-particle":"","family":"Petrov","given":"Lubomir","non-dropping-particle":"","parse-names":false,"suffix":""}],"container-title":"Science of Gymnastics Journal","id":"ITEM-1","issue":"2","issued":{"date-parts":[["2021"]]},"title":"Kinematic analysis of double back straight somersault and double back straight somersault with full twist on rings","type":"article-journal","volume":"13"},"uris":["http://www.mendeley.com/documents/?uuid=ae94994f-5f39-4803-a2b5-03106ad9c081"]}],"mendeley":{"formattedCitation":"(23)","manualFormatting":"[23]","plainTextFormattedCitation":"(23)","previouslyFormattedCitation":"(23)"},"properties":{"noteIndex":0},"schema":"https://github.com/citation-style-language/schema/raw/master/csl-citation.json"}</w:instrText>
      </w:r>
      <w:r w:rsidRPr="002C1877">
        <w:fldChar w:fldCharType="separate"/>
      </w:r>
      <w:r w:rsidRPr="002C1877">
        <w:rPr>
          <w:noProof/>
        </w:rPr>
        <w:t>[23]</w:t>
      </w:r>
      <w:r w:rsidRPr="002C1877">
        <w:fldChar w:fldCharType="end"/>
      </w:r>
      <w:r w:rsidRPr="002C1877">
        <w:rPr>
          <w:szCs w:val="24"/>
        </w:rPr>
        <w:t xml:space="preserve">. </w:t>
      </w:r>
      <w:r w:rsidRPr="002C1877">
        <w:t xml:space="preserve">Between 2000 and 2019, in 15 Worlds Championships and 5 Olympic Games, 75% of the 62 medallists performed either double back straight somersault or the double back straight somersault with a full twist </w:t>
      </w:r>
      <w:r w:rsidRPr="002C1877">
        <w:fldChar w:fldCharType="begin" w:fldLock="1"/>
      </w:r>
      <w:r w:rsidRPr="002C1877">
        <w:instrText>ADDIN CSL_CITATION {"citationItems":[{"id":"ITEM-1","itemData":{"author":[{"dropping-particle":"","family":"FIG","given":"","non-dropping-particle":"","parse-names":false,"suffix":""}],"container-title":"Laussanne, Switzerland","id":"ITEM-1","issued":{"date-parts":[["2019"]]},"title":"Code of Points 2017-2020 for Men's Artistic Gymnastics Competitions","type":"webpage"},"uris":["http://www.mendeley.com/documents/?uuid=d8a86138-e198-4e79-95b6-035111a6b089"]}],"mendeley":{"formattedCitation":"(44)","manualFormatting":"[44]","plainTextFormattedCitation":"(44)","previouslyFormattedCitation":"(44)"},"properties":{"noteIndex":0},"schema":"https://github.com/citation-style-language/schema/raw/master/csl-citation.json"}</w:instrText>
      </w:r>
      <w:r w:rsidRPr="002C1877">
        <w:fldChar w:fldCharType="separate"/>
      </w:r>
      <w:r w:rsidRPr="002C1877">
        <w:rPr>
          <w:noProof/>
        </w:rPr>
        <w:t>[44]</w:t>
      </w:r>
      <w:r w:rsidRPr="002C1877">
        <w:fldChar w:fldCharType="end"/>
      </w:r>
      <w:r w:rsidRPr="002C1877">
        <w:t xml:space="preserve">. Since the gymnasts body mass multiplies several times while tumbling and dismounting, Nissinen </w:t>
      </w:r>
      <w:r w:rsidRPr="002C1877">
        <w:fldChar w:fldCharType="begin" w:fldLock="1"/>
      </w:r>
      <w:r w:rsidRPr="002C1877">
        <w:instrText>ADDIN CSL_CITATION {"citationItems":[{"id":"ITEM-1","itemData":{"author":[{"dropping-particle":"","family":"Nissinen","given":"M A","non-dropping-particle":"","parse-names":false,"suffix":""}],"container-title":"Biomechanics VIII-B","id":"ITEM-1","issued":{"date-parts":[["1983"]]},"page":"781-786","publisher":"University Park Press Baltimore","title":"Kinematic and kinetic analysis of the giant swing on rings","type":"article-journal"},"uris":["http://www.mendeley.com/documents/?uuid=c490b6bf-df62-4c43-bfee-d75d5640f4e9"]}],"mendeley":{"formattedCitation":"(45)","manualFormatting":"[45]","plainTextFormattedCitation":"(45)","previouslyFormattedCitation":"(45)"},"properties":{"noteIndex":0},"schema":"https://github.com/citation-style-language/schema/raw/master/csl-citation.json"}</w:instrText>
      </w:r>
      <w:r w:rsidRPr="002C1877">
        <w:fldChar w:fldCharType="separate"/>
      </w:r>
      <w:r w:rsidRPr="002C1877">
        <w:rPr>
          <w:noProof/>
        </w:rPr>
        <w:t>[45]</w:t>
      </w:r>
      <w:r w:rsidRPr="002C1877">
        <w:fldChar w:fldCharType="end"/>
      </w:r>
      <w:r w:rsidRPr="002C1877">
        <w:t xml:space="preserve"> have found that peak combined tension measured in the ring cables reaches up to 9 gymnasts bodyweight, whereas </w:t>
      </w:r>
      <w:r w:rsidRPr="002C1877">
        <w:rPr>
          <w:lang w:val="sr-Latn-RS"/>
        </w:rPr>
        <w:t xml:space="preserve">Čuk </w:t>
      </w:r>
      <w:r w:rsidRPr="002C1877">
        <w:rPr>
          <w:lang w:val="sr-Latn-RS"/>
        </w:rPr>
        <w:fldChar w:fldCharType="begin" w:fldLock="1"/>
      </w:r>
      <w:r w:rsidRPr="002C1877">
        <w:rPr>
          <w:lang w:val="sr-Latn-RS"/>
        </w:rPr>
        <w:instrText>ADDIN CSL_CITATION {"citationItems":[{"id":"ITEM-1","itemData":{"ISSN":"1855-7171","author":[{"dropping-particle":"","family":"Čuk","given":"Ivan","non-dropping-particle":"","parse-names":false,"suffix":""}],"container-title":"Science of Gymnastics Journal","id":"ITEM-1","issue":"3","issued":{"date-parts":[["2015"]]},"page":"128","publisher":"University of Ljubljana, Faculty of Sport","title":"Handgrip in artistic gymnastics","type":"article-journal","volume":"7"},"uris":["http://www.mendeley.com/documents/?uuid=7b1af3f1-2550-44c3-b4e3-f252501a0887"]}],"mendeley":{"formattedCitation":"(46)","manualFormatting":"[46]","plainTextFormattedCitation":"(46)","previouslyFormattedCitation":"(46)"},"properties":{"noteIndex":0},"schema":"https://github.com/citation-style-language/schema/raw/master/csl-citation.json"}</w:instrText>
      </w:r>
      <w:r w:rsidRPr="002C1877">
        <w:rPr>
          <w:lang w:val="sr-Latn-RS"/>
        </w:rPr>
        <w:fldChar w:fldCharType="separate"/>
      </w:r>
      <w:r w:rsidRPr="002C1877">
        <w:rPr>
          <w:noProof/>
        </w:rPr>
        <w:t>[</w:t>
      </w:r>
      <w:r w:rsidRPr="002C1877">
        <w:rPr>
          <w:noProof/>
          <w:lang w:val="sr-Latn-RS"/>
        </w:rPr>
        <w:t>46]</w:t>
      </w:r>
      <w:r w:rsidRPr="002C1877">
        <w:rPr>
          <w:lang w:val="sr-Latn-RS"/>
        </w:rPr>
        <w:fldChar w:fldCharType="end"/>
      </w:r>
      <w:r w:rsidRPr="002C1877">
        <w:rPr>
          <w:lang w:val="sr-Latn-RS"/>
        </w:rPr>
        <w:t xml:space="preserve"> have identified that recorded loads are over 13G on the hands. </w:t>
      </w:r>
      <w:r w:rsidRPr="002C1877">
        <w:t xml:space="preserve">Further, the lateral arm movement during descending phase from handstad may minimize the shoulder force, which will reduce damage risk of ligaments and muscles. The bending (arching) must be in certain degrees, since the body movement is depending on the individual gymnasts capabilities </w:t>
      </w:r>
      <w:r w:rsidRPr="002C1877">
        <w:fldChar w:fldCharType="begin" w:fldLock="1"/>
      </w:r>
      <w:r w:rsidRPr="002C1877">
        <w:instrText>ADDIN CSL_CITATION {"citationItems":[{"id":"ITEM-1","itemData":{"ISSN":"0167-9457","author":[{"dropping-particle":"","family":"Brewin","given":"Mark A","non-dropping-particle":"","parse-names":false,"suffix":""},{"dropping-particle":"","family":"Yeadon","given":"Maurice R","non-dropping-particle":"","parse-names":false,"suffix":""},{"dropping-particle":"","family":"Kerwin","given":"David G","non-dropping-particle":"","parse-names":false,"suffix":""}],"container-title":"Human Movement Science","id":"ITEM-1","issue":"5","issued":{"date-parts":[["2000"]]},"page":"717-736","publisher":"Elsevier","title":"Minimising peak forces at the shoulders during backward longswings on rings","type":"article-journal","volume":"19"},"uris":["http://www.mendeley.com/documents/?uuid=a5a11a4e-6ae8-4895-9910-aeba8df86372"]},{"id":"ITEM-2","itemData":{"ISSN":"1855-7171","author":[{"dropping-particle":"","family":"Kolimechkov","given":"Stefan","non-dropping-particle":"","parse-names":false,"suffix":""},{"dropping-particle":"","family":"Yanev","given":"Iliya","non-dropping-particle":"","parse-names":false,"suffix":""},{"dropping-particle":"","family":"Kiuchukov","given":"Iliya","non-dropping-particle":"","parse-names":false,"suffix":""},{"dropping-particle":"","family":"Petrov","given":"Lubomir","non-dropping-particle":"","parse-names":false,"suffix":""}],"container-title":"Science of Gymnastics Journal","id":"ITEM-2","issue":"2","issued":{"date-parts":[["2021"]]},"title":"Kinematic analysis of double back straight somersault and double back straight somersault with full twist on rings","type":"article-journal","volume":"13"},"uris":["http://www.mendeley.com/documents/?uuid=ae94994f-5f39-4803-a2b5-03106ad9c081"]}],"mendeley":{"formattedCitation":"(23,28)","manualFormatting":"[23,28]","plainTextFormattedCitation":"(23,28)","previouslyFormattedCitation":"(23,28)"},"properties":{"noteIndex":0},"schema":"https://github.com/citation-style-language/schema/raw/master/csl-citation.json"}</w:instrText>
      </w:r>
      <w:r w:rsidRPr="002C1877">
        <w:fldChar w:fldCharType="separate"/>
      </w:r>
      <w:r w:rsidRPr="002C1877">
        <w:rPr>
          <w:noProof/>
        </w:rPr>
        <w:t>[23,28]</w:t>
      </w:r>
      <w:r w:rsidRPr="002C1877">
        <w:fldChar w:fldCharType="end"/>
      </w:r>
      <w:r w:rsidRPr="002C1877">
        <w:t xml:space="preserve">. The both mentioned studies </w:t>
      </w:r>
      <w:r w:rsidRPr="002C1877">
        <w:fldChar w:fldCharType="begin" w:fldLock="1"/>
      </w:r>
      <w:r w:rsidRPr="002C1877">
        <w:instrText>ADDIN CSL_CITATION {"citationItems":[{"id":"ITEM-1","itemData":{"ISBN":"146730199X","author":[{"dropping-particle":"","family":"Ningxiang","given":"Zou","non-dropping-particle":"","parse-names":false,"suffix":""},{"dropping-particle":"","family":"Mingxin","given":"Gong","non-dropping-particle":"","parse-names":false,"suffix":""},{"dropping-particle":"","family":"Lejun","given":"Wang","non-dropping-particle":"","parse-names":false,"suffix":""},{"dropping-particle":"","family":"Jiangbo","given":"Wu","non-dropping-particle":"","parse-names":false,"suffix":""}],"container-title":"2012 International Conference on Systems and Informatics (ICSAI2012)","id":"ITEM-1","issued":{"date-parts":[["2012"]]},"page":"1050-1053","publisher":"IEEE","title":"A Kinematic Analysis of Yan Mingyong's landing from Rings after the backward giant swing tuck of 2-circle back flip and a 360° turn","type":"paper-conference"},"uris":["http://www.mendeley.com/documents/?uuid=59a490ee-7851-4bef-816a-a3d176f1032e"]},{"id":"ITEM-2","itemData":{"ISSN":"1855-7171","author":[{"dropping-particle":"","family":"Kolimechkov","given":"Stefan","non-dropping-particle":"","parse-names":false,"suffix":""},{"dropping-particle":"","family":"Yanev","given":"Iliya","non-dropping-particle":"","parse-names":false,"suffix":""},{"dropping-particle":"","family":"Kiuchukov","given":"Iliya","non-dropping-particle":"","parse-names":false,"suffix":""},{"dropping-particle":"","family":"Petrov","given":"Lubomir","non-dropping-particle":"","parse-names":false,"suffix":""}],"container-title":"Science of Gymnastics Journal","id":"ITEM-2","issue":"2","issued":{"date-parts":[["2021"]]},"title":"Kinematic analysis of double back straight somersault and double back straight somersault with full twist on rings","type":"article-journal","volume":"13"},"uris":["http://www.mendeley.com/documents/?uuid=ae94994f-5f39-4803-a2b5-03106ad9c081"]}],"mendeley":{"formattedCitation":"(23,29)","manualFormatting":"[23,29]","plainTextFormattedCitation":"(23,29)","previouslyFormattedCitation":"(23,29)"},"properties":{"noteIndex":0},"schema":"https://github.com/citation-style-language/schema/raw/master/csl-citation.json"}</w:instrText>
      </w:r>
      <w:r w:rsidRPr="002C1877">
        <w:fldChar w:fldCharType="separate"/>
      </w:r>
      <w:r w:rsidRPr="002C1877">
        <w:rPr>
          <w:noProof/>
        </w:rPr>
        <w:t>[23,29]</w:t>
      </w:r>
      <w:r w:rsidRPr="002C1877">
        <w:fldChar w:fldCharType="end"/>
      </w:r>
      <w:r w:rsidRPr="002C1877">
        <w:t xml:space="preserve"> have showed similar results between gymnasts dismounts, such as performing time (2.48s vs. 2.3s, respectively), lateral movement of arms in descending phase from handstand and straight body with hands close to the body, in order to speed up the rotation needed for the twist around the longitudinal axes. According to the authors knowledge, there are no other conducted studies to compare the results, so future ones should be provided.</w:t>
      </w:r>
    </w:p>
    <w:p w:rsidR="00E0686F" w:rsidRPr="00F935BA" w:rsidRDefault="00E0686F" w:rsidP="00E0686F">
      <w:pPr>
        <w:tabs>
          <w:tab w:val="left" w:pos="6915"/>
        </w:tabs>
        <w:ind w:firstLine="420"/>
      </w:pPr>
      <w:r w:rsidRPr="002C1877">
        <w:rPr>
          <w:szCs w:val="24"/>
        </w:rPr>
        <w:t xml:space="preserve">Teaching progressions on any element must be followed by basic pedagogic principles so that each progressive step includes a movement structure similar to the desired element </w:t>
      </w:r>
      <w:r w:rsidRPr="002C1877">
        <w:rPr>
          <w:szCs w:val="24"/>
        </w:rPr>
        <w:fldChar w:fldCharType="begin" w:fldLock="1"/>
      </w:r>
      <w:r w:rsidRPr="002C1877">
        <w:rPr>
          <w:szCs w:val="24"/>
        </w:rPr>
        <w:instrText>ADDIN CSL_CITATION {"citationItems":[{"id":"ITEM-1","itemData":{"ISSN":"1476-3141","author":[{"dropping-particle":"","family":"Kolar","given":"Edvard","non-dropping-particle":"","parse-names":false,"suffix":""},{"dropping-particle":"","family":"Kolar","given":"Katarina Andlovic","non-dropping-particle":"","parse-names":false,"suffix":""},{"dropping-particle":"","family":"Štuhec","given":"Stanko","non-dropping-particle":"","parse-names":false,"suffix":""}],"container-title":"Sports Biomechanics","id":"ITEM-1","issue":"1","issued":{"date-parts":[["2002"]]},"page":"69-78","publisher":"Taylor &amp; Francis","title":"Gymnastics: Comparative analysis of selected Biomechanic characteristics between a support backward swing and support swing for the 1# fr1/4&gt; straddle‐piked forward salto on the parallel bars","type":"article-journal","volume":"1"},"uris":["http://www.mendeley.com/documents/?uuid=6fccc7bc-82d1-4d20-8cdc-15c374248ceb"]}],"mendeley":{"formattedCitation":"(47)","manualFormatting":"[47]","plainTextFormattedCitation":"(47)","previouslyFormattedCitation":"(47)"},"properties":{"noteIndex":0},"schema":"https://github.com/citation-style-language/schema/raw/master/csl-citation.json"}</w:instrText>
      </w:r>
      <w:r w:rsidRPr="002C1877">
        <w:rPr>
          <w:szCs w:val="24"/>
        </w:rPr>
        <w:fldChar w:fldCharType="separate"/>
      </w:r>
      <w:r w:rsidRPr="002C1877">
        <w:rPr>
          <w:noProof/>
          <w:szCs w:val="24"/>
        </w:rPr>
        <w:t>[47]</w:t>
      </w:r>
      <w:r w:rsidRPr="002C1877">
        <w:rPr>
          <w:szCs w:val="24"/>
        </w:rPr>
        <w:fldChar w:fldCharType="end"/>
      </w:r>
      <w:r w:rsidRPr="002C1877">
        <w:rPr>
          <w:szCs w:val="24"/>
        </w:rPr>
        <w:t xml:space="preserve">, which referes to the main practical applicability. As far as the main study </w:t>
      </w:r>
      <w:r w:rsidRPr="002C1877">
        <w:t xml:space="preserve">limitation, it lays in a fact that </w:t>
      </w:r>
      <w:r w:rsidR="00A001BA">
        <w:t xml:space="preserve">authors did not have an absolute access to some other databases, so only databases where authors had a total access was observed. Hence, </w:t>
      </w:r>
      <w:r w:rsidRPr="002C1877">
        <w:t>there were not so many included studies</w:t>
      </w:r>
      <w:r w:rsidR="00A001BA">
        <w:t xml:space="preserve"> from only four databases</w:t>
      </w:r>
      <w:r w:rsidRPr="002C1877">
        <w:t xml:space="preserve">. </w:t>
      </w:r>
      <w:r w:rsidR="00A001BA">
        <w:t>But e</w:t>
      </w:r>
      <w:r w:rsidRPr="002C1877">
        <w:t>ven if we have had set some other inslusion/exclusion criterias, such as elite sample or training experience/competition, the number of included studies will still be small.</w:t>
      </w:r>
    </w:p>
    <w:p w:rsidR="00AB4A9D" w:rsidRDefault="00833FCC">
      <w:pPr>
        <w:pStyle w:val="Heading1"/>
      </w:pPr>
      <w:r>
        <w:t xml:space="preserve">5. </w:t>
      </w:r>
      <w:r w:rsidR="003F15ED">
        <w:t>Conclusion</w:t>
      </w:r>
    </w:p>
    <w:p w:rsidR="00103F85" w:rsidRDefault="00E0686F" w:rsidP="00103F85">
      <w:pPr>
        <w:tabs>
          <w:tab w:val="left" w:pos="6915"/>
        </w:tabs>
        <w:ind w:firstLine="420"/>
      </w:pPr>
      <w:bookmarkStart w:id="1" w:name="_Toc41411410"/>
      <w:bookmarkStart w:id="2" w:name="_Toc41410506"/>
      <w:bookmarkStart w:id="3" w:name="_Toc41410307"/>
      <w:r w:rsidRPr="002C1877">
        <w:t xml:space="preserve">Considering the great prospect of elements on the rings, any element can be upgraded. Likewise, having in mind the originality and creativity of gymnasts and coaches as well, the ability of upgrading the elements is widely expanded in recent years. This fact is confirmed based on the 146 recognized elements, whereas a lot of the them are named based on the gymnasts last names. But based on the included and presented elements, which were 7 in total, there is a scarce of studies that have evaluated swings to strength hold elements and dismounts. </w:t>
      </w:r>
      <w:r w:rsidR="00103F85">
        <w:t>Hence, as a good starting point for future directions, the</w:t>
      </w:r>
      <w:r w:rsidR="00D379A4">
        <w:t xml:space="preserve"> studies about mentioned </w:t>
      </w:r>
      <w:r w:rsidR="00103F85">
        <w:t xml:space="preserve">elements </w:t>
      </w:r>
      <w:r w:rsidR="00103F85" w:rsidRPr="00CC4ACF">
        <w:t xml:space="preserve">should </w:t>
      </w:r>
      <w:r w:rsidR="00103F85">
        <w:t xml:space="preserve">be </w:t>
      </w:r>
      <w:r w:rsidR="00D379A4">
        <w:t xml:space="preserve">created and </w:t>
      </w:r>
      <w:r w:rsidR="00103F85" w:rsidRPr="00CC4ACF">
        <w:t>evaluate</w:t>
      </w:r>
      <w:r w:rsidR="001D7980">
        <w:t>d</w:t>
      </w:r>
      <w:r w:rsidR="002B4EDA">
        <w:t xml:space="preserve"> </w:t>
      </w:r>
      <w:r w:rsidR="00103F85">
        <w:t xml:space="preserve">more. </w:t>
      </w:r>
    </w:p>
    <w:bookmarkEnd w:id="1"/>
    <w:bookmarkEnd w:id="2"/>
    <w:bookmarkEnd w:id="3"/>
    <w:p w:rsidR="00753147" w:rsidRDefault="00833FCC" w:rsidP="008510B0">
      <w:pPr>
        <w:pStyle w:val="af"/>
      </w:pPr>
      <w:r>
        <w:t>References</w:t>
      </w:r>
      <w:bookmarkStart w:id="4" w:name="_bookmark4"/>
      <w:bookmarkEnd w:id="4"/>
    </w:p>
    <w:p w:rsidR="00E0686F" w:rsidRPr="00E0686F" w:rsidRDefault="00E0686F" w:rsidP="00753147">
      <w:pPr>
        <w:pStyle w:val="MDPI71References"/>
        <w:numPr>
          <w:ilvl w:val="0"/>
          <w:numId w:val="6"/>
        </w:numPr>
        <w:spacing w:line="240" w:lineRule="auto"/>
        <w:rPr>
          <w:rFonts w:ascii="Times New Roman" w:hAnsi="Times New Roman"/>
          <w:sz w:val="20"/>
        </w:rPr>
      </w:pPr>
      <w:r w:rsidRPr="00E0686F">
        <w:rPr>
          <w:rFonts w:ascii="Times New Roman" w:hAnsi="Times New Roman"/>
          <w:b/>
          <w:sz w:val="20"/>
        </w:rPr>
        <w:fldChar w:fldCharType="begin" w:fldLock="1"/>
      </w:r>
      <w:r w:rsidRPr="00E0686F">
        <w:rPr>
          <w:rFonts w:ascii="Times New Roman" w:hAnsi="Times New Roman"/>
          <w:b/>
          <w:sz w:val="20"/>
        </w:rPr>
        <w:instrText xml:space="preserve">ADDIN Mendeley Bibliography CSL_BIBLIOGRAPHY </w:instrText>
      </w:r>
      <w:r w:rsidRPr="00E0686F">
        <w:rPr>
          <w:rFonts w:ascii="Times New Roman" w:hAnsi="Times New Roman"/>
          <w:b/>
          <w:sz w:val="20"/>
        </w:rPr>
        <w:fldChar w:fldCharType="separate"/>
      </w:r>
      <w:r w:rsidRPr="00E0686F">
        <w:rPr>
          <w:rFonts w:ascii="Times New Roman" w:hAnsi="Times New Roman"/>
          <w:noProof/>
          <w:sz w:val="20"/>
        </w:rPr>
        <w:t xml:space="preserve">Albuquerque PA de, Farinatti P de TV. Development and validation of a new system for talent selection in female artistic gymnastics: the PDGO Battery. Rev Bras Med do Esporte. 2007;13:157–64. </w:t>
      </w:r>
    </w:p>
    <w:p w:rsidR="00753147" w:rsidRDefault="00E0686F" w:rsidP="00753147">
      <w:pPr>
        <w:pStyle w:val="MDPI71References"/>
        <w:numPr>
          <w:ilvl w:val="0"/>
          <w:numId w:val="6"/>
        </w:numPr>
        <w:spacing w:line="240" w:lineRule="auto"/>
        <w:rPr>
          <w:rFonts w:ascii="Times New Roman" w:hAnsi="Times New Roman"/>
          <w:sz w:val="20"/>
        </w:rPr>
      </w:pPr>
      <w:r w:rsidRPr="00E0686F">
        <w:rPr>
          <w:rFonts w:ascii="Times New Roman" w:hAnsi="Times New Roman"/>
          <w:noProof/>
          <w:sz w:val="20"/>
        </w:rPr>
        <w:t xml:space="preserve">Bradshaw E, Hume P, Calton M, Aisbett B. Reliability and variability of day-to-day vault training measures in artistic gymnastics. Sport Biomech. 2010;9(2):79–97.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Bressel E, Yonker JC, Kras J, Heath EM. Comparison of static and dynamic balance in female collegiate soccer, basketball, and gymnastics athletes. J Athl Train. 2007;42(1):42.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Gautier G, Thouvarecq R, Larue J. Influence of experience on postural control: effect of expertise in gymnastics. J Mot Behav. 2008;40(5):400–8.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Sleeper MD, Kenyon LK, Elliott JM, Cheng MS. Measuring sport-specific physical abilities in male gymnasts: the men’s gymnastics functional measurement tool. Int J Sports Phys Ther. 2016;11(7):1082.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Minganti C, Capranica L, Meeusen R, Amici S, Piacentini MF. The validity of sessionrating of perceived exertion method for quantifying training load in teamgym. J Strength Cond Res. 2010;24(11):3063–8.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Mellos V, Dallas G, Kirialanis P, Fiorilli G, Di Cagno A. Comparison between physical conditioning status and improvement in artistic gymnasts and non-athletes peers. Sci Gymnast J. 2014;6(1):33–43.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lastRenderedPageBreak/>
        <w:t xml:space="preserve">Bassa H, Michailidis H, Kotzamanidis C, Siatras T, Chatzikotoulas K. Concentric and eccentric isokinetic knee torque in pre-pubeiscent male gymnasts. J Hum Mov Stud. 2002;42(3):213–27.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French DN, Gómez AL, Volek JS, Rubin MR, Ratamess NA, Sharman MJ, et al. Longitudinal tracking of muscular power changes of NCAA Division I collegiate women gymnasts. J Strength Cond Res. 2004;18(1):101–7.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Gorosito MA. Relative strength requirement for Swallow element proper execution: A predictive test. Sci Gymnast J. 2013;5(3):59.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Sommer C. Building the Gymnastic Body: The science of gymnastics strength training. Olympic Bodies, LLC; 2008.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Costill DL, Kenney WL, Wilmore J. Physiology of sport and exercise. Vol. 448. Human kinetics Champaign, IL, USA; 2008.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Schärer C, Tacchelli L, Göpfert B, Gross M, Lüthy F, Taube W, et al. Specific eccentric–isokinetic cluster training improves static strength elements on rings for elite gymnasts. Int J Environ Res P</w:t>
      </w:r>
      <w:r w:rsidR="00753147">
        <w:rPr>
          <w:rFonts w:ascii="Times New Roman" w:hAnsi="Times New Roman"/>
          <w:noProof/>
          <w:sz w:val="20"/>
        </w:rPr>
        <w:t>ublic Health. 2019;16(22):4571.</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FIG. Code of Points 2017-2020 for Men’s Artistic Gymnastics Competitions. Laussanne, Switzerland. 2017.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FIG. Code of Points 2022-2024 for Men’s Artistic Gymnastics Competitions [Internet]. Laussanne, Switzerland. 2022. Available from: https://www.gymnastics.sport/publicdir/rules/files/en_ 2022-2024 MAG CoP.pdf</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Prassas S, Sanders R. Biomechanical research in gymnastics: What is done, what is needed. In: Applied Proceedings of the XVII International Symposium on Biomechanics in Sports: Acrobatics. 1999. p. 1–10.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Prassas S, Kwon Y, Sands WA. Biomechanical research in artistic gymnastics: a review. Sport Biomech. 2006;5(2):261–91.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Page MJ, McKenzie JE, Bossuyt PM, Boutron I, Hoffmann TC, Mulrow CD, et al. The PRISMA 2020 statement: an updated guideline for reporting systematic reviews. Bmj. 2021;372.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Rethlefsen ML, Kirtley S, Waffenschmidt S, Ayala AP, Moher D, Page MJ, et al. PRISMA-S: an extension to the PRISMA statement for reporting literature searches in systematic reviews. Syst Rev. 2021;10(1):1–19.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de Morton NA. The PEDro scale is a valid measure of the methodological quality of clinical trials: a demographic study. Aust J Physiother. 2009;55(2):129–33.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Maher CG, Sherrington C, Herbert RD, Moseley AM, Elkins M. Reliability of the PEDro scale for rating quality of randomized controlled trials. Phys Ther. 2003;83(8):713–21.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Dunlavy JK, Sands WA, McNeal JR, Stone MH, Smith SL, Jemni M, et al. Strength performance assessment in a simulated men’s gymnastics still rings cross. J Sports Sci Med. 2007;6(1):93.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Kolimechkov S, Yanev I, Kiuchukov I, Petrov L. Kinematic analysis of double back straight somersault and double back straight somersault with full twist on rings. Sci Gymnast J. 2021;13(2).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Campos MJA, Côrte-Real C, Lebre E. The importance of the „Swallow “on structuring and valuing rings exercises of Men’s Artistic Gymnastics. Palestrica Third Millenn Civiliz Sport. 2009;10(2).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Campos M, Sousa F, Lebre E. The swallow element and muscular activations. In: ISBS-Conference Proceedings Archive. 2011. Yeadon MR, Brewin MA. Optimised performance of the backward longswing on rings. J Biomech. 2003;36(4):545–52.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Sprigings EJ, Lanovaz JL, Russell KW. The role of shoulder and hip torques generated during a backward giant swing on rings. J Appl Biomech. 2000;16(3):289–300.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Brewin MA, Yeadon MR, Kerwin DG. Minimising peak forces at the shoulders during backward longswings on rings. Hum Mov Sci. 2000;19(5):717–36.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Ningxiang Z, Mingxin G, Lejun W, Jiangbo W. A Kinematic Analysis of Yan Mingyong’s landing from Rings after the backward giant swing tuck of 2-circle back flip and a 360° turn. In: 2012 International Conference on Systems and Informatics (ICS</w:t>
      </w:r>
      <w:r w:rsidR="00753147">
        <w:rPr>
          <w:rFonts w:ascii="Times New Roman" w:hAnsi="Times New Roman"/>
          <w:noProof/>
          <w:sz w:val="20"/>
        </w:rPr>
        <w:t>AI2012). IEEE; 2012. p. 1050–3.</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Schärer C, Hübner K. Accuracy of prediction of maximum resistance at increased holding times based on a three seconds maximum static strength test of the three main strength elements on rings. Sci Gymnast J. 2016;8(2):125–34.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Hübner K, Schärer C. Relationship between the Elements Swallow, Support Scale and Iron Cross on rings and their specific preconditioning strengthening exercises. Sci Gymnast J. 2015;7(3):59–68.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Bango Melcon B, Sillero Quintana M, Grande Rodriguez I. New tool to assess the force production in the swallow. Sci Gymnast J. 2013;5(3):47–58.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Bernasconi SM, Tordi NR, Parratte BM, Rouillon J-DR. Can shoulder muscle coordination during the support scale at ring height be replicated during training exercises in gymnastics? J Strength Cond Res. 2009;23(8):2381–8.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Bernasconi S, Tordi N, Parratte B, Rouillon J-D, Monnier G. Effects of two devices on the surface EMG responses of eleven shoulder muscles during Azarian in gymnastics. J Strength Cond Res. 2006;20:53–7.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Bernasconi S, Tordi N, Parratte B, Rouillon JD, Monnier G. Surface electromyography of nine shoulder muscles in two iron cross conditions in gymnastics. J Sport Med Phys Fit. 2004;44(3):240–5.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Kamimura T, Ikuta Y. Evaluation of grip strength with a sustained maximal isometric contraction for 6 and 10 seconds. J Rehabil Med. 2001;33(5):225–9.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lastRenderedPageBreak/>
        <w:t xml:space="preserve">Rozand V, Cattagni T, Theurel J, Martin A, Lepers R. Neuromuscular fatigue following isometric contractions with similar torque time integral. Int J Sports Med. 2015;36(01):35–40.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Starischka S. Überlegungen zur Erstellung disziplinspezifischer Krafttrainingsprogramme im Kunstturnen. Leistungssport. 1978;8(5):405–11.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Starischka S, Tschiene P. Anmerkungen zur Trainingssteuerung. Leistungssport. 1977;7(4):275–81.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Reynolds JM, Gordon TJ, Robergs RA. Prediction of one repetition maximum strength from multiple repetition maximum testing and anthropometry. J Strength Cond Res. 2006;20(3):584–92.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Brechue WF, Mayhew JL. Upper-body work capacity and 1RM prediction are unaltered by increasing muscular strength in college football players. J Strength Cond Res. 2009;23(9):2477–86.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Sprigings EJ, Lanovaz JL, Watson LG, Russell KW. Removing swing from a handstand on rings using a properly timed backward giant circle: a simulation solution. J Biomech. 1997;31(1):27–35.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FIG. Code of Points 1997-2000 for Men’s Artistic Gymnastics Competitions. Laussanne, Switzerland. 1997.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FIG. Code of Points 2017-2020 for Men’s Artistic Gymnastics Competitions. Laussanne, Switzerland. 2019.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Nissinen MA. Kinematic and kinetic analysis of the giant swing on rings. Biomech VIII-B. 1983;781–6. </w:t>
      </w:r>
    </w:p>
    <w:p w:rsid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Čuk I. Handgrip in artistic gymnastics. Sci Gymnast J. 2015;7(3):128. </w:t>
      </w:r>
    </w:p>
    <w:p w:rsidR="00E0686F" w:rsidRPr="00753147" w:rsidRDefault="00E0686F" w:rsidP="00753147">
      <w:pPr>
        <w:pStyle w:val="MDPI71References"/>
        <w:numPr>
          <w:ilvl w:val="0"/>
          <w:numId w:val="6"/>
        </w:numPr>
        <w:spacing w:line="240" w:lineRule="auto"/>
        <w:rPr>
          <w:rFonts w:ascii="Times New Roman" w:hAnsi="Times New Roman"/>
          <w:sz w:val="20"/>
        </w:rPr>
      </w:pPr>
      <w:r w:rsidRPr="00753147">
        <w:rPr>
          <w:rFonts w:ascii="Times New Roman" w:hAnsi="Times New Roman"/>
          <w:noProof/>
          <w:sz w:val="20"/>
        </w:rPr>
        <w:t xml:space="preserve">Kolar E, Kolar KA, Štuhec S. Gymnastics: Comparative analysis of selected Biomechanic characteristics between a support backward swing and support swing for the 1# fr1/4&gt; straddle‐piked forward salto on the parallel bars. Sport Biomech. 2002;1(1):69–78. </w:t>
      </w:r>
    </w:p>
    <w:p w:rsidR="00E0686F" w:rsidRPr="00E0686F" w:rsidRDefault="00E0686F" w:rsidP="00753147">
      <w:pPr>
        <w:autoSpaceDE w:val="0"/>
        <w:autoSpaceDN w:val="0"/>
        <w:adjustRightInd w:val="0"/>
        <w:ind w:firstLineChars="0" w:firstLine="0"/>
        <w:rPr>
          <w:sz w:val="20"/>
          <w:szCs w:val="20"/>
        </w:rPr>
      </w:pPr>
      <w:r w:rsidRPr="00E0686F">
        <w:rPr>
          <w:b/>
          <w:sz w:val="20"/>
          <w:szCs w:val="20"/>
        </w:rPr>
        <w:fldChar w:fldCharType="end"/>
      </w:r>
    </w:p>
    <w:sectPr w:rsidR="00E0686F" w:rsidRPr="00E0686F">
      <w:footerReference w:type="default" r:id="rId17"/>
      <w:headerReference w:type="first" r:id="rId18"/>
      <w:footerReference w:type="first" r:id="rId19"/>
      <w:pgSz w:w="11906" w:h="16838"/>
      <w:pgMar w:top="1440" w:right="1080" w:bottom="1440" w:left="1080" w:header="1134" w:footer="567" w:gutter="0"/>
      <w:lnNumType w:countBy="1" w:restart="continuous"/>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4C9" w:rsidRDefault="001E64C9">
      <w:pPr>
        <w:ind w:firstLine="420"/>
      </w:pPr>
      <w:r>
        <w:separator/>
      </w:r>
    </w:p>
  </w:endnote>
  <w:endnote w:type="continuationSeparator" w:id="0">
    <w:p w:rsidR="001E64C9" w:rsidRDefault="001E64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imbusRomNo9L">
    <w:charset w:val="00"/>
    <w:family w:val="auto"/>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pStyle w:val="IMR-"/>
      <w:pBdr>
        <w:top w:val="none" w:sz="0" w:space="0" w:color="auto"/>
      </w:pBdr>
      <w:adjustRightInd w:val="0"/>
      <w:spacing w:beforeLines="50" w:before="120" w:after="0"/>
      <w:rPr>
        <w:rFonts w:eastAsiaTheme="minor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pStyle w:val="Footer"/>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ind w:firstLineChars="0" w:firstLine="0"/>
      <w:rPr>
        <w:rFonts w:eastAsiaTheme="minorEastAsia"/>
      </w:rPr>
    </w:pPr>
    <w:r>
      <w:rPr>
        <w:rFonts w:eastAsiaTheme="minorEastAsia" w:hint="eastAsia"/>
        <w:noProof/>
        <w:lang w:val="en-GB" w:eastAsia="en-GB"/>
      </w:rPr>
      <w:drawing>
        <wp:anchor distT="0" distB="0" distL="114300" distR="114300" simplePos="0" relativeHeight="251665408" behindDoc="0" locked="0" layoutInCell="1" allowOverlap="1">
          <wp:simplePos x="0" y="0"/>
          <wp:positionH relativeFrom="column">
            <wp:posOffset>-392611</wp:posOffset>
          </wp:positionH>
          <wp:positionV relativeFrom="paragraph">
            <wp:posOffset>-297825</wp:posOffset>
          </wp:positionV>
          <wp:extent cx="6188710" cy="48133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R首页底部.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88710" cy="4813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4C9" w:rsidRDefault="001E64C9">
      <w:pPr>
        <w:ind w:firstLine="420"/>
      </w:pPr>
      <w:r>
        <w:separator/>
      </w:r>
    </w:p>
  </w:footnote>
  <w:footnote w:type="continuationSeparator" w:id="0">
    <w:p w:rsidR="001E64C9" w:rsidRDefault="001E64C9">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pStyle w:val="Header"/>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pStyle w:val="Header"/>
      <w:pBdr>
        <w:bottom w:val="none" w:sz="0" w:space="0" w:color="auto"/>
      </w:pBdr>
      <w:ind w:right="720" w:firstLineChars="0" w:firstLine="0"/>
      <w:jc w:val="both"/>
      <w:rPr>
        <w:rFonts w:eastAsiaTheme="minorEastAsia"/>
      </w:rPr>
    </w:pPr>
    <w:r>
      <w:rPr>
        <w:rFonts w:eastAsiaTheme="minorEastAsia"/>
        <w:noProof/>
        <w:lang w:val="en-GB" w:eastAsia="en-GB"/>
      </w:rPr>
      <w:drawing>
        <wp:anchor distT="0" distB="0" distL="114300" distR="114300" simplePos="0" relativeHeight="251666432" behindDoc="0" locked="0" layoutInCell="1" allowOverlap="1" wp14:anchorId="72A48EE5" wp14:editId="2E0AE004">
          <wp:simplePos x="0" y="0"/>
          <wp:positionH relativeFrom="margin">
            <wp:align>left</wp:align>
          </wp:positionH>
          <wp:positionV relativeFrom="paragraph">
            <wp:posOffset>-208366</wp:posOffset>
          </wp:positionV>
          <wp:extent cx="1130815" cy="403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MH_Full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815" cy="4032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9" w:rsidRDefault="001E64C9">
    <w:pPr>
      <w:pStyle w:val="Header"/>
      <w:pBdr>
        <w:bottom w:val="none" w:sz="0" w:space="0" w:color="auto"/>
      </w:pBdr>
      <w:ind w:right="720" w:firstLineChars="0" w:firstLine="0"/>
      <w:jc w:val="both"/>
      <w:rPr>
        <w:rFonts w:eastAsiaTheme="minorEastAsia"/>
      </w:rPr>
    </w:pPr>
    <w:r>
      <w:rPr>
        <w:rFonts w:eastAsiaTheme="minorEastAsia"/>
        <w:noProof/>
        <w:lang w:val="en-GB" w:eastAsia="en-GB"/>
      </w:rPr>
      <w:drawing>
        <wp:anchor distT="0" distB="0" distL="114300" distR="114300" simplePos="0" relativeHeight="251668480" behindDoc="0" locked="0" layoutInCell="1" allowOverlap="1" wp14:anchorId="21A5A595" wp14:editId="6ACE03FE">
          <wp:simplePos x="0" y="0"/>
          <wp:positionH relativeFrom="margin">
            <wp:align>left</wp:align>
          </wp:positionH>
          <wp:positionV relativeFrom="paragraph">
            <wp:posOffset>-205352</wp:posOffset>
          </wp:positionV>
          <wp:extent cx="1130815" cy="4032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MH_Full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815" cy="403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12E6D"/>
    <w:multiLevelType w:val="hybridMultilevel"/>
    <w:tmpl w:val="89DE7AB4"/>
    <w:lvl w:ilvl="0" w:tplc="F270330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D7FFE"/>
    <w:multiLevelType w:val="hybridMultilevel"/>
    <w:tmpl w:val="25CC59C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D6425F"/>
    <w:multiLevelType w:val="hybridMultilevel"/>
    <w:tmpl w:val="FCFA9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B00C21"/>
    <w:multiLevelType w:val="multilevel"/>
    <w:tmpl w:val="43B00C21"/>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start w:val="1"/>
      <w:numFmt w:val="bullet"/>
      <w:lvlText w:val=""/>
      <w:lvlJc w:val="left"/>
      <w:pPr>
        <w:ind w:left="1660" w:hanging="420"/>
      </w:pPr>
      <w:rPr>
        <w:rFonts w:ascii="Wingdings" w:hAnsi="Wingdings" w:hint="default"/>
      </w:rPr>
    </w:lvl>
    <w:lvl w:ilvl="3">
      <w:start w:val="1"/>
      <w:numFmt w:val="bullet"/>
      <w:lvlText w:val=""/>
      <w:lvlJc w:val="left"/>
      <w:pPr>
        <w:ind w:left="2080" w:hanging="420"/>
      </w:pPr>
      <w:rPr>
        <w:rFonts w:ascii="Wingdings" w:hAnsi="Wingdings" w:hint="default"/>
      </w:rPr>
    </w:lvl>
    <w:lvl w:ilvl="4">
      <w:start w:val="1"/>
      <w:numFmt w:val="bullet"/>
      <w:lvlText w:val=""/>
      <w:lvlJc w:val="left"/>
      <w:pPr>
        <w:ind w:left="2500" w:hanging="420"/>
      </w:pPr>
      <w:rPr>
        <w:rFonts w:ascii="Wingdings" w:hAnsi="Wingdings" w:hint="default"/>
      </w:rPr>
    </w:lvl>
    <w:lvl w:ilvl="5">
      <w:start w:val="1"/>
      <w:numFmt w:val="bullet"/>
      <w:lvlText w:val=""/>
      <w:lvlJc w:val="left"/>
      <w:pPr>
        <w:ind w:left="2920" w:hanging="420"/>
      </w:pPr>
      <w:rPr>
        <w:rFonts w:ascii="Wingdings" w:hAnsi="Wingdings" w:hint="default"/>
      </w:rPr>
    </w:lvl>
    <w:lvl w:ilvl="6">
      <w:start w:val="1"/>
      <w:numFmt w:val="bullet"/>
      <w:lvlText w:val=""/>
      <w:lvlJc w:val="left"/>
      <w:pPr>
        <w:ind w:left="3340" w:hanging="420"/>
      </w:pPr>
      <w:rPr>
        <w:rFonts w:ascii="Wingdings" w:hAnsi="Wingdings" w:hint="default"/>
      </w:rPr>
    </w:lvl>
    <w:lvl w:ilvl="7">
      <w:start w:val="1"/>
      <w:numFmt w:val="bullet"/>
      <w:lvlText w:val=""/>
      <w:lvlJc w:val="left"/>
      <w:pPr>
        <w:ind w:left="3760" w:hanging="420"/>
      </w:pPr>
      <w:rPr>
        <w:rFonts w:ascii="Wingdings" w:hAnsi="Wingdings" w:hint="default"/>
      </w:rPr>
    </w:lvl>
    <w:lvl w:ilvl="8">
      <w:start w:val="1"/>
      <w:numFmt w:val="bullet"/>
      <w:lvlText w:val=""/>
      <w:lvlJc w:val="left"/>
      <w:pPr>
        <w:ind w:left="4180" w:hanging="420"/>
      </w:pPr>
      <w:rPr>
        <w:rFonts w:ascii="Wingdings" w:hAnsi="Wingdings" w:hint="default"/>
      </w:rPr>
    </w:lvl>
  </w:abstractNum>
  <w:abstractNum w:abstractNumId="5">
    <w:nsid w:val="4D661A69"/>
    <w:multiLevelType w:val="multilevel"/>
    <w:tmpl w:val="4D661A69"/>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MR202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9ez5xwsxdxpnepsrvpzfs9vtev2sf5tdd0&quot;&gt;我的EndNote库&lt;record-ids&gt;&lt;item&gt;2&lt;/item&gt;&lt;item&gt;16&lt;/item&gt;&lt;item&gt;34&lt;/item&gt;&lt;item&gt;37&lt;/item&gt;&lt;item&gt;40&lt;/item&gt;&lt;item&gt;122&lt;/item&gt;&lt;item&gt;144&lt;/item&gt;&lt;item&gt;150&lt;/item&gt;&lt;item&gt;155&lt;/item&gt;&lt;item&gt;161&lt;/item&gt;&lt;item&gt;184&lt;/item&gt;&lt;item&gt;202&lt;/item&gt;&lt;item&gt;207&lt;/item&gt;&lt;item&gt;218&lt;/item&gt;&lt;item&gt;221&lt;/item&gt;&lt;/record-ids&gt;&lt;/item&gt;&lt;/Libraries&gt;"/>
  </w:docVars>
  <w:rsids>
    <w:rsidRoot w:val="009E5ACC"/>
    <w:rsid w:val="00004286"/>
    <w:rsid w:val="00006B0E"/>
    <w:rsid w:val="00017A4A"/>
    <w:rsid w:val="000208F9"/>
    <w:rsid w:val="000232E3"/>
    <w:rsid w:val="00024B7C"/>
    <w:rsid w:val="0003257C"/>
    <w:rsid w:val="00033668"/>
    <w:rsid w:val="00036C4F"/>
    <w:rsid w:val="00041CE3"/>
    <w:rsid w:val="00043685"/>
    <w:rsid w:val="00046D35"/>
    <w:rsid w:val="00052239"/>
    <w:rsid w:val="00053398"/>
    <w:rsid w:val="00053C56"/>
    <w:rsid w:val="0006111D"/>
    <w:rsid w:val="00065B30"/>
    <w:rsid w:val="000663FD"/>
    <w:rsid w:val="00071890"/>
    <w:rsid w:val="000943D4"/>
    <w:rsid w:val="000946FB"/>
    <w:rsid w:val="00095771"/>
    <w:rsid w:val="00097868"/>
    <w:rsid w:val="000A172C"/>
    <w:rsid w:val="000A3A7B"/>
    <w:rsid w:val="000A4065"/>
    <w:rsid w:val="000B43A5"/>
    <w:rsid w:val="000C1858"/>
    <w:rsid w:val="000D0231"/>
    <w:rsid w:val="000D56E8"/>
    <w:rsid w:val="000E05CB"/>
    <w:rsid w:val="000E119C"/>
    <w:rsid w:val="000E37DA"/>
    <w:rsid w:val="000E6DB2"/>
    <w:rsid w:val="000E7B5B"/>
    <w:rsid w:val="000F16DA"/>
    <w:rsid w:val="000F28CA"/>
    <w:rsid w:val="00100DC0"/>
    <w:rsid w:val="00103F85"/>
    <w:rsid w:val="001044F9"/>
    <w:rsid w:val="0010540D"/>
    <w:rsid w:val="0010669B"/>
    <w:rsid w:val="001069F4"/>
    <w:rsid w:val="00115364"/>
    <w:rsid w:val="00117004"/>
    <w:rsid w:val="001222F2"/>
    <w:rsid w:val="00136947"/>
    <w:rsid w:val="0014238F"/>
    <w:rsid w:val="001429E9"/>
    <w:rsid w:val="00145C81"/>
    <w:rsid w:val="00150522"/>
    <w:rsid w:val="00152451"/>
    <w:rsid w:val="00160147"/>
    <w:rsid w:val="00161EC3"/>
    <w:rsid w:val="001624FE"/>
    <w:rsid w:val="001650BD"/>
    <w:rsid w:val="001667E8"/>
    <w:rsid w:val="00166F5A"/>
    <w:rsid w:val="0017180E"/>
    <w:rsid w:val="0017632A"/>
    <w:rsid w:val="00177274"/>
    <w:rsid w:val="001947CD"/>
    <w:rsid w:val="00195416"/>
    <w:rsid w:val="0019718E"/>
    <w:rsid w:val="001A2BCE"/>
    <w:rsid w:val="001A6DED"/>
    <w:rsid w:val="001B12BC"/>
    <w:rsid w:val="001B4A5A"/>
    <w:rsid w:val="001B4FF6"/>
    <w:rsid w:val="001B563D"/>
    <w:rsid w:val="001D0E7B"/>
    <w:rsid w:val="001D2B65"/>
    <w:rsid w:val="001D3AD3"/>
    <w:rsid w:val="001D53A4"/>
    <w:rsid w:val="001D7980"/>
    <w:rsid w:val="001E11C8"/>
    <w:rsid w:val="001E4F96"/>
    <w:rsid w:val="001E64C9"/>
    <w:rsid w:val="001E6DA0"/>
    <w:rsid w:val="001F4787"/>
    <w:rsid w:val="001F62EB"/>
    <w:rsid w:val="00212523"/>
    <w:rsid w:val="0021561A"/>
    <w:rsid w:val="0021587A"/>
    <w:rsid w:val="00217EB8"/>
    <w:rsid w:val="0022621A"/>
    <w:rsid w:val="00226416"/>
    <w:rsid w:val="00241CF6"/>
    <w:rsid w:val="00246CEC"/>
    <w:rsid w:val="00251E63"/>
    <w:rsid w:val="00252EA2"/>
    <w:rsid w:val="00266B3B"/>
    <w:rsid w:val="00290CA6"/>
    <w:rsid w:val="00293710"/>
    <w:rsid w:val="00296CBD"/>
    <w:rsid w:val="00297DC6"/>
    <w:rsid w:val="002A54B2"/>
    <w:rsid w:val="002B3346"/>
    <w:rsid w:val="002B339E"/>
    <w:rsid w:val="002B37AC"/>
    <w:rsid w:val="002B4EDA"/>
    <w:rsid w:val="002C202A"/>
    <w:rsid w:val="002D49DF"/>
    <w:rsid w:val="002D78B6"/>
    <w:rsid w:val="00307D22"/>
    <w:rsid w:val="003121EF"/>
    <w:rsid w:val="0032065F"/>
    <w:rsid w:val="003207A5"/>
    <w:rsid w:val="00322254"/>
    <w:rsid w:val="00322547"/>
    <w:rsid w:val="00324935"/>
    <w:rsid w:val="00324CA0"/>
    <w:rsid w:val="00324D37"/>
    <w:rsid w:val="003257E1"/>
    <w:rsid w:val="00334991"/>
    <w:rsid w:val="0033681B"/>
    <w:rsid w:val="00344137"/>
    <w:rsid w:val="00345A68"/>
    <w:rsid w:val="0034640D"/>
    <w:rsid w:val="00351057"/>
    <w:rsid w:val="00352C75"/>
    <w:rsid w:val="00354CAC"/>
    <w:rsid w:val="0035644D"/>
    <w:rsid w:val="00362047"/>
    <w:rsid w:val="00371F6D"/>
    <w:rsid w:val="0037287A"/>
    <w:rsid w:val="00373506"/>
    <w:rsid w:val="003850A7"/>
    <w:rsid w:val="00395650"/>
    <w:rsid w:val="003A5749"/>
    <w:rsid w:val="003B3D9A"/>
    <w:rsid w:val="003B3ED8"/>
    <w:rsid w:val="003B4A74"/>
    <w:rsid w:val="003B697E"/>
    <w:rsid w:val="003B6F47"/>
    <w:rsid w:val="003C0226"/>
    <w:rsid w:val="003C17E5"/>
    <w:rsid w:val="003D528F"/>
    <w:rsid w:val="003E0EAD"/>
    <w:rsid w:val="003E2710"/>
    <w:rsid w:val="003E62F7"/>
    <w:rsid w:val="003F15ED"/>
    <w:rsid w:val="003F3879"/>
    <w:rsid w:val="003F637F"/>
    <w:rsid w:val="004140F4"/>
    <w:rsid w:val="0042115C"/>
    <w:rsid w:val="00422F13"/>
    <w:rsid w:val="00426FA4"/>
    <w:rsid w:val="0043026B"/>
    <w:rsid w:val="00433E44"/>
    <w:rsid w:val="00436BDB"/>
    <w:rsid w:val="00441196"/>
    <w:rsid w:val="004602BD"/>
    <w:rsid w:val="00464333"/>
    <w:rsid w:val="004712E3"/>
    <w:rsid w:val="0048643C"/>
    <w:rsid w:val="0049158E"/>
    <w:rsid w:val="00492F65"/>
    <w:rsid w:val="00496318"/>
    <w:rsid w:val="004B4C5D"/>
    <w:rsid w:val="004C14C7"/>
    <w:rsid w:val="004C389C"/>
    <w:rsid w:val="004D160F"/>
    <w:rsid w:val="004D2BC5"/>
    <w:rsid w:val="004D7E19"/>
    <w:rsid w:val="004E76FB"/>
    <w:rsid w:val="004F114E"/>
    <w:rsid w:val="004F3743"/>
    <w:rsid w:val="004F4159"/>
    <w:rsid w:val="004F6BFD"/>
    <w:rsid w:val="0050095D"/>
    <w:rsid w:val="005052C6"/>
    <w:rsid w:val="00515A7D"/>
    <w:rsid w:val="00521AC4"/>
    <w:rsid w:val="005357F5"/>
    <w:rsid w:val="00542338"/>
    <w:rsid w:val="00546736"/>
    <w:rsid w:val="005514D4"/>
    <w:rsid w:val="00563F3A"/>
    <w:rsid w:val="00564368"/>
    <w:rsid w:val="0056458A"/>
    <w:rsid w:val="00567DE8"/>
    <w:rsid w:val="00572548"/>
    <w:rsid w:val="0058199F"/>
    <w:rsid w:val="00585FEE"/>
    <w:rsid w:val="00590AE5"/>
    <w:rsid w:val="0059238B"/>
    <w:rsid w:val="005A23C9"/>
    <w:rsid w:val="005B2BFA"/>
    <w:rsid w:val="005B579F"/>
    <w:rsid w:val="005C3CD8"/>
    <w:rsid w:val="005C7F9C"/>
    <w:rsid w:val="005D06C0"/>
    <w:rsid w:val="005D41EA"/>
    <w:rsid w:val="005D73AD"/>
    <w:rsid w:val="005E1B17"/>
    <w:rsid w:val="005E33C6"/>
    <w:rsid w:val="005E3BD1"/>
    <w:rsid w:val="005E42B8"/>
    <w:rsid w:val="005E7FDC"/>
    <w:rsid w:val="005F0B58"/>
    <w:rsid w:val="0060564B"/>
    <w:rsid w:val="00613C04"/>
    <w:rsid w:val="0064235E"/>
    <w:rsid w:val="0064468D"/>
    <w:rsid w:val="0065385F"/>
    <w:rsid w:val="00653A32"/>
    <w:rsid w:val="00667EEC"/>
    <w:rsid w:val="00677A49"/>
    <w:rsid w:val="006813E8"/>
    <w:rsid w:val="0068181E"/>
    <w:rsid w:val="00682808"/>
    <w:rsid w:val="00683FFC"/>
    <w:rsid w:val="006874AE"/>
    <w:rsid w:val="00691A23"/>
    <w:rsid w:val="006A684E"/>
    <w:rsid w:val="006B195A"/>
    <w:rsid w:val="006B1EB4"/>
    <w:rsid w:val="006C210B"/>
    <w:rsid w:val="006C399C"/>
    <w:rsid w:val="006C5F94"/>
    <w:rsid w:val="006C6EBD"/>
    <w:rsid w:val="006D0911"/>
    <w:rsid w:val="006D1B33"/>
    <w:rsid w:val="006D2D37"/>
    <w:rsid w:val="006D3DF6"/>
    <w:rsid w:val="006D4009"/>
    <w:rsid w:val="006D4338"/>
    <w:rsid w:val="006D6111"/>
    <w:rsid w:val="006D7449"/>
    <w:rsid w:val="006E5B2C"/>
    <w:rsid w:val="006E73D4"/>
    <w:rsid w:val="006E7B90"/>
    <w:rsid w:val="007026B4"/>
    <w:rsid w:val="0071081B"/>
    <w:rsid w:val="00710C93"/>
    <w:rsid w:val="00715847"/>
    <w:rsid w:val="00725B20"/>
    <w:rsid w:val="007279CB"/>
    <w:rsid w:val="00730312"/>
    <w:rsid w:val="0073145D"/>
    <w:rsid w:val="00740B43"/>
    <w:rsid w:val="007415A5"/>
    <w:rsid w:val="007420EA"/>
    <w:rsid w:val="00745398"/>
    <w:rsid w:val="007522F6"/>
    <w:rsid w:val="00753147"/>
    <w:rsid w:val="007564AF"/>
    <w:rsid w:val="00756FAF"/>
    <w:rsid w:val="0076136C"/>
    <w:rsid w:val="007729EB"/>
    <w:rsid w:val="00776090"/>
    <w:rsid w:val="00776912"/>
    <w:rsid w:val="00777CBE"/>
    <w:rsid w:val="007829F9"/>
    <w:rsid w:val="007839CB"/>
    <w:rsid w:val="00784C16"/>
    <w:rsid w:val="0078798D"/>
    <w:rsid w:val="007953EF"/>
    <w:rsid w:val="00795F93"/>
    <w:rsid w:val="00797357"/>
    <w:rsid w:val="007A2221"/>
    <w:rsid w:val="007A319D"/>
    <w:rsid w:val="007B1C80"/>
    <w:rsid w:val="007B547E"/>
    <w:rsid w:val="007C1DEA"/>
    <w:rsid w:val="007C44CA"/>
    <w:rsid w:val="007C4D57"/>
    <w:rsid w:val="007C6EE3"/>
    <w:rsid w:val="007D2560"/>
    <w:rsid w:val="007D3773"/>
    <w:rsid w:val="007D4849"/>
    <w:rsid w:val="007D72D3"/>
    <w:rsid w:val="007E3EDA"/>
    <w:rsid w:val="007E7768"/>
    <w:rsid w:val="007F3931"/>
    <w:rsid w:val="007F5FFC"/>
    <w:rsid w:val="007F7ED0"/>
    <w:rsid w:val="0080393B"/>
    <w:rsid w:val="00805AE7"/>
    <w:rsid w:val="00810FCE"/>
    <w:rsid w:val="00825410"/>
    <w:rsid w:val="008338C7"/>
    <w:rsid w:val="00833FCC"/>
    <w:rsid w:val="00834299"/>
    <w:rsid w:val="008342B5"/>
    <w:rsid w:val="00840266"/>
    <w:rsid w:val="008445A6"/>
    <w:rsid w:val="008510B0"/>
    <w:rsid w:val="00852351"/>
    <w:rsid w:val="00852937"/>
    <w:rsid w:val="00864022"/>
    <w:rsid w:val="00875C9D"/>
    <w:rsid w:val="0088463A"/>
    <w:rsid w:val="00893FE9"/>
    <w:rsid w:val="008A0507"/>
    <w:rsid w:val="008A0C91"/>
    <w:rsid w:val="008A321B"/>
    <w:rsid w:val="008A498A"/>
    <w:rsid w:val="008A5ACD"/>
    <w:rsid w:val="008A752A"/>
    <w:rsid w:val="008B10F3"/>
    <w:rsid w:val="008B221D"/>
    <w:rsid w:val="008B265C"/>
    <w:rsid w:val="008B3C1C"/>
    <w:rsid w:val="008B40F8"/>
    <w:rsid w:val="008B4DF6"/>
    <w:rsid w:val="008C1F91"/>
    <w:rsid w:val="008C280B"/>
    <w:rsid w:val="008C3455"/>
    <w:rsid w:val="008C6033"/>
    <w:rsid w:val="008D0C1F"/>
    <w:rsid w:val="008E4D86"/>
    <w:rsid w:val="008E7271"/>
    <w:rsid w:val="008F2B5D"/>
    <w:rsid w:val="008F3014"/>
    <w:rsid w:val="008F6B2D"/>
    <w:rsid w:val="008F6DB3"/>
    <w:rsid w:val="009021A4"/>
    <w:rsid w:val="00923E49"/>
    <w:rsid w:val="00925B8D"/>
    <w:rsid w:val="00930853"/>
    <w:rsid w:val="009467D7"/>
    <w:rsid w:val="009511E2"/>
    <w:rsid w:val="0095474D"/>
    <w:rsid w:val="009572FD"/>
    <w:rsid w:val="009653FE"/>
    <w:rsid w:val="00973530"/>
    <w:rsid w:val="0098142E"/>
    <w:rsid w:val="00984267"/>
    <w:rsid w:val="00992D88"/>
    <w:rsid w:val="009A2774"/>
    <w:rsid w:val="009A40AC"/>
    <w:rsid w:val="009A4C9C"/>
    <w:rsid w:val="009B21DC"/>
    <w:rsid w:val="009B2342"/>
    <w:rsid w:val="009B2780"/>
    <w:rsid w:val="009D2E36"/>
    <w:rsid w:val="009E28C3"/>
    <w:rsid w:val="009E5ACC"/>
    <w:rsid w:val="009F2232"/>
    <w:rsid w:val="009F3559"/>
    <w:rsid w:val="00A001BA"/>
    <w:rsid w:val="00A01693"/>
    <w:rsid w:val="00A11F43"/>
    <w:rsid w:val="00A12747"/>
    <w:rsid w:val="00A12AC4"/>
    <w:rsid w:val="00A159CD"/>
    <w:rsid w:val="00A17EAF"/>
    <w:rsid w:val="00A200AC"/>
    <w:rsid w:val="00A2173A"/>
    <w:rsid w:val="00A232DA"/>
    <w:rsid w:val="00A24A82"/>
    <w:rsid w:val="00A440A1"/>
    <w:rsid w:val="00A45746"/>
    <w:rsid w:val="00A605B7"/>
    <w:rsid w:val="00A76C82"/>
    <w:rsid w:val="00A77DBF"/>
    <w:rsid w:val="00A83EF1"/>
    <w:rsid w:val="00A87EB2"/>
    <w:rsid w:val="00AA0365"/>
    <w:rsid w:val="00AA7B6E"/>
    <w:rsid w:val="00AB4271"/>
    <w:rsid w:val="00AB4A9D"/>
    <w:rsid w:val="00AC05E1"/>
    <w:rsid w:val="00AC13E1"/>
    <w:rsid w:val="00AC5BF1"/>
    <w:rsid w:val="00AD32F3"/>
    <w:rsid w:val="00AE0D73"/>
    <w:rsid w:val="00AE1DEE"/>
    <w:rsid w:val="00AE28AE"/>
    <w:rsid w:val="00AF0E57"/>
    <w:rsid w:val="00AF10DF"/>
    <w:rsid w:val="00AF12FF"/>
    <w:rsid w:val="00B0281A"/>
    <w:rsid w:val="00B03754"/>
    <w:rsid w:val="00B04778"/>
    <w:rsid w:val="00B04B42"/>
    <w:rsid w:val="00B11DD4"/>
    <w:rsid w:val="00B1566E"/>
    <w:rsid w:val="00B174CC"/>
    <w:rsid w:val="00B27ED4"/>
    <w:rsid w:val="00B32F0C"/>
    <w:rsid w:val="00B330E1"/>
    <w:rsid w:val="00B343D1"/>
    <w:rsid w:val="00B47A9E"/>
    <w:rsid w:val="00B53367"/>
    <w:rsid w:val="00B5516A"/>
    <w:rsid w:val="00B569EB"/>
    <w:rsid w:val="00B67664"/>
    <w:rsid w:val="00B676F9"/>
    <w:rsid w:val="00B86A3D"/>
    <w:rsid w:val="00B93BE6"/>
    <w:rsid w:val="00B9679C"/>
    <w:rsid w:val="00B9735C"/>
    <w:rsid w:val="00B97AFF"/>
    <w:rsid w:val="00BA2D4D"/>
    <w:rsid w:val="00BA7483"/>
    <w:rsid w:val="00BA7C1E"/>
    <w:rsid w:val="00BB07EC"/>
    <w:rsid w:val="00BB2A08"/>
    <w:rsid w:val="00BC6A8C"/>
    <w:rsid w:val="00BD213A"/>
    <w:rsid w:val="00BD37BC"/>
    <w:rsid w:val="00BD7BBE"/>
    <w:rsid w:val="00BE4BFE"/>
    <w:rsid w:val="00BF187C"/>
    <w:rsid w:val="00C074CD"/>
    <w:rsid w:val="00C16DDF"/>
    <w:rsid w:val="00C172EF"/>
    <w:rsid w:val="00C22499"/>
    <w:rsid w:val="00C231B3"/>
    <w:rsid w:val="00C375E4"/>
    <w:rsid w:val="00C52332"/>
    <w:rsid w:val="00C52B7D"/>
    <w:rsid w:val="00C55B10"/>
    <w:rsid w:val="00C63B84"/>
    <w:rsid w:val="00C63ED4"/>
    <w:rsid w:val="00C6776D"/>
    <w:rsid w:val="00C70E67"/>
    <w:rsid w:val="00C76CBF"/>
    <w:rsid w:val="00C8003C"/>
    <w:rsid w:val="00C80439"/>
    <w:rsid w:val="00C82550"/>
    <w:rsid w:val="00C83DE1"/>
    <w:rsid w:val="00C8531D"/>
    <w:rsid w:val="00C85953"/>
    <w:rsid w:val="00C86D61"/>
    <w:rsid w:val="00C907ED"/>
    <w:rsid w:val="00C94B05"/>
    <w:rsid w:val="00C95FB6"/>
    <w:rsid w:val="00CA1DB1"/>
    <w:rsid w:val="00CA5487"/>
    <w:rsid w:val="00CC4C64"/>
    <w:rsid w:val="00CD3453"/>
    <w:rsid w:val="00CD7844"/>
    <w:rsid w:val="00CE04A9"/>
    <w:rsid w:val="00CE563F"/>
    <w:rsid w:val="00CF1680"/>
    <w:rsid w:val="00CF4448"/>
    <w:rsid w:val="00D0100D"/>
    <w:rsid w:val="00D1487D"/>
    <w:rsid w:val="00D14E69"/>
    <w:rsid w:val="00D168F0"/>
    <w:rsid w:val="00D16E0D"/>
    <w:rsid w:val="00D1732B"/>
    <w:rsid w:val="00D20EC0"/>
    <w:rsid w:val="00D21098"/>
    <w:rsid w:val="00D253F1"/>
    <w:rsid w:val="00D30141"/>
    <w:rsid w:val="00D306D5"/>
    <w:rsid w:val="00D379A4"/>
    <w:rsid w:val="00D439AD"/>
    <w:rsid w:val="00D44C60"/>
    <w:rsid w:val="00D50E0D"/>
    <w:rsid w:val="00D554EE"/>
    <w:rsid w:val="00D55C07"/>
    <w:rsid w:val="00D6583C"/>
    <w:rsid w:val="00D66231"/>
    <w:rsid w:val="00D73DF9"/>
    <w:rsid w:val="00D77BFB"/>
    <w:rsid w:val="00D84457"/>
    <w:rsid w:val="00D8595F"/>
    <w:rsid w:val="00D87F35"/>
    <w:rsid w:val="00D94527"/>
    <w:rsid w:val="00D96139"/>
    <w:rsid w:val="00DA089E"/>
    <w:rsid w:val="00DA3A15"/>
    <w:rsid w:val="00DA4013"/>
    <w:rsid w:val="00DA4593"/>
    <w:rsid w:val="00DA459D"/>
    <w:rsid w:val="00DA53AD"/>
    <w:rsid w:val="00DA7FD6"/>
    <w:rsid w:val="00DB37D6"/>
    <w:rsid w:val="00DB4D08"/>
    <w:rsid w:val="00DB5FED"/>
    <w:rsid w:val="00DB6A77"/>
    <w:rsid w:val="00DC1D6C"/>
    <w:rsid w:val="00DC3662"/>
    <w:rsid w:val="00DD2E63"/>
    <w:rsid w:val="00DD40C3"/>
    <w:rsid w:val="00DD486C"/>
    <w:rsid w:val="00DD7B84"/>
    <w:rsid w:val="00DE2ABD"/>
    <w:rsid w:val="00DE74B0"/>
    <w:rsid w:val="00DF1283"/>
    <w:rsid w:val="00DF7A17"/>
    <w:rsid w:val="00E03969"/>
    <w:rsid w:val="00E04E32"/>
    <w:rsid w:val="00E0686F"/>
    <w:rsid w:val="00E1109B"/>
    <w:rsid w:val="00E14103"/>
    <w:rsid w:val="00E14AEB"/>
    <w:rsid w:val="00E16404"/>
    <w:rsid w:val="00E27529"/>
    <w:rsid w:val="00E378C2"/>
    <w:rsid w:val="00E4659D"/>
    <w:rsid w:val="00E476F4"/>
    <w:rsid w:val="00E479EA"/>
    <w:rsid w:val="00E549CF"/>
    <w:rsid w:val="00E60A10"/>
    <w:rsid w:val="00E60E94"/>
    <w:rsid w:val="00E66FB9"/>
    <w:rsid w:val="00E72007"/>
    <w:rsid w:val="00E81492"/>
    <w:rsid w:val="00E85B10"/>
    <w:rsid w:val="00E90E9D"/>
    <w:rsid w:val="00E92526"/>
    <w:rsid w:val="00E93D51"/>
    <w:rsid w:val="00E96033"/>
    <w:rsid w:val="00EA7365"/>
    <w:rsid w:val="00EC07DB"/>
    <w:rsid w:val="00EC0CC7"/>
    <w:rsid w:val="00ED2460"/>
    <w:rsid w:val="00ED267D"/>
    <w:rsid w:val="00EE7E7D"/>
    <w:rsid w:val="00EF15F1"/>
    <w:rsid w:val="00EF45A6"/>
    <w:rsid w:val="00F002E5"/>
    <w:rsid w:val="00F00839"/>
    <w:rsid w:val="00F03896"/>
    <w:rsid w:val="00F10FF5"/>
    <w:rsid w:val="00F1297C"/>
    <w:rsid w:val="00F129FD"/>
    <w:rsid w:val="00F14A21"/>
    <w:rsid w:val="00F154FB"/>
    <w:rsid w:val="00F15568"/>
    <w:rsid w:val="00F214D2"/>
    <w:rsid w:val="00F224B9"/>
    <w:rsid w:val="00F23618"/>
    <w:rsid w:val="00F24F3F"/>
    <w:rsid w:val="00F269EE"/>
    <w:rsid w:val="00F2704C"/>
    <w:rsid w:val="00F27E1A"/>
    <w:rsid w:val="00F36EEE"/>
    <w:rsid w:val="00F40281"/>
    <w:rsid w:val="00F439B1"/>
    <w:rsid w:val="00F85FCF"/>
    <w:rsid w:val="00F86002"/>
    <w:rsid w:val="00F924AA"/>
    <w:rsid w:val="00F935BA"/>
    <w:rsid w:val="00F94404"/>
    <w:rsid w:val="00FA628F"/>
    <w:rsid w:val="00FA656D"/>
    <w:rsid w:val="00FB513B"/>
    <w:rsid w:val="00FC2396"/>
    <w:rsid w:val="00FD2EFF"/>
    <w:rsid w:val="00FD46E9"/>
    <w:rsid w:val="00FE046D"/>
    <w:rsid w:val="00FE09C0"/>
    <w:rsid w:val="00FF0135"/>
    <w:rsid w:val="00FF1392"/>
    <w:rsid w:val="00FF2CA7"/>
    <w:rsid w:val="00FF5195"/>
    <w:rsid w:val="16D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ngXian" w:eastAsia="DengXian" w:hAnsi="DengXi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qFormat="1"/>
    <w:lsdException w:name="heading 3" w:semiHidden="0" w:uiPriority="9"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semiHidden="0" w:uiPriority="35" w:qFormat="1"/>
    <w:lsdException w:name="annotation reference" w:qFormat="1"/>
    <w:lsdException w:name="line number"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annotation subject" w:qFormat="1"/>
    <w:lsdException w:name="Balloon Text" w:qFormat="1"/>
    <w:lsdException w:name="Table Grid" w:semiHidden="0" w:uiPriority="5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ind w:firstLineChars="200" w:firstLine="200"/>
      <w:jc w:val="both"/>
    </w:pPr>
    <w:rPr>
      <w:rFonts w:ascii="Times New Roman" w:eastAsia="Times New Roman" w:hAnsi="Times New Roman"/>
      <w:kern w:val="2"/>
      <w:sz w:val="21"/>
      <w:szCs w:val="21"/>
    </w:rPr>
  </w:style>
  <w:style w:type="paragraph" w:styleId="Heading1">
    <w:name w:val="heading 1"/>
    <w:basedOn w:val="Normal"/>
    <w:next w:val="Normal"/>
    <w:link w:val="Heading1Char"/>
    <w:uiPriority w:val="1"/>
    <w:qFormat/>
    <w:pPr>
      <w:autoSpaceDE w:val="0"/>
      <w:autoSpaceDN w:val="0"/>
      <w:adjustRightInd w:val="0"/>
      <w:snapToGrid w:val="0"/>
      <w:spacing w:before="240" w:after="240"/>
      <w:ind w:firstLineChars="0" w:firstLine="0"/>
      <w:jc w:val="left"/>
      <w:outlineLvl w:val="0"/>
    </w:pPr>
    <w:rPr>
      <w:rFonts w:eastAsiaTheme="minorEastAsia" w:cs="Book Antiqua"/>
      <w:b/>
      <w:bCs/>
      <w:kern w:val="0"/>
      <w:sz w:val="24"/>
      <w:szCs w:val="20"/>
    </w:rPr>
  </w:style>
  <w:style w:type="paragraph" w:styleId="Heading2">
    <w:name w:val="heading 2"/>
    <w:basedOn w:val="Normal"/>
    <w:next w:val="Normal"/>
    <w:link w:val="Heading2Char"/>
    <w:uiPriority w:val="9"/>
    <w:unhideWhenUsed/>
    <w:qFormat/>
    <w:pPr>
      <w:keepNext/>
      <w:keepLines/>
      <w:adjustRightInd w:val="0"/>
      <w:snapToGrid w:val="0"/>
      <w:spacing w:before="240" w:after="240"/>
      <w:ind w:firstLineChars="0" w:firstLine="0"/>
      <w:outlineLvl w:val="1"/>
    </w:pPr>
    <w:rPr>
      <w:rFonts w:eastAsiaTheme="minorEastAsia"/>
      <w:bCs/>
      <w:i/>
    </w:rPr>
  </w:style>
  <w:style w:type="paragraph" w:styleId="Heading3">
    <w:name w:val="heading 3"/>
    <w:basedOn w:val="Normal"/>
    <w:next w:val="Normal"/>
    <w:link w:val="Heading3Char"/>
    <w:uiPriority w:val="9"/>
    <w:unhideWhenUsed/>
    <w:qFormat/>
    <w:pPr>
      <w:keepNext/>
      <w:keepLines/>
      <w:adjustRightInd w:val="0"/>
      <w:snapToGrid w:val="0"/>
      <w:spacing w:before="240" w:after="240" w:line="288" w:lineRule="auto"/>
      <w:ind w:firstLineChars="0" w:firstLine="0"/>
      <w:outlineLvl w:val="2"/>
    </w:pPr>
    <w:rPr>
      <w:rFonts w:eastAsiaTheme="minorEastAsia"/>
      <w:bCs/>
      <w:szCs w:val="32"/>
    </w:rPr>
  </w:style>
  <w:style w:type="paragraph" w:styleId="Heading4">
    <w:name w:val="heading 4"/>
    <w:basedOn w:val="Normal"/>
    <w:next w:val="Normal"/>
    <w:link w:val="Heading4Char"/>
    <w:uiPriority w:val="9"/>
    <w:qFormat/>
    <w:pPr>
      <w:keepNext/>
      <w:keepLines/>
      <w:spacing w:before="280" w:after="290" w:line="376" w:lineRule="auto"/>
      <w:ind w:firstLine="320"/>
      <w:outlineLvl w:val="3"/>
    </w:pPr>
    <w:rPr>
      <w:rFonts w:ascii="Calibri Light" w:eastAsia="NimbusRomNo9L" w:hAnsi="Calibri Light" w:cs="NimbusRomNo9L"/>
      <w:b/>
      <w:bCs/>
      <w:kern w:val="0"/>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20" w:lineRule="auto"/>
      <w:ind w:firstLineChars="0" w:firstLine="0"/>
      <w:outlineLvl w:val="5"/>
    </w:pPr>
    <w:rPr>
      <w:rFonts w:ascii="DengXian Light" w:eastAsia="DengXian Light" w:hAnsi="DengXian Light"/>
      <w:b/>
      <w:bCs/>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40" w:after="64" w:line="320" w:lineRule="auto"/>
      <w:ind w:firstLineChars="0" w:firstLine="0"/>
      <w:outlineLvl w:val="7"/>
    </w:pPr>
    <w:rPr>
      <w:rFonts w:ascii="DengXian Light" w:eastAsia="DengXian Light" w:hAnsi="DengXian Light"/>
      <w:sz w:val="24"/>
      <w:szCs w:val="24"/>
    </w:rPr>
  </w:style>
  <w:style w:type="paragraph" w:styleId="Heading9">
    <w:name w:val="heading 9"/>
    <w:basedOn w:val="Normal"/>
    <w:next w:val="Normal"/>
    <w:link w:val="Heading9Char"/>
    <w:uiPriority w:val="9"/>
    <w:semiHidden/>
    <w:unhideWhenUsed/>
    <w:qFormat/>
    <w:pPr>
      <w:keepNext/>
      <w:keepLines/>
      <w:numPr>
        <w:ilvl w:val="8"/>
        <w:numId w:val="1"/>
      </w:numPr>
      <w:spacing w:before="240" w:after="64" w:line="320" w:lineRule="auto"/>
      <w:ind w:firstLineChars="0" w:firstLine="0"/>
      <w:outlineLvl w:val="8"/>
    </w:pPr>
    <w:rPr>
      <w:rFonts w:ascii="DengXian Light" w:eastAsia="DengXian Light" w:hAnsi="DengXian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ind w:firstLineChars="0" w:firstLine="0"/>
    </w:pPr>
  </w:style>
  <w:style w:type="paragraph" w:styleId="CommentText">
    <w:name w:val="annotation text"/>
    <w:basedOn w:val="Normal"/>
    <w:link w:val="CommentTextChar"/>
    <w:uiPriority w:val="99"/>
    <w:semiHidden/>
    <w:unhideWhenUsed/>
    <w:qFormat/>
    <w:pPr>
      <w:jc w:val="left"/>
    </w:pPr>
  </w:style>
  <w:style w:type="paragraph" w:styleId="BodyText">
    <w:name w:val="Body Text"/>
    <w:basedOn w:val="Normal"/>
    <w:link w:val="BodyTextChar"/>
    <w:uiPriority w:val="1"/>
    <w:qFormat/>
    <w:pPr>
      <w:autoSpaceDE w:val="0"/>
      <w:autoSpaceDN w:val="0"/>
      <w:adjustRightInd w:val="0"/>
      <w:ind w:firstLine="420"/>
    </w:pPr>
    <w:rPr>
      <w:kern w:val="0"/>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spacing w:before="240" w:after="24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adjustRightInd w:val="0"/>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pPr>
    <w:rPr>
      <w:lang w:eastAsia="en-U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uiPriority w:val="99"/>
    <w:semiHidden/>
    <w:unhideWhenUsed/>
    <w:qFormat/>
  </w:style>
  <w:style w:type="character" w:styleId="Hyperlink">
    <w:name w:val="Hyperlink"/>
    <w:uiPriority w:val="99"/>
    <w:unhideWhenUsed/>
    <w:qFormat/>
    <w:rPr>
      <w:color w:val="0563C1"/>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HeaderChar">
    <w:name w:val="Header Char"/>
    <w:link w:val="Header"/>
    <w:uiPriority w:val="99"/>
    <w:qFormat/>
    <w:rPr>
      <w:rFonts w:ascii="Times New Roman" w:eastAsia="Times New Roman" w:hAnsi="Times New Roman"/>
      <w:kern w:val="2"/>
      <w:sz w:val="18"/>
      <w:szCs w:val="18"/>
    </w:rPr>
  </w:style>
  <w:style w:type="character" w:customStyle="1" w:styleId="FooterChar">
    <w:name w:val="Footer Char"/>
    <w:link w:val="Footer"/>
    <w:uiPriority w:val="99"/>
    <w:qFormat/>
    <w:rPr>
      <w:rFonts w:ascii="Times New Roman" w:eastAsia="Times New Roman" w:hAnsi="Times New Roman"/>
      <w:kern w:val="2"/>
      <w:sz w:val="18"/>
      <w:szCs w:val="18"/>
    </w:rPr>
  </w:style>
  <w:style w:type="character" w:customStyle="1" w:styleId="Heading1Char">
    <w:name w:val="Heading 1 Char"/>
    <w:link w:val="Heading1"/>
    <w:uiPriority w:val="1"/>
    <w:qFormat/>
    <w:rPr>
      <w:rFonts w:ascii="Times New Roman" w:eastAsiaTheme="minorEastAsia" w:hAnsi="Times New Roman" w:cs="Book Antiqua"/>
      <w:b/>
      <w:bCs/>
      <w:sz w:val="24"/>
    </w:rPr>
  </w:style>
  <w:style w:type="character" w:customStyle="1" w:styleId="BodyTextChar">
    <w:name w:val="Body Text Char"/>
    <w:link w:val="BodyText"/>
    <w:uiPriority w:val="1"/>
    <w:qFormat/>
    <w:rPr>
      <w:rFonts w:ascii="Times New Roman" w:eastAsia="Times New Roman" w:hAnsi="Times New Roman"/>
      <w:sz w:val="21"/>
      <w:szCs w:val="21"/>
    </w:rPr>
  </w:style>
  <w:style w:type="paragraph" w:styleId="ListParagraph">
    <w:name w:val="List Paragraph"/>
    <w:basedOn w:val="Normal"/>
    <w:uiPriority w:val="34"/>
    <w:qFormat/>
    <w:pPr>
      <w:autoSpaceDE w:val="0"/>
      <w:autoSpaceDN w:val="0"/>
      <w:adjustRightInd w:val="0"/>
      <w:spacing w:before="3"/>
      <w:ind w:left="561" w:right="126" w:hanging="431"/>
    </w:pPr>
    <w:rPr>
      <w:rFonts w:ascii="Book Antiqua" w:hAnsi="Book Antiqua" w:cs="Book Antiqua"/>
      <w:kern w:val="0"/>
      <w:sz w:val="24"/>
      <w:szCs w:val="24"/>
    </w:rPr>
  </w:style>
  <w:style w:type="paragraph" w:customStyle="1" w:styleId="TableParagraph">
    <w:name w:val="Table Paragraph"/>
    <w:basedOn w:val="Normal"/>
    <w:uiPriority w:val="1"/>
    <w:qFormat/>
    <w:pPr>
      <w:autoSpaceDE w:val="0"/>
      <w:autoSpaceDN w:val="0"/>
      <w:adjustRightInd w:val="0"/>
      <w:ind w:left="133"/>
      <w:jc w:val="center"/>
    </w:pPr>
    <w:rPr>
      <w:rFonts w:ascii="Book Antiqua" w:hAnsi="Book Antiqua" w:cs="Book Antiqua"/>
      <w:kern w:val="0"/>
      <w:sz w:val="24"/>
      <w:szCs w:val="24"/>
    </w:rPr>
  </w:style>
  <w:style w:type="table" w:customStyle="1" w:styleId="5-11">
    <w:name w:val="网格表 5 深色 - 着色 11"/>
    <w:basedOn w:val="TableNormal"/>
    <w:uiPriority w:val="50"/>
    <w:qFormat/>
    <w:rPr>
      <w:rFonts w:ascii="Times New Roman" w:eastAsia="SimSun" w:hAnsi="Times New Roma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5-111">
    <w:name w:val="网格表 5 深色 - 着色 111"/>
    <w:basedOn w:val="TableNormal"/>
    <w:uiPriority w:val="50"/>
    <w:qFormat/>
    <w:rPr>
      <w:rFonts w:ascii="Times New Roman" w:eastAsia="SimSun" w:hAnsi="Times New Roma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5-112">
    <w:name w:val="网格表 5 深色 - 着色 112"/>
    <w:basedOn w:val="TableNormal"/>
    <w:uiPriority w:val="50"/>
    <w:qFormat/>
    <w:rPr>
      <w:rFonts w:ascii="Times New Roman" w:eastAsia="SimSun" w:hAnsi="Times New Roma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Heading2Char">
    <w:name w:val="Heading 2 Char"/>
    <w:link w:val="Heading2"/>
    <w:uiPriority w:val="9"/>
    <w:qFormat/>
    <w:rPr>
      <w:rFonts w:ascii="Times New Roman" w:eastAsiaTheme="minorEastAsia" w:hAnsi="Times New Roman"/>
      <w:bCs/>
      <w:i/>
      <w:kern w:val="2"/>
      <w:sz w:val="21"/>
      <w:szCs w:val="21"/>
    </w:rPr>
  </w:style>
  <w:style w:type="character" w:customStyle="1" w:styleId="BalloonTextChar">
    <w:name w:val="Balloon Text Char"/>
    <w:basedOn w:val="DefaultParagraphFont"/>
    <w:link w:val="BalloonText"/>
    <w:uiPriority w:val="99"/>
    <w:semiHidden/>
    <w:qFormat/>
    <w:rPr>
      <w:rFonts w:ascii="Times New Roman" w:eastAsia="Times New Roman" w:hAnsi="Times New Roman"/>
      <w:kern w:val="2"/>
      <w:sz w:val="18"/>
      <w:szCs w:val="18"/>
    </w:rPr>
  </w:style>
  <w:style w:type="paragraph" w:customStyle="1" w:styleId="EndNoteBibliographyTitle">
    <w:name w:val="EndNote Bibliography Title"/>
    <w:basedOn w:val="Normal"/>
    <w:link w:val="EndNoteBibliographyTitle0"/>
    <w:qFormat/>
    <w:pPr>
      <w:jc w:val="center"/>
    </w:pPr>
    <w:rPr>
      <w:sz w:val="20"/>
    </w:rPr>
  </w:style>
  <w:style w:type="character" w:customStyle="1" w:styleId="EndNoteBibliographyTitle0">
    <w:name w:val="EndNote Bibliography Title 字符"/>
    <w:basedOn w:val="DefaultParagraphFont"/>
    <w:link w:val="EndNoteBibliographyTitle"/>
    <w:qFormat/>
    <w:rPr>
      <w:kern w:val="2"/>
      <w:szCs w:val="22"/>
    </w:rPr>
  </w:style>
  <w:style w:type="paragraph" w:customStyle="1" w:styleId="EndNoteBibliography">
    <w:name w:val="EndNote Bibliography"/>
    <w:basedOn w:val="Normal"/>
    <w:link w:val="EndNoteBibliography0"/>
    <w:qFormat/>
    <w:rPr>
      <w:sz w:val="20"/>
    </w:rPr>
  </w:style>
  <w:style w:type="character" w:customStyle="1" w:styleId="EndNoteBibliography0">
    <w:name w:val="EndNote Bibliography 字符"/>
    <w:basedOn w:val="DefaultParagraphFont"/>
    <w:link w:val="EndNoteBibliography"/>
    <w:qFormat/>
    <w:rPr>
      <w:kern w:val="2"/>
      <w:szCs w:val="22"/>
    </w:rPr>
  </w:style>
  <w:style w:type="paragraph" w:customStyle="1" w:styleId="Abstract">
    <w:name w:val="Abstract"/>
    <w:basedOn w:val="Normal"/>
    <w:qFormat/>
    <w:pPr>
      <w:adjustRightInd w:val="0"/>
      <w:snapToGrid w:val="0"/>
      <w:spacing w:before="240" w:line="288" w:lineRule="auto"/>
      <w:ind w:firstLineChars="0" w:firstLine="0"/>
    </w:pPr>
    <w:rPr>
      <w:b/>
      <w:sz w:val="24"/>
      <w:szCs w:val="24"/>
    </w:rPr>
  </w:style>
  <w:style w:type="paragraph" w:customStyle="1" w:styleId="Keywords">
    <w:name w:val="Keywords"/>
    <w:basedOn w:val="Normal"/>
    <w:qFormat/>
    <w:pPr>
      <w:adjustRightInd w:val="0"/>
      <w:snapToGrid w:val="0"/>
      <w:spacing w:before="240"/>
      <w:ind w:firstLineChars="0" w:firstLine="0"/>
    </w:pPr>
    <w:rPr>
      <w:rFonts w:eastAsia="SimSun"/>
      <w:b/>
      <w:sz w:val="24"/>
    </w:rPr>
  </w:style>
  <w:style w:type="paragraph" w:customStyle="1" w:styleId="References">
    <w:name w:val="References"/>
    <w:basedOn w:val="Normal"/>
    <w:link w:val="References0"/>
    <w:qFormat/>
    <w:pPr>
      <w:autoSpaceDE w:val="0"/>
      <w:autoSpaceDN w:val="0"/>
      <w:adjustRightInd w:val="0"/>
      <w:ind w:firstLineChars="0" w:firstLine="0"/>
    </w:pPr>
    <w:rPr>
      <w:b/>
      <w:kern w:val="0"/>
      <w:sz w:val="24"/>
      <w:szCs w:val="24"/>
    </w:rPr>
  </w:style>
  <w:style w:type="character" w:customStyle="1" w:styleId="References0">
    <w:name w:val="References 字符"/>
    <w:basedOn w:val="DefaultParagraphFont"/>
    <w:link w:val="References"/>
    <w:qFormat/>
    <w:rPr>
      <w:rFonts w:ascii="Times New Roman" w:eastAsia="Times New Roman" w:hAnsi="Times New Roman"/>
      <w:b/>
      <w:sz w:val="24"/>
      <w:szCs w:val="24"/>
    </w:rPr>
  </w:style>
  <w:style w:type="paragraph" w:customStyle="1" w:styleId="a">
    <w:name w:val="版权信息"/>
    <w:basedOn w:val="Normal"/>
    <w:qFormat/>
    <w:pPr>
      <w:ind w:firstLineChars="0" w:firstLine="0"/>
    </w:pPr>
  </w:style>
  <w:style w:type="character" w:customStyle="1" w:styleId="Heading3Char">
    <w:name w:val="Heading 3 Char"/>
    <w:link w:val="Heading3"/>
    <w:uiPriority w:val="9"/>
    <w:qFormat/>
    <w:rPr>
      <w:rFonts w:ascii="Times New Roman" w:eastAsiaTheme="minorEastAsia" w:hAnsi="Times New Roman"/>
      <w:bCs/>
      <w:kern w:val="2"/>
      <w:sz w:val="21"/>
      <w:szCs w:val="32"/>
    </w:rPr>
  </w:style>
  <w:style w:type="character" w:customStyle="1" w:styleId="Heading4Char">
    <w:name w:val="Heading 4 Char"/>
    <w:link w:val="Heading4"/>
    <w:uiPriority w:val="9"/>
    <w:qFormat/>
    <w:rPr>
      <w:rFonts w:ascii="Calibri Light" w:eastAsia="NimbusRomNo9L" w:hAnsi="Calibri Light" w:cs="NimbusRomNo9L"/>
      <w:b/>
      <w:bCs/>
      <w:sz w:val="28"/>
      <w:szCs w:val="28"/>
    </w:rPr>
  </w:style>
  <w:style w:type="character" w:customStyle="1" w:styleId="Heading5Char">
    <w:name w:val="Heading 5 Char"/>
    <w:link w:val="Heading5"/>
    <w:uiPriority w:val="9"/>
    <w:qFormat/>
    <w:rPr>
      <w:rFonts w:ascii="Times New Roman" w:eastAsia="Times New Roman" w:hAnsi="Times New Roman"/>
      <w:b/>
      <w:bCs/>
      <w:kern w:val="2"/>
      <w:sz w:val="28"/>
      <w:szCs w:val="28"/>
    </w:rPr>
  </w:style>
  <w:style w:type="character" w:customStyle="1" w:styleId="Heading6Char">
    <w:name w:val="Heading 6 Char"/>
    <w:link w:val="Heading6"/>
    <w:uiPriority w:val="9"/>
    <w:qFormat/>
    <w:rPr>
      <w:rFonts w:ascii="DengXian Light" w:eastAsia="DengXian Light" w:hAnsi="DengXian Light"/>
      <w:b/>
      <w:bCs/>
      <w:kern w:val="2"/>
      <w:sz w:val="24"/>
      <w:szCs w:val="24"/>
    </w:rPr>
  </w:style>
  <w:style w:type="character" w:customStyle="1" w:styleId="Heading7Char">
    <w:name w:val="Heading 7 Char"/>
    <w:link w:val="Heading7"/>
    <w:uiPriority w:val="9"/>
    <w:qFormat/>
    <w:rPr>
      <w:rFonts w:ascii="Times New Roman" w:eastAsia="Times New Roman" w:hAnsi="Times New Roman"/>
      <w:b/>
      <w:bCs/>
      <w:kern w:val="2"/>
      <w:sz w:val="24"/>
      <w:szCs w:val="24"/>
    </w:rPr>
  </w:style>
  <w:style w:type="character" w:customStyle="1" w:styleId="Heading8Char">
    <w:name w:val="Heading 8 Char"/>
    <w:link w:val="Heading8"/>
    <w:uiPriority w:val="9"/>
    <w:qFormat/>
    <w:rPr>
      <w:rFonts w:ascii="DengXian Light" w:eastAsia="DengXian Light" w:hAnsi="DengXian Light"/>
      <w:kern w:val="2"/>
      <w:sz w:val="24"/>
      <w:szCs w:val="24"/>
    </w:rPr>
  </w:style>
  <w:style w:type="character" w:customStyle="1" w:styleId="Heading9Char">
    <w:name w:val="Heading 9 Char"/>
    <w:link w:val="Heading9"/>
    <w:uiPriority w:val="9"/>
    <w:semiHidden/>
    <w:qFormat/>
    <w:rPr>
      <w:rFonts w:ascii="DengXian Light" w:eastAsia="DengXian Light" w:hAnsi="DengXian Light"/>
      <w:kern w:val="2"/>
      <w:sz w:val="21"/>
      <w:szCs w:val="21"/>
    </w:rPr>
  </w:style>
  <w:style w:type="paragraph" w:customStyle="1" w:styleId="a0">
    <w:name w:val="表题"/>
    <w:basedOn w:val="Normal"/>
    <w:qFormat/>
    <w:pPr>
      <w:spacing w:beforeLines="100" w:before="312" w:afterLines="100" w:after="312"/>
      <w:ind w:firstLineChars="0" w:firstLine="0"/>
      <w:jc w:val="center"/>
    </w:pPr>
    <w:rPr>
      <w:b/>
      <w:sz w:val="18"/>
    </w:rPr>
  </w:style>
  <w:style w:type="paragraph" w:customStyle="1" w:styleId="a1">
    <w:name w:val="表注"/>
    <w:basedOn w:val="a0"/>
    <w:qFormat/>
    <w:pPr>
      <w:adjustRightInd w:val="0"/>
      <w:snapToGrid w:val="0"/>
      <w:spacing w:beforeLines="0" w:before="0" w:afterLines="0" w:after="0" w:line="288" w:lineRule="auto"/>
      <w:jc w:val="both"/>
    </w:pPr>
    <w:rPr>
      <w:b w:val="0"/>
      <w:sz w:val="16"/>
    </w:rPr>
  </w:style>
  <w:style w:type="paragraph" w:customStyle="1" w:styleId="a2">
    <w:name w:val="参考文献"/>
    <w:basedOn w:val="Normal"/>
    <w:qFormat/>
    <w:pPr>
      <w:adjustRightInd w:val="0"/>
      <w:snapToGrid w:val="0"/>
      <w:spacing w:line="288" w:lineRule="auto"/>
      <w:ind w:left="400" w:hangingChars="200" w:hanging="400"/>
    </w:pPr>
    <w:rPr>
      <w:rFonts w:eastAsia="DengXian"/>
      <w:sz w:val="18"/>
      <w:szCs w:val="24"/>
    </w:rPr>
  </w:style>
  <w:style w:type="paragraph" w:customStyle="1" w:styleId="a3">
    <w:name w:val="稿件类型"/>
    <w:basedOn w:val="Normal"/>
    <w:qFormat/>
    <w:pPr>
      <w:adjustRightInd w:val="0"/>
      <w:snapToGrid w:val="0"/>
      <w:spacing w:before="360" w:line="288" w:lineRule="auto"/>
      <w:ind w:firstLineChars="0" w:firstLine="0"/>
      <w:jc w:val="left"/>
    </w:pPr>
    <w:rPr>
      <w:rFonts w:eastAsia="SimSun"/>
    </w:rPr>
  </w:style>
  <w:style w:type="paragraph" w:customStyle="1" w:styleId="a4">
    <w:name w:val="关键词"/>
    <w:basedOn w:val="Normal"/>
    <w:qFormat/>
    <w:pPr>
      <w:adjustRightInd w:val="0"/>
      <w:snapToGrid w:val="0"/>
      <w:spacing w:line="288" w:lineRule="auto"/>
      <w:ind w:firstLineChars="0" w:firstLine="0"/>
    </w:pPr>
  </w:style>
  <w:style w:type="paragraph" w:customStyle="1" w:styleId="a5">
    <w:name w:val="机构信息"/>
    <w:basedOn w:val="Normal"/>
    <w:link w:val="a6"/>
    <w:qFormat/>
    <w:pPr>
      <w:ind w:firstLineChars="0" w:firstLine="0"/>
    </w:pPr>
    <w:rPr>
      <w:i/>
    </w:rPr>
  </w:style>
  <w:style w:type="character" w:customStyle="1" w:styleId="a6">
    <w:name w:val="机构信息 字符"/>
    <w:link w:val="a5"/>
    <w:qFormat/>
    <w:rPr>
      <w:rFonts w:ascii="Times New Roman" w:eastAsia="Times New Roman" w:hAnsi="Times New Roman"/>
      <w:i/>
      <w:kern w:val="2"/>
      <w:sz w:val="21"/>
      <w:szCs w:val="21"/>
    </w:rPr>
  </w:style>
  <w:style w:type="paragraph" w:customStyle="1" w:styleId="a7">
    <w:name w:val="接收日期"/>
    <w:basedOn w:val="Normal"/>
    <w:qFormat/>
    <w:pPr>
      <w:ind w:firstLineChars="0" w:firstLine="0"/>
    </w:pPr>
    <w:rPr>
      <w:sz w:val="16"/>
    </w:rPr>
  </w:style>
  <w:style w:type="paragraph" w:customStyle="1" w:styleId="a8">
    <w:name w:val="通讯作者"/>
    <w:basedOn w:val="Normal"/>
    <w:qFormat/>
    <w:pPr>
      <w:adjustRightInd w:val="0"/>
      <w:snapToGrid w:val="0"/>
      <w:spacing w:line="288" w:lineRule="auto"/>
      <w:ind w:firstLineChars="0" w:firstLine="0"/>
    </w:pPr>
    <w:rPr>
      <w:sz w:val="18"/>
      <w:szCs w:val="18"/>
    </w:rPr>
  </w:style>
  <w:style w:type="paragraph" w:customStyle="1" w:styleId="a9">
    <w:name w:val="图注"/>
    <w:basedOn w:val="a1"/>
    <w:qFormat/>
    <w:rPr>
      <w:rFonts w:eastAsia="SimSun"/>
      <w:b/>
      <w:bCs/>
      <w:kern w:val="0"/>
      <w:sz w:val="18"/>
    </w:rPr>
  </w:style>
  <w:style w:type="paragraph" w:customStyle="1" w:styleId="aa">
    <w:name w:val="文章标题"/>
    <w:basedOn w:val="Normal"/>
    <w:link w:val="ab"/>
    <w:qFormat/>
    <w:pPr>
      <w:kinsoku w:val="0"/>
      <w:overflowPunct w:val="0"/>
      <w:autoSpaceDE w:val="0"/>
      <w:autoSpaceDN w:val="0"/>
      <w:adjustRightInd w:val="0"/>
      <w:snapToGrid w:val="0"/>
      <w:spacing w:after="240" w:line="288" w:lineRule="auto"/>
      <w:ind w:firstLineChars="0" w:firstLine="0"/>
    </w:pPr>
    <w:rPr>
      <w:b/>
      <w:bCs/>
      <w:spacing w:val="-8"/>
      <w:sz w:val="32"/>
      <w:szCs w:val="32"/>
    </w:rPr>
  </w:style>
  <w:style w:type="character" w:customStyle="1" w:styleId="ab">
    <w:name w:val="文章标题 字符"/>
    <w:link w:val="aa"/>
    <w:qFormat/>
    <w:rPr>
      <w:rFonts w:ascii="Times New Roman" w:eastAsia="Times New Roman" w:hAnsi="Times New Roman"/>
      <w:b/>
      <w:bCs/>
      <w:spacing w:val="-8"/>
      <w:kern w:val="2"/>
      <w:sz w:val="32"/>
      <w:szCs w:val="32"/>
    </w:rPr>
  </w:style>
  <w:style w:type="paragraph" w:customStyle="1" w:styleId="ac">
    <w:name w:val="文章内容"/>
    <w:basedOn w:val="Normal"/>
    <w:link w:val="ad"/>
    <w:qFormat/>
    <w:pPr>
      <w:ind w:firstLine="420"/>
    </w:pPr>
    <w:rPr>
      <w:color w:val="000000"/>
    </w:rPr>
  </w:style>
  <w:style w:type="character" w:customStyle="1" w:styleId="ad">
    <w:name w:val="文章内容 字符"/>
    <w:link w:val="ac"/>
    <w:qFormat/>
    <w:rPr>
      <w:rFonts w:ascii="Times New Roman" w:eastAsia="Times New Roman" w:hAnsi="Times New Roman"/>
      <w:color w:val="000000"/>
      <w:kern w:val="2"/>
      <w:sz w:val="21"/>
      <w:szCs w:val="21"/>
    </w:rPr>
  </w:style>
  <w:style w:type="paragraph" w:customStyle="1" w:styleId="ae">
    <w:name w:val="摘要"/>
    <w:basedOn w:val="Normal"/>
    <w:qFormat/>
    <w:pPr>
      <w:ind w:firstLineChars="0" w:firstLine="0"/>
    </w:pPr>
    <w:rPr>
      <w:color w:val="000000"/>
    </w:rPr>
  </w:style>
  <w:style w:type="character" w:styleId="PlaceholderText">
    <w:name w:val="Placeholder Text"/>
    <w:uiPriority w:val="99"/>
    <w:semiHidden/>
    <w:qFormat/>
    <w:rPr>
      <w:color w:val="808080"/>
    </w:rPr>
  </w:style>
  <w:style w:type="paragraph" w:customStyle="1" w:styleId="af">
    <w:name w:val="致谢部分"/>
    <w:basedOn w:val="BodyText"/>
    <w:link w:val="af0"/>
    <w:qFormat/>
    <w:pPr>
      <w:snapToGrid w:val="0"/>
      <w:spacing w:before="240" w:after="240" w:line="288" w:lineRule="auto"/>
      <w:ind w:firstLineChars="0" w:firstLine="0"/>
    </w:pPr>
    <w:rPr>
      <w:b/>
      <w:kern w:val="2"/>
      <w:sz w:val="24"/>
      <w:szCs w:val="24"/>
    </w:rPr>
  </w:style>
  <w:style w:type="character" w:customStyle="1" w:styleId="af0">
    <w:name w:val="致谢部分 字符"/>
    <w:link w:val="af"/>
    <w:qFormat/>
    <w:rPr>
      <w:rFonts w:ascii="Times New Roman" w:eastAsia="Times New Roman" w:hAnsi="Times New Roman"/>
      <w:b/>
      <w:kern w:val="2"/>
      <w:sz w:val="24"/>
      <w:szCs w:val="24"/>
    </w:rPr>
  </w:style>
  <w:style w:type="paragraph" w:customStyle="1" w:styleId="af1">
    <w:name w:val="作者信息"/>
    <w:basedOn w:val="Normal"/>
    <w:qFormat/>
    <w:pPr>
      <w:adjustRightInd w:val="0"/>
      <w:snapToGrid w:val="0"/>
      <w:spacing w:after="240" w:line="288" w:lineRule="auto"/>
      <w:ind w:firstLineChars="0" w:firstLine="0"/>
    </w:pPr>
  </w:style>
  <w:style w:type="character" w:customStyle="1" w:styleId="CommentTextChar">
    <w:name w:val="Comment Text Char"/>
    <w:basedOn w:val="DefaultParagraphFont"/>
    <w:link w:val="CommentText"/>
    <w:uiPriority w:val="99"/>
    <w:semiHidden/>
    <w:qFormat/>
    <w:rPr>
      <w:rFonts w:ascii="Times New Roman" w:eastAsia="Times New Roman" w:hAnsi="Times New Roman"/>
      <w:kern w:val="2"/>
      <w:sz w:val="21"/>
      <w:szCs w:val="21"/>
    </w:rPr>
  </w:style>
  <w:style w:type="character" w:customStyle="1" w:styleId="CommentSubjectChar">
    <w:name w:val="Comment Subject Char"/>
    <w:basedOn w:val="CommentTextChar"/>
    <w:link w:val="CommentSubject"/>
    <w:uiPriority w:val="99"/>
    <w:semiHidden/>
    <w:rPr>
      <w:rFonts w:ascii="Times New Roman" w:eastAsia="Times New Roman" w:hAnsi="Times New Roman"/>
      <w:b/>
      <w:bCs/>
      <w:kern w:val="2"/>
      <w:sz w:val="21"/>
      <w:szCs w:val="21"/>
    </w:rPr>
  </w:style>
  <w:style w:type="paragraph" w:customStyle="1" w:styleId="IMR-">
    <w:name w:val="IMR-首页页脚"/>
    <w:basedOn w:val="Footer"/>
    <w:qFormat/>
    <w:pPr>
      <w:pBdr>
        <w:top w:val="single" w:sz="4" w:space="5" w:color="auto"/>
      </w:pBdr>
      <w:ind w:firstLineChars="0" w:firstLine="0"/>
    </w:pPr>
    <w:rPr>
      <w:sz w:val="16"/>
      <w:szCs w:val="12"/>
    </w:rPr>
  </w:style>
  <w:style w:type="paragraph" w:customStyle="1" w:styleId="affiliation">
    <w:name w:val="affiliation"/>
    <w:basedOn w:val="Normal"/>
    <w:next w:val="phone"/>
    <w:qFormat/>
    <w:pPr>
      <w:widowControl/>
      <w:overflowPunct w:val="0"/>
      <w:autoSpaceDE w:val="0"/>
      <w:autoSpaceDN w:val="0"/>
      <w:adjustRightInd w:val="0"/>
      <w:spacing w:before="120"/>
      <w:ind w:firstLineChars="0" w:firstLine="0"/>
      <w:jc w:val="left"/>
      <w:textAlignment w:val="baseline"/>
    </w:pPr>
    <w:rPr>
      <w:rFonts w:eastAsia="SimSun"/>
      <w:i/>
      <w:kern w:val="0"/>
      <w:sz w:val="24"/>
      <w:szCs w:val="20"/>
      <w:lang w:eastAsia="de-DE"/>
    </w:rPr>
  </w:style>
  <w:style w:type="paragraph" w:customStyle="1" w:styleId="phone">
    <w:name w:val="phone"/>
    <w:basedOn w:val="Normal"/>
    <w:next w:val="fax"/>
    <w:pPr>
      <w:widowControl/>
      <w:overflowPunct w:val="0"/>
      <w:autoSpaceDE w:val="0"/>
      <w:autoSpaceDN w:val="0"/>
      <w:adjustRightInd w:val="0"/>
      <w:spacing w:before="120"/>
      <w:ind w:firstLineChars="0" w:firstLine="0"/>
      <w:jc w:val="left"/>
      <w:textAlignment w:val="baseline"/>
    </w:pPr>
    <w:rPr>
      <w:rFonts w:eastAsia="SimSun"/>
      <w:kern w:val="0"/>
      <w:sz w:val="20"/>
      <w:szCs w:val="20"/>
      <w:lang w:eastAsia="de-DE"/>
    </w:rPr>
  </w:style>
  <w:style w:type="paragraph" w:customStyle="1" w:styleId="fax">
    <w:name w:val="fax"/>
    <w:basedOn w:val="Normal"/>
    <w:next w:val="Normal"/>
    <w:qFormat/>
    <w:pPr>
      <w:widowControl/>
      <w:overflowPunct w:val="0"/>
      <w:autoSpaceDE w:val="0"/>
      <w:autoSpaceDN w:val="0"/>
      <w:adjustRightInd w:val="0"/>
      <w:spacing w:before="120"/>
      <w:ind w:firstLineChars="0" w:firstLine="0"/>
      <w:jc w:val="left"/>
      <w:textAlignment w:val="baseline"/>
    </w:pPr>
    <w:rPr>
      <w:rFonts w:eastAsia="SimSun"/>
      <w:kern w:val="0"/>
      <w:sz w:val="20"/>
      <w:szCs w:val="20"/>
      <w:lang w:eastAsia="de-DE"/>
    </w:rPr>
  </w:style>
  <w:style w:type="paragraph" w:customStyle="1" w:styleId="url">
    <w:name w:val="url"/>
    <w:basedOn w:val="Normal"/>
    <w:next w:val="Normal"/>
    <w:qFormat/>
    <w:pPr>
      <w:widowControl/>
      <w:overflowPunct w:val="0"/>
      <w:autoSpaceDE w:val="0"/>
      <w:autoSpaceDN w:val="0"/>
      <w:adjustRightInd w:val="0"/>
      <w:spacing w:before="120"/>
      <w:ind w:firstLineChars="0" w:firstLine="0"/>
      <w:jc w:val="left"/>
      <w:textAlignment w:val="baseline"/>
    </w:pPr>
    <w:rPr>
      <w:rFonts w:eastAsia="SimSun"/>
      <w:kern w:val="0"/>
      <w:sz w:val="20"/>
      <w:szCs w:val="20"/>
      <w:lang w:eastAsia="de-DE"/>
    </w:rPr>
  </w:style>
  <w:style w:type="character" w:styleId="FootnoteReference">
    <w:name w:val="footnote reference"/>
    <w:basedOn w:val="DefaultParagraphFont"/>
    <w:uiPriority w:val="99"/>
    <w:semiHidden/>
    <w:unhideWhenUsed/>
    <w:rsid w:val="00C907ED"/>
    <w:rPr>
      <w:vertAlign w:val="superscript"/>
    </w:rPr>
  </w:style>
  <w:style w:type="paragraph" w:styleId="FootnoteText">
    <w:name w:val="footnote text"/>
    <w:basedOn w:val="Normal"/>
    <w:link w:val="FootnoteTextChar"/>
    <w:uiPriority w:val="99"/>
    <w:semiHidden/>
    <w:unhideWhenUsed/>
    <w:rsid w:val="008510B0"/>
    <w:rPr>
      <w:sz w:val="20"/>
      <w:szCs w:val="20"/>
    </w:rPr>
  </w:style>
  <w:style w:type="character" w:customStyle="1" w:styleId="FootnoteTextChar">
    <w:name w:val="Footnote Text Char"/>
    <w:basedOn w:val="DefaultParagraphFont"/>
    <w:link w:val="FootnoteText"/>
    <w:uiPriority w:val="99"/>
    <w:semiHidden/>
    <w:rsid w:val="008510B0"/>
    <w:rPr>
      <w:rFonts w:ascii="Times New Roman" w:eastAsia="Times New Roman" w:hAnsi="Times New Roman"/>
      <w:kern w:val="2"/>
    </w:rPr>
  </w:style>
  <w:style w:type="paragraph" w:customStyle="1" w:styleId="MDPI31text">
    <w:name w:val="MDPI_3.1_text"/>
    <w:qFormat/>
    <w:rsid w:val="00324935"/>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43tablefooter">
    <w:name w:val="MDPI_4.3_table_footer"/>
    <w:next w:val="MDPI31text"/>
    <w:qFormat/>
    <w:rsid w:val="00C85953"/>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0E37D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71References">
    <w:name w:val="MDPI_7.1_References"/>
    <w:qFormat/>
    <w:rsid w:val="00E0686F"/>
    <w:pPr>
      <w:numPr>
        <w:numId w:val="5"/>
      </w:numPr>
      <w:adjustRightInd w:val="0"/>
      <w:snapToGrid w:val="0"/>
      <w:spacing w:line="228" w:lineRule="auto"/>
      <w:jc w:val="both"/>
    </w:pPr>
    <w:rPr>
      <w:rFonts w:ascii="Palatino Linotype" w:eastAsia="Times New Roman" w:hAnsi="Palatino Linotype"/>
      <w:color w:val="000000"/>
      <w:sz w:val="18"/>
      <w:lang w:eastAsia="de-DE" w:bidi="en-US"/>
    </w:rPr>
  </w:style>
  <w:style w:type="character" w:customStyle="1" w:styleId="A39">
    <w:name w:val="A3+9"/>
    <w:uiPriority w:val="99"/>
    <w:rsid w:val="00753147"/>
    <w:rPr>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ngXian" w:eastAsia="DengXian" w:hAnsi="DengXi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qFormat="1"/>
    <w:lsdException w:name="heading 3" w:semiHidden="0" w:uiPriority="9"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semiHidden="0" w:uiPriority="35" w:qFormat="1"/>
    <w:lsdException w:name="annotation reference" w:qFormat="1"/>
    <w:lsdException w:name="line number"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annotation subject" w:qFormat="1"/>
    <w:lsdException w:name="Balloon Text" w:qFormat="1"/>
    <w:lsdException w:name="Table Grid" w:semiHidden="0" w:uiPriority="5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ind w:firstLineChars="200" w:firstLine="200"/>
      <w:jc w:val="both"/>
    </w:pPr>
    <w:rPr>
      <w:rFonts w:ascii="Times New Roman" w:eastAsia="Times New Roman" w:hAnsi="Times New Roman"/>
      <w:kern w:val="2"/>
      <w:sz w:val="21"/>
      <w:szCs w:val="21"/>
    </w:rPr>
  </w:style>
  <w:style w:type="paragraph" w:styleId="Heading1">
    <w:name w:val="heading 1"/>
    <w:basedOn w:val="Normal"/>
    <w:next w:val="Normal"/>
    <w:link w:val="Heading1Char"/>
    <w:uiPriority w:val="1"/>
    <w:qFormat/>
    <w:pPr>
      <w:autoSpaceDE w:val="0"/>
      <w:autoSpaceDN w:val="0"/>
      <w:adjustRightInd w:val="0"/>
      <w:snapToGrid w:val="0"/>
      <w:spacing w:before="240" w:after="240"/>
      <w:ind w:firstLineChars="0" w:firstLine="0"/>
      <w:jc w:val="left"/>
      <w:outlineLvl w:val="0"/>
    </w:pPr>
    <w:rPr>
      <w:rFonts w:eastAsiaTheme="minorEastAsia" w:cs="Book Antiqua"/>
      <w:b/>
      <w:bCs/>
      <w:kern w:val="0"/>
      <w:sz w:val="24"/>
      <w:szCs w:val="20"/>
    </w:rPr>
  </w:style>
  <w:style w:type="paragraph" w:styleId="Heading2">
    <w:name w:val="heading 2"/>
    <w:basedOn w:val="Normal"/>
    <w:next w:val="Normal"/>
    <w:link w:val="Heading2Char"/>
    <w:uiPriority w:val="9"/>
    <w:unhideWhenUsed/>
    <w:qFormat/>
    <w:pPr>
      <w:keepNext/>
      <w:keepLines/>
      <w:adjustRightInd w:val="0"/>
      <w:snapToGrid w:val="0"/>
      <w:spacing w:before="240" w:after="240"/>
      <w:ind w:firstLineChars="0" w:firstLine="0"/>
      <w:outlineLvl w:val="1"/>
    </w:pPr>
    <w:rPr>
      <w:rFonts w:eastAsiaTheme="minorEastAsia"/>
      <w:bCs/>
      <w:i/>
    </w:rPr>
  </w:style>
  <w:style w:type="paragraph" w:styleId="Heading3">
    <w:name w:val="heading 3"/>
    <w:basedOn w:val="Normal"/>
    <w:next w:val="Normal"/>
    <w:link w:val="Heading3Char"/>
    <w:uiPriority w:val="9"/>
    <w:unhideWhenUsed/>
    <w:qFormat/>
    <w:pPr>
      <w:keepNext/>
      <w:keepLines/>
      <w:adjustRightInd w:val="0"/>
      <w:snapToGrid w:val="0"/>
      <w:spacing w:before="240" w:after="240" w:line="288" w:lineRule="auto"/>
      <w:ind w:firstLineChars="0" w:firstLine="0"/>
      <w:outlineLvl w:val="2"/>
    </w:pPr>
    <w:rPr>
      <w:rFonts w:eastAsiaTheme="minorEastAsia"/>
      <w:bCs/>
      <w:szCs w:val="32"/>
    </w:rPr>
  </w:style>
  <w:style w:type="paragraph" w:styleId="Heading4">
    <w:name w:val="heading 4"/>
    <w:basedOn w:val="Normal"/>
    <w:next w:val="Normal"/>
    <w:link w:val="Heading4Char"/>
    <w:uiPriority w:val="9"/>
    <w:qFormat/>
    <w:pPr>
      <w:keepNext/>
      <w:keepLines/>
      <w:spacing w:before="280" w:after="290" w:line="376" w:lineRule="auto"/>
      <w:ind w:firstLine="320"/>
      <w:outlineLvl w:val="3"/>
    </w:pPr>
    <w:rPr>
      <w:rFonts w:ascii="Calibri Light" w:eastAsia="NimbusRomNo9L" w:hAnsi="Calibri Light" w:cs="NimbusRomNo9L"/>
      <w:b/>
      <w:bCs/>
      <w:kern w:val="0"/>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20" w:lineRule="auto"/>
      <w:ind w:firstLineChars="0" w:firstLine="0"/>
      <w:outlineLvl w:val="5"/>
    </w:pPr>
    <w:rPr>
      <w:rFonts w:ascii="DengXian Light" w:eastAsia="DengXian Light" w:hAnsi="DengXian Light"/>
      <w:b/>
      <w:bCs/>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40" w:after="64" w:line="320" w:lineRule="auto"/>
      <w:ind w:firstLineChars="0" w:firstLine="0"/>
      <w:outlineLvl w:val="6"/>
    </w:pPr>
    <w:rPr>
      <w:b/>
      <w:bCs/>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40" w:after="64" w:line="320" w:lineRule="auto"/>
      <w:ind w:firstLineChars="0" w:firstLine="0"/>
      <w:outlineLvl w:val="7"/>
    </w:pPr>
    <w:rPr>
      <w:rFonts w:ascii="DengXian Light" w:eastAsia="DengXian Light" w:hAnsi="DengXian Light"/>
      <w:sz w:val="24"/>
      <w:szCs w:val="24"/>
    </w:rPr>
  </w:style>
  <w:style w:type="paragraph" w:styleId="Heading9">
    <w:name w:val="heading 9"/>
    <w:basedOn w:val="Normal"/>
    <w:next w:val="Normal"/>
    <w:link w:val="Heading9Char"/>
    <w:uiPriority w:val="9"/>
    <w:semiHidden/>
    <w:unhideWhenUsed/>
    <w:qFormat/>
    <w:pPr>
      <w:keepNext/>
      <w:keepLines/>
      <w:numPr>
        <w:ilvl w:val="8"/>
        <w:numId w:val="1"/>
      </w:numPr>
      <w:spacing w:before="240" w:after="64" w:line="320" w:lineRule="auto"/>
      <w:ind w:firstLineChars="0" w:firstLine="0"/>
      <w:outlineLvl w:val="8"/>
    </w:pPr>
    <w:rPr>
      <w:rFonts w:ascii="DengXian Light" w:eastAsia="DengXian Light" w:hAnsi="DengXian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ind w:firstLineChars="0" w:firstLine="0"/>
    </w:pPr>
  </w:style>
  <w:style w:type="paragraph" w:styleId="CommentText">
    <w:name w:val="annotation text"/>
    <w:basedOn w:val="Normal"/>
    <w:link w:val="CommentTextChar"/>
    <w:uiPriority w:val="99"/>
    <w:semiHidden/>
    <w:unhideWhenUsed/>
    <w:qFormat/>
    <w:pPr>
      <w:jc w:val="left"/>
    </w:pPr>
  </w:style>
  <w:style w:type="paragraph" w:styleId="BodyText">
    <w:name w:val="Body Text"/>
    <w:basedOn w:val="Normal"/>
    <w:link w:val="BodyTextChar"/>
    <w:uiPriority w:val="1"/>
    <w:qFormat/>
    <w:pPr>
      <w:autoSpaceDE w:val="0"/>
      <w:autoSpaceDN w:val="0"/>
      <w:adjustRightInd w:val="0"/>
      <w:ind w:firstLine="420"/>
    </w:pPr>
    <w:rPr>
      <w:kern w:val="0"/>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spacing w:before="240" w:after="24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adjustRightInd w:val="0"/>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pPr>
    <w:rPr>
      <w:lang w:eastAsia="en-U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uiPriority w:val="99"/>
    <w:semiHidden/>
    <w:unhideWhenUsed/>
    <w:qFormat/>
  </w:style>
  <w:style w:type="character" w:styleId="Hyperlink">
    <w:name w:val="Hyperlink"/>
    <w:uiPriority w:val="99"/>
    <w:unhideWhenUsed/>
    <w:qFormat/>
    <w:rPr>
      <w:color w:val="0563C1"/>
      <w:u w:val="single"/>
    </w:rPr>
  </w:style>
  <w:style w:type="character" w:styleId="CommentReference">
    <w:name w:val="annotation reference"/>
    <w:basedOn w:val="DefaultParagraphFont"/>
    <w:uiPriority w:val="99"/>
    <w:semiHidden/>
    <w:unhideWhenUsed/>
    <w:qFormat/>
    <w:rPr>
      <w:sz w:val="21"/>
      <w:szCs w:val="21"/>
    </w:rPr>
  </w:style>
  <w:style w:type="character" w:customStyle="1" w:styleId="HeaderChar">
    <w:name w:val="Header Char"/>
    <w:link w:val="Header"/>
    <w:uiPriority w:val="99"/>
    <w:qFormat/>
    <w:rPr>
      <w:rFonts w:ascii="Times New Roman" w:eastAsia="Times New Roman" w:hAnsi="Times New Roman"/>
      <w:kern w:val="2"/>
      <w:sz w:val="18"/>
      <w:szCs w:val="18"/>
    </w:rPr>
  </w:style>
  <w:style w:type="character" w:customStyle="1" w:styleId="FooterChar">
    <w:name w:val="Footer Char"/>
    <w:link w:val="Footer"/>
    <w:uiPriority w:val="99"/>
    <w:qFormat/>
    <w:rPr>
      <w:rFonts w:ascii="Times New Roman" w:eastAsia="Times New Roman" w:hAnsi="Times New Roman"/>
      <w:kern w:val="2"/>
      <w:sz w:val="18"/>
      <w:szCs w:val="18"/>
    </w:rPr>
  </w:style>
  <w:style w:type="character" w:customStyle="1" w:styleId="Heading1Char">
    <w:name w:val="Heading 1 Char"/>
    <w:link w:val="Heading1"/>
    <w:uiPriority w:val="1"/>
    <w:qFormat/>
    <w:rPr>
      <w:rFonts w:ascii="Times New Roman" w:eastAsiaTheme="minorEastAsia" w:hAnsi="Times New Roman" w:cs="Book Antiqua"/>
      <w:b/>
      <w:bCs/>
      <w:sz w:val="24"/>
    </w:rPr>
  </w:style>
  <w:style w:type="character" w:customStyle="1" w:styleId="BodyTextChar">
    <w:name w:val="Body Text Char"/>
    <w:link w:val="BodyText"/>
    <w:uiPriority w:val="1"/>
    <w:qFormat/>
    <w:rPr>
      <w:rFonts w:ascii="Times New Roman" w:eastAsia="Times New Roman" w:hAnsi="Times New Roman"/>
      <w:sz w:val="21"/>
      <w:szCs w:val="21"/>
    </w:rPr>
  </w:style>
  <w:style w:type="paragraph" w:styleId="ListParagraph">
    <w:name w:val="List Paragraph"/>
    <w:basedOn w:val="Normal"/>
    <w:uiPriority w:val="34"/>
    <w:qFormat/>
    <w:pPr>
      <w:autoSpaceDE w:val="0"/>
      <w:autoSpaceDN w:val="0"/>
      <w:adjustRightInd w:val="0"/>
      <w:spacing w:before="3"/>
      <w:ind w:left="561" w:right="126" w:hanging="431"/>
    </w:pPr>
    <w:rPr>
      <w:rFonts w:ascii="Book Antiqua" w:hAnsi="Book Antiqua" w:cs="Book Antiqua"/>
      <w:kern w:val="0"/>
      <w:sz w:val="24"/>
      <w:szCs w:val="24"/>
    </w:rPr>
  </w:style>
  <w:style w:type="paragraph" w:customStyle="1" w:styleId="TableParagraph">
    <w:name w:val="Table Paragraph"/>
    <w:basedOn w:val="Normal"/>
    <w:uiPriority w:val="1"/>
    <w:qFormat/>
    <w:pPr>
      <w:autoSpaceDE w:val="0"/>
      <w:autoSpaceDN w:val="0"/>
      <w:adjustRightInd w:val="0"/>
      <w:ind w:left="133"/>
      <w:jc w:val="center"/>
    </w:pPr>
    <w:rPr>
      <w:rFonts w:ascii="Book Antiqua" w:hAnsi="Book Antiqua" w:cs="Book Antiqua"/>
      <w:kern w:val="0"/>
      <w:sz w:val="24"/>
      <w:szCs w:val="24"/>
    </w:rPr>
  </w:style>
  <w:style w:type="table" w:customStyle="1" w:styleId="5-11">
    <w:name w:val="网格表 5 深色 - 着色 11"/>
    <w:basedOn w:val="TableNormal"/>
    <w:uiPriority w:val="50"/>
    <w:qFormat/>
    <w:rPr>
      <w:rFonts w:ascii="Times New Roman" w:eastAsia="SimSun" w:hAnsi="Times New Roma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5-111">
    <w:name w:val="网格表 5 深色 - 着色 111"/>
    <w:basedOn w:val="TableNormal"/>
    <w:uiPriority w:val="50"/>
    <w:qFormat/>
    <w:rPr>
      <w:rFonts w:ascii="Times New Roman" w:eastAsia="SimSun" w:hAnsi="Times New Roma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5-112">
    <w:name w:val="网格表 5 深色 - 着色 112"/>
    <w:basedOn w:val="TableNormal"/>
    <w:uiPriority w:val="50"/>
    <w:qFormat/>
    <w:rPr>
      <w:rFonts w:ascii="Times New Roman" w:eastAsia="SimSun" w:hAnsi="Times New Roman"/>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Heading2Char">
    <w:name w:val="Heading 2 Char"/>
    <w:link w:val="Heading2"/>
    <w:uiPriority w:val="9"/>
    <w:qFormat/>
    <w:rPr>
      <w:rFonts w:ascii="Times New Roman" w:eastAsiaTheme="minorEastAsia" w:hAnsi="Times New Roman"/>
      <w:bCs/>
      <w:i/>
      <w:kern w:val="2"/>
      <w:sz w:val="21"/>
      <w:szCs w:val="21"/>
    </w:rPr>
  </w:style>
  <w:style w:type="character" w:customStyle="1" w:styleId="BalloonTextChar">
    <w:name w:val="Balloon Text Char"/>
    <w:basedOn w:val="DefaultParagraphFont"/>
    <w:link w:val="BalloonText"/>
    <w:uiPriority w:val="99"/>
    <w:semiHidden/>
    <w:qFormat/>
    <w:rPr>
      <w:rFonts w:ascii="Times New Roman" w:eastAsia="Times New Roman" w:hAnsi="Times New Roman"/>
      <w:kern w:val="2"/>
      <w:sz w:val="18"/>
      <w:szCs w:val="18"/>
    </w:rPr>
  </w:style>
  <w:style w:type="paragraph" w:customStyle="1" w:styleId="EndNoteBibliographyTitle">
    <w:name w:val="EndNote Bibliography Title"/>
    <w:basedOn w:val="Normal"/>
    <w:link w:val="EndNoteBibliographyTitle0"/>
    <w:qFormat/>
    <w:pPr>
      <w:jc w:val="center"/>
    </w:pPr>
    <w:rPr>
      <w:sz w:val="20"/>
    </w:rPr>
  </w:style>
  <w:style w:type="character" w:customStyle="1" w:styleId="EndNoteBibliographyTitle0">
    <w:name w:val="EndNote Bibliography Title 字符"/>
    <w:basedOn w:val="DefaultParagraphFont"/>
    <w:link w:val="EndNoteBibliographyTitle"/>
    <w:qFormat/>
    <w:rPr>
      <w:kern w:val="2"/>
      <w:szCs w:val="22"/>
    </w:rPr>
  </w:style>
  <w:style w:type="paragraph" w:customStyle="1" w:styleId="EndNoteBibliography">
    <w:name w:val="EndNote Bibliography"/>
    <w:basedOn w:val="Normal"/>
    <w:link w:val="EndNoteBibliography0"/>
    <w:qFormat/>
    <w:rPr>
      <w:sz w:val="20"/>
    </w:rPr>
  </w:style>
  <w:style w:type="character" w:customStyle="1" w:styleId="EndNoteBibliography0">
    <w:name w:val="EndNote Bibliography 字符"/>
    <w:basedOn w:val="DefaultParagraphFont"/>
    <w:link w:val="EndNoteBibliography"/>
    <w:qFormat/>
    <w:rPr>
      <w:kern w:val="2"/>
      <w:szCs w:val="22"/>
    </w:rPr>
  </w:style>
  <w:style w:type="paragraph" w:customStyle="1" w:styleId="Abstract">
    <w:name w:val="Abstract"/>
    <w:basedOn w:val="Normal"/>
    <w:qFormat/>
    <w:pPr>
      <w:adjustRightInd w:val="0"/>
      <w:snapToGrid w:val="0"/>
      <w:spacing w:before="240" w:line="288" w:lineRule="auto"/>
      <w:ind w:firstLineChars="0" w:firstLine="0"/>
    </w:pPr>
    <w:rPr>
      <w:b/>
      <w:sz w:val="24"/>
      <w:szCs w:val="24"/>
    </w:rPr>
  </w:style>
  <w:style w:type="paragraph" w:customStyle="1" w:styleId="Keywords">
    <w:name w:val="Keywords"/>
    <w:basedOn w:val="Normal"/>
    <w:qFormat/>
    <w:pPr>
      <w:adjustRightInd w:val="0"/>
      <w:snapToGrid w:val="0"/>
      <w:spacing w:before="240"/>
      <w:ind w:firstLineChars="0" w:firstLine="0"/>
    </w:pPr>
    <w:rPr>
      <w:rFonts w:eastAsia="SimSun"/>
      <w:b/>
      <w:sz w:val="24"/>
    </w:rPr>
  </w:style>
  <w:style w:type="paragraph" w:customStyle="1" w:styleId="References">
    <w:name w:val="References"/>
    <w:basedOn w:val="Normal"/>
    <w:link w:val="References0"/>
    <w:qFormat/>
    <w:pPr>
      <w:autoSpaceDE w:val="0"/>
      <w:autoSpaceDN w:val="0"/>
      <w:adjustRightInd w:val="0"/>
      <w:ind w:firstLineChars="0" w:firstLine="0"/>
    </w:pPr>
    <w:rPr>
      <w:b/>
      <w:kern w:val="0"/>
      <w:sz w:val="24"/>
      <w:szCs w:val="24"/>
    </w:rPr>
  </w:style>
  <w:style w:type="character" w:customStyle="1" w:styleId="References0">
    <w:name w:val="References 字符"/>
    <w:basedOn w:val="DefaultParagraphFont"/>
    <w:link w:val="References"/>
    <w:qFormat/>
    <w:rPr>
      <w:rFonts w:ascii="Times New Roman" w:eastAsia="Times New Roman" w:hAnsi="Times New Roman"/>
      <w:b/>
      <w:sz w:val="24"/>
      <w:szCs w:val="24"/>
    </w:rPr>
  </w:style>
  <w:style w:type="paragraph" w:customStyle="1" w:styleId="a">
    <w:name w:val="版权信息"/>
    <w:basedOn w:val="Normal"/>
    <w:qFormat/>
    <w:pPr>
      <w:ind w:firstLineChars="0" w:firstLine="0"/>
    </w:pPr>
  </w:style>
  <w:style w:type="character" w:customStyle="1" w:styleId="Heading3Char">
    <w:name w:val="Heading 3 Char"/>
    <w:link w:val="Heading3"/>
    <w:uiPriority w:val="9"/>
    <w:qFormat/>
    <w:rPr>
      <w:rFonts w:ascii="Times New Roman" w:eastAsiaTheme="minorEastAsia" w:hAnsi="Times New Roman"/>
      <w:bCs/>
      <w:kern w:val="2"/>
      <w:sz w:val="21"/>
      <w:szCs w:val="32"/>
    </w:rPr>
  </w:style>
  <w:style w:type="character" w:customStyle="1" w:styleId="Heading4Char">
    <w:name w:val="Heading 4 Char"/>
    <w:link w:val="Heading4"/>
    <w:uiPriority w:val="9"/>
    <w:qFormat/>
    <w:rPr>
      <w:rFonts w:ascii="Calibri Light" w:eastAsia="NimbusRomNo9L" w:hAnsi="Calibri Light" w:cs="NimbusRomNo9L"/>
      <w:b/>
      <w:bCs/>
      <w:sz w:val="28"/>
      <w:szCs w:val="28"/>
    </w:rPr>
  </w:style>
  <w:style w:type="character" w:customStyle="1" w:styleId="Heading5Char">
    <w:name w:val="Heading 5 Char"/>
    <w:link w:val="Heading5"/>
    <w:uiPriority w:val="9"/>
    <w:qFormat/>
    <w:rPr>
      <w:rFonts w:ascii="Times New Roman" w:eastAsia="Times New Roman" w:hAnsi="Times New Roman"/>
      <w:b/>
      <w:bCs/>
      <w:kern w:val="2"/>
      <w:sz w:val="28"/>
      <w:szCs w:val="28"/>
    </w:rPr>
  </w:style>
  <w:style w:type="character" w:customStyle="1" w:styleId="Heading6Char">
    <w:name w:val="Heading 6 Char"/>
    <w:link w:val="Heading6"/>
    <w:uiPriority w:val="9"/>
    <w:qFormat/>
    <w:rPr>
      <w:rFonts w:ascii="DengXian Light" w:eastAsia="DengXian Light" w:hAnsi="DengXian Light"/>
      <w:b/>
      <w:bCs/>
      <w:kern w:val="2"/>
      <w:sz w:val="24"/>
      <w:szCs w:val="24"/>
    </w:rPr>
  </w:style>
  <w:style w:type="character" w:customStyle="1" w:styleId="Heading7Char">
    <w:name w:val="Heading 7 Char"/>
    <w:link w:val="Heading7"/>
    <w:uiPriority w:val="9"/>
    <w:qFormat/>
    <w:rPr>
      <w:rFonts w:ascii="Times New Roman" w:eastAsia="Times New Roman" w:hAnsi="Times New Roman"/>
      <w:b/>
      <w:bCs/>
      <w:kern w:val="2"/>
      <w:sz w:val="24"/>
      <w:szCs w:val="24"/>
    </w:rPr>
  </w:style>
  <w:style w:type="character" w:customStyle="1" w:styleId="Heading8Char">
    <w:name w:val="Heading 8 Char"/>
    <w:link w:val="Heading8"/>
    <w:uiPriority w:val="9"/>
    <w:qFormat/>
    <w:rPr>
      <w:rFonts w:ascii="DengXian Light" w:eastAsia="DengXian Light" w:hAnsi="DengXian Light"/>
      <w:kern w:val="2"/>
      <w:sz w:val="24"/>
      <w:szCs w:val="24"/>
    </w:rPr>
  </w:style>
  <w:style w:type="character" w:customStyle="1" w:styleId="Heading9Char">
    <w:name w:val="Heading 9 Char"/>
    <w:link w:val="Heading9"/>
    <w:uiPriority w:val="9"/>
    <w:semiHidden/>
    <w:qFormat/>
    <w:rPr>
      <w:rFonts w:ascii="DengXian Light" w:eastAsia="DengXian Light" w:hAnsi="DengXian Light"/>
      <w:kern w:val="2"/>
      <w:sz w:val="21"/>
      <w:szCs w:val="21"/>
    </w:rPr>
  </w:style>
  <w:style w:type="paragraph" w:customStyle="1" w:styleId="a0">
    <w:name w:val="表题"/>
    <w:basedOn w:val="Normal"/>
    <w:qFormat/>
    <w:pPr>
      <w:spacing w:beforeLines="100" w:before="312" w:afterLines="100" w:after="312"/>
      <w:ind w:firstLineChars="0" w:firstLine="0"/>
      <w:jc w:val="center"/>
    </w:pPr>
    <w:rPr>
      <w:b/>
      <w:sz w:val="18"/>
    </w:rPr>
  </w:style>
  <w:style w:type="paragraph" w:customStyle="1" w:styleId="a1">
    <w:name w:val="表注"/>
    <w:basedOn w:val="a0"/>
    <w:qFormat/>
    <w:pPr>
      <w:adjustRightInd w:val="0"/>
      <w:snapToGrid w:val="0"/>
      <w:spacing w:beforeLines="0" w:before="0" w:afterLines="0" w:after="0" w:line="288" w:lineRule="auto"/>
      <w:jc w:val="both"/>
    </w:pPr>
    <w:rPr>
      <w:b w:val="0"/>
      <w:sz w:val="16"/>
    </w:rPr>
  </w:style>
  <w:style w:type="paragraph" w:customStyle="1" w:styleId="a2">
    <w:name w:val="参考文献"/>
    <w:basedOn w:val="Normal"/>
    <w:qFormat/>
    <w:pPr>
      <w:adjustRightInd w:val="0"/>
      <w:snapToGrid w:val="0"/>
      <w:spacing w:line="288" w:lineRule="auto"/>
      <w:ind w:left="400" w:hangingChars="200" w:hanging="400"/>
    </w:pPr>
    <w:rPr>
      <w:rFonts w:eastAsia="DengXian"/>
      <w:sz w:val="18"/>
      <w:szCs w:val="24"/>
    </w:rPr>
  </w:style>
  <w:style w:type="paragraph" w:customStyle="1" w:styleId="a3">
    <w:name w:val="稿件类型"/>
    <w:basedOn w:val="Normal"/>
    <w:qFormat/>
    <w:pPr>
      <w:adjustRightInd w:val="0"/>
      <w:snapToGrid w:val="0"/>
      <w:spacing w:before="360" w:line="288" w:lineRule="auto"/>
      <w:ind w:firstLineChars="0" w:firstLine="0"/>
      <w:jc w:val="left"/>
    </w:pPr>
    <w:rPr>
      <w:rFonts w:eastAsia="SimSun"/>
    </w:rPr>
  </w:style>
  <w:style w:type="paragraph" w:customStyle="1" w:styleId="a4">
    <w:name w:val="关键词"/>
    <w:basedOn w:val="Normal"/>
    <w:qFormat/>
    <w:pPr>
      <w:adjustRightInd w:val="0"/>
      <w:snapToGrid w:val="0"/>
      <w:spacing w:line="288" w:lineRule="auto"/>
      <w:ind w:firstLineChars="0" w:firstLine="0"/>
    </w:pPr>
  </w:style>
  <w:style w:type="paragraph" w:customStyle="1" w:styleId="a5">
    <w:name w:val="机构信息"/>
    <w:basedOn w:val="Normal"/>
    <w:link w:val="a6"/>
    <w:qFormat/>
    <w:pPr>
      <w:ind w:firstLineChars="0" w:firstLine="0"/>
    </w:pPr>
    <w:rPr>
      <w:i/>
    </w:rPr>
  </w:style>
  <w:style w:type="character" w:customStyle="1" w:styleId="a6">
    <w:name w:val="机构信息 字符"/>
    <w:link w:val="a5"/>
    <w:qFormat/>
    <w:rPr>
      <w:rFonts w:ascii="Times New Roman" w:eastAsia="Times New Roman" w:hAnsi="Times New Roman"/>
      <w:i/>
      <w:kern w:val="2"/>
      <w:sz w:val="21"/>
      <w:szCs w:val="21"/>
    </w:rPr>
  </w:style>
  <w:style w:type="paragraph" w:customStyle="1" w:styleId="a7">
    <w:name w:val="接收日期"/>
    <w:basedOn w:val="Normal"/>
    <w:qFormat/>
    <w:pPr>
      <w:ind w:firstLineChars="0" w:firstLine="0"/>
    </w:pPr>
    <w:rPr>
      <w:sz w:val="16"/>
    </w:rPr>
  </w:style>
  <w:style w:type="paragraph" w:customStyle="1" w:styleId="a8">
    <w:name w:val="通讯作者"/>
    <w:basedOn w:val="Normal"/>
    <w:qFormat/>
    <w:pPr>
      <w:adjustRightInd w:val="0"/>
      <w:snapToGrid w:val="0"/>
      <w:spacing w:line="288" w:lineRule="auto"/>
      <w:ind w:firstLineChars="0" w:firstLine="0"/>
    </w:pPr>
    <w:rPr>
      <w:sz w:val="18"/>
      <w:szCs w:val="18"/>
    </w:rPr>
  </w:style>
  <w:style w:type="paragraph" w:customStyle="1" w:styleId="a9">
    <w:name w:val="图注"/>
    <w:basedOn w:val="a1"/>
    <w:qFormat/>
    <w:rPr>
      <w:rFonts w:eastAsia="SimSun"/>
      <w:b/>
      <w:bCs/>
      <w:kern w:val="0"/>
      <w:sz w:val="18"/>
    </w:rPr>
  </w:style>
  <w:style w:type="paragraph" w:customStyle="1" w:styleId="aa">
    <w:name w:val="文章标题"/>
    <w:basedOn w:val="Normal"/>
    <w:link w:val="ab"/>
    <w:qFormat/>
    <w:pPr>
      <w:kinsoku w:val="0"/>
      <w:overflowPunct w:val="0"/>
      <w:autoSpaceDE w:val="0"/>
      <w:autoSpaceDN w:val="0"/>
      <w:adjustRightInd w:val="0"/>
      <w:snapToGrid w:val="0"/>
      <w:spacing w:after="240" w:line="288" w:lineRule="auto"/>
      <w:ind w:firstLineChars="0" w:firstLine="0"/>
    </w:pPr>
    <w:rPr>
      <w:b/>
      <w:bCs/>
      <w:spacing w:val="-8"/>
      <w:sz w:val="32"/>
      <w:szCs w:val="32"/>
    </w:rPr>
  </w:style>
  <w:style w:type="character" w:customStyle="1" w:styleId="ab">
    <w:name w:val="文章标题 字符"/>
    <w:link w:val="aa"/>
    <w:qFormat/>
    <w:rPr>
      <w:rFonts w:ascii="Times New Roman" w:eastAsia="Times New Roman" w:hAnsi="Times New Roman"/>
      <w:b/>
      <w:bCs/>
      <w:spacing w:val="-8"/>
      <w:kern w:val="2"/>
      <w:sz w:val="32"/>
      <w:szCs w:val="32"/>
    </w:rPr>
  </w:style>
  <w:style w:type="paragraph" w:customStyle="1" w:styleId="ac">
    <w:name w:val="文章内容"/>
    <w:basedOn w:val="Normal"/>
    <w:link w:val="ad"/>
    <w:qFormat/>
    <w:pPr>
      <w:ind w:firstLine="420"/>
    </w:pPr>
    <w:rPr>
      <w:color w:val="000000"/>
    </w:rPr>
  </w:style>
  <w:style w:type="character" w:customStyle="1" w:styleId="ad">
    <w:name w:val="文章内容 字符"/>
    <w:link w:val="ac"/>
    <w:qFormat/>
    <w:rPr>
      <w:rFonts w:ascii="Times New Roman" w:eastAsia="Times New Roman" w:hAnsi="Times New Roman"/>
      <w:color w:val="000000"/>
      <w:kern w:val="2"/>
      <w:sz w:val="21"/>
      <w:szCs w:val="21"/>
    </w:rPr>
  </w:style>
  <w:style w:type="paragraph" w:customStyle="1" w:styleId="ae">
    <w:name w:val="摘要"/>
    <w:basedOn w:val="Normal"/>
    <w:qFormat/>
    <w:pPr>
      <w:ind w:firstLineChars="0" w:firstLine="0"/>
    </w:pPr>
    <w:rPr>
      <w:color w:val="000000"/>
    </w:rPr>
  </w:style>
  <w:style w:type="character" w:styleId="PlaceholderText">
    <w:name w:val="Placeholder Text"/>
    <w:uiPriority w:val="99"/>
    <w:semiHidden/>
    <w:qFormat/>
    <w:rPr>
      <w:color w:val="808080"/>
    </w:rPr>
  </w:style>
  <w:style w:type="paragraph" w:customStyle="1" w:styleId="af">
    <w:name w:val="致谢部分"/>
    <w:basedOn w:val="BodyText"/>
    <w:link w:val="af0"/>
    <w:qFormat/>
    <w:pPr>
      <w:snapToGrid w:val="0"/>
      <w:spacing w:before="240" w:after="240" w:line="288" w:lineRule="auto"/>
      <w:ind w:firstLineChars="0" w:firstLine="0"/>
    </w:pPr>
    <w:rPr>
      <w:b/>
      <w:kern w:val="2"/>
      <w:sz w:val="24"/>
      <w:szCs w:val="24"/>
    </w:rPr>
  </w:style>
  <w:style w:type="character" w:customStyle="1" w:styleId="af0">
    <w:name w:val="致谢部分 字符"/>
    <w:link w:val="af"/>
    <w:qFormat/>
    <w:rPr>
      <w:rFonts w:ascii="Times New Roman" w:eastAsia="Times New Roman" w:hAnsi="Times New Roman"/>
      <w:b/>
      <w:kern w:val="2"/>
      <w:sz w:val="24"/>
      <w:szCs w:val="24"/>
    </w:rPr>
  </w:style>
  <w:style w:type="paragraph" w:customStyle="1" w:styleId="af1">
    <w:name w:val="作者信息"/>
    <w:basedOn w:val="Normal"/>
    <w:qFormat/>
    <w:pPr>
      <w:adjustRightInd w:val="0"/>
      <w:snapToGrid w:val="0"/>
      <w:spacing w:after="240" w:line="288" w:lineRule="auto"/>
      <w:ind w:firstLineChars="0" w:firstLine="0"/>
    </w:pPr>
  </w:style>
  <w:style w:type="character" w:customStyle="1" w:styleId="CommentTextChar">
    <w:name w:val="Comment Text Char"/>
    <w:basedOn w:val="DefaultParagraphFont"/>
    <w:link w:val="CommentText"/>
    <w:uiPriority w:val="99"/>
    <w:semiHidden/>
    <w:qFormat/>
    <w:rPr>
      <w:rFonts w:ascii="Times New Roman" w:eastAsia="Times New Roman" w:hAnsi="Times New Roman"/>
      <w:kern w:val="2"/>
      <w:sz w:val="21"/>
      <w:szCs w:val="21"/>
    </w:rPr>
  </w:style>
  <w:style w:type="character" w:customStyle="1" w:styleId="CommentSubjectChar">
    <w:name w:val="Comment Subject Char"/>
    <w:basedOn w:val="CommentTextChar"/>
    <w:link w:val="CommentSubject"/>
    <w:uiPriority w:val="99"/>
    <w:semiHidden/>
    <w:rPr>
      <w:rFonts w:ascii="Times New Roman" w:eastAsia="Times New Roman" w:hAnsi="Times New Roman"/>
      <w:b/>
      <w:bCs/>
      <w:kern w:val="2"/>
      <w:sz w:val="21"/>
      <w:szCs w:val="21"/>
    </w:rPr>
  </w:style>
  <w:style w:type="paragraph" w:customStyle="1" w:styleId="IMR-">
    <w:name w:val="IMR-首页页脚"/>
    <w:basedOn w:val="Footer"/>
    <w:qFormat/>
    <w:pPr>
      <w:pBdr>
        <w:top w:val="single" w:sz="4" w:space="5" w:color="auto"/>
      </w:pBdr>
      <w:ind w:firstLineChars="0" w:firstLine="0"/>
    </w:pPr>
    <w:rPr>
      <w:sz w:val="16"/>
      <w:szCs w:val="12"/>
    </w:rPr>
  </w:style>
  <w:style w:type="paragraph" w:customStyle="1" w:styleId="affiliation">
    <w:name w:val="affiliation"/>
    <w:basedOn w:val="Normal"/>
    <w:next w:val="phone"/>
    <w:qFormat/>
    <w:pPr>
      <w:widowControl/>
      <w:overflowPunct w:val="0"/>
      <w:autoSpaceDE w:val="0"/>
      <w:autoSpaceDN w:val="0"/>
      <w:adjustRightInd w:val="0"/>
      <w:spacing w:before="120"/>
      <w:ind w:firstLineChars="0" w:firstLine="0"/>
      <w:jc w:val="left"/>
      <w:textAlignment w:val="baseline"/>
    </w:pPr>
    <w:rPr>
      <w:rFonts w:eastAsia="SimSun"/>
      <w:i/>
      <w:kern w:val="0"/>
      <w:sz w:val="24"/>
      <w:szCs w:val="20"/>
      <w:lang w:eastAsia="de-DE"/>
    </w:rPr>
  </w:style>
  <w:style w:type="paragraph" w:customStyle="1" w:styleId="phone">
    <w:name w:val="phone"/>
    <w:basedOn w:val="Normal"/>
    <w:next w:val="fax"/>
    <w:pPr>
      <w:widowControl/>
      <w:overflowPunct w:val="0"/>
      <w:autoSpaceDE w:val="0"/>
      <w:autoSpaceDN w:val="0"/>
      <w:adjustRightInd w:val="0"/>
      <w:spacing w:before="120"/>
      <w:ind w:firstLineChars="0" w:firstLine="0"/>
      <w:jc w:val="left"/>
      <w:textAlignment w:val="baseline"/>
    </w:pPr>
    <w:rPr>
      <w:rFonts w:eastAsia="SimSun"/>
      <w:kern w:val="0"/>
      <w:sz w:val="20"/>
      <w:szCs w:val="20"/>
      <w:lang w:eastAsia="de-DE"/>
    </w:rPr>
  </w:style>
  <w:style w:type="paragraph" w:customStyle="1" w:styleId="fax">
    <w:name w:val="fax"/>
    <w:basedOn w:val="Normal"/>
    <w:next w:val="Normal"/>
    <w:qFormat/>
    <w:pPr>
      <w:widowControl/>
      <w:overflowPunct w:val="0"/>
      <w:autoSpaceDE w:val="0"/>
      <w:autoSpaceDN w:val="0"/>
      <w:adjustRightInd w:val="0"/>
      <w:spacing w:before="120"/>
      <w:ind w:firstLineChars="0" w:firstLine="0"/>
      <w:jc w:val="left"/>
      <w:textAlignment w:val="baseline"/>
    </w:pPr>
    <w:rPr>
      <w:rFonts w:eastAsia="SimSun"/>
      <w:kern w:val="0"/>
      <w:sz w:val="20"/>
      <w:szCs w:val="20"/>
      <w:lang w:eastAsia="de-DE"/>
    </w:rPr>
  </w:style>
  <w:style w:type="paragraph" w:customStyle="1" w:styleId="url">
    <w:name w:val="url"/>
    <w:basedOn w:val="Normal"/>
    <w:next w:val="Normal"/>
    <w:qFormat/>
    <w:pPr>
      <w:widowControl/>
      <w:overflowPunct w:val="0"/>
      <w:autoSpaceDE w:val="0"/>
      <w:autoSpaceDN w:val="0"/>
      <w:adjustRightInd w:val="0"/>
      <w:spacing w:before="120"/>
      <w:ind w:firstLineChars="0" w:firstLine="0"/>
      <w:jc w:val="left"/>
      <w:textAlignment w:val="baseline"/>
    </w:pPr>
    <w:rPr>
      <w:rFonts w:eastAsia="SimSun"/>
      <w:kern w:val="0"/>
      <w:sz w:val="20"/>
      <w:szCs w:val="20"/>
      <w:lang w:eastAsia="de-DE"/>
    </w:rPr>
  </w:style>
  <w:style w:type="character" w:styleId="FootnoteReference">
    <w:name w:val="footnote reference"/>
    <w:basedOn w:val="DefaultParagraphFont"/>
    <w:uiPriority w:val="99"/>
    <w:semiHidden/>
    <w:unhideWhenUsed/>
    <w:rsid w:val="00C907ED"/>
    <w:rPr>
      <w:vertAlign w:val="superscript"/>
    </w:rPr>
  </w:style>
  <w:style w:type="paragraph" w:styleId="FootnoteText">
    <w:name w:val="footnote text"/>
    <w:basedOn w:val="Normal"/>
    <w:link w:val="FootnoteTextChar"/>
    <w:uiPriority w:val="99"/>
    <w:semiHidden/>
    <w:unhideWhenUsed/>
    <w:rsid w:val="008510B0"/>
    <w:rPr>
      <w:sz w:val="20"/>
      <w:szCs w:val="20"/>
    </w:rPr>
  </w:style>
  <w:style w:type="character" w:customStyle="1" w:styleId="FootnoteTextChar">
    <w:name w:val="Footnote Text Char"/>
    <w:basedOn w:val="DefaultParagraphFont"/>
    <w:link w:val="FootnoteText"/>
    <w:uiPriority w:val="99"/>
    <w:semiHidden/>
    <w:rsid w:val="008510B0"/>
    <w:rPr>
      <w:rFonts w:ascii="Times New Roman" w:eastAsia="Times New Roman" w:hAnsi="Times New Roman"/>
      <w:kern w:val="2"/>
    </w:rPr>
  </w:style>
  <w:style w:type="paragraph" w:customStyle="1" w:styleId="MDPI31text">
    <w:name w:val="MDPI_3.1_text"/>
    <w:qFormat/>
    <w:rsid w:val="00324935"/>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43tablefooter">
    <w:name w:val="MDPI_4.3_table_footer"/>
    <w:next w:val="MDPI31text"/>
    <w:qFormat/>
    <w:rsid w:val="00C85953"/>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0E37D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71References">
    <w:name w:val="MDPI_7.1_References"/>
    <w:qFormat/>
    <w:rsid w:val="00E0686F"/>
    <w:pPr>
      <w:numPr>
        <w:numId w:val="5"/>
      </w:numPr>
      <w:adjustRightInd w:val="0"/>
      <w:snapToGrid w:val="0"/>
      <w:spacing w:line="228" w:lineRule="auto"/>
      <w:jc w:val="both"/>
    </w:pPr>
    <w:rPr>
      <w:rFonts w:ascii="Palatino Linotype" w:eastAsia="Times New Roman" w:hAnsi="Palatino Linotype"/>
      <w:color w:val="000000"/>
      <w:sz w:val="18"/>
      <w:lang w:eastAsia="de-DE" w:bidi="en-US"/>
    </w:rPr>
  </w:style>
  <w:style w:type="character" w:customStyle="1" w:styleId="A39">
    <w:name w:val="A3+9"/>
    <w:uiPriority w:val="99"/>
    <w:rsid w:val="00753147"/>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47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53F218-CF95-410E-8D31-06AB87165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12</Pages>
  <Words>20076</Words>
  <Characters>114435</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Adminidtrator</dc:creator>
  <cp:lastModifiedBy>Dusan</cp:lastModifiedBy>
  <cp:revision>116</cp:revision>
  <cp:lastPrinted>2020-10-13T08:10:00Z</cp:lastPrinted>
  <dcterms:created xsi:type="dcterms:W3CDTF">2021-10-09T02:31:00Z</dcterms:created>
  <dcterms:modified xsi:type="dcterms:W3CDTF">2022-09-20T06:48:00Z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6569BB7F62F54F148106182CAD392B0B</vt:lpwstr>
  </property>
  <property fmtid="{D5CDD505-2E9C-101B-9397-08002B2CF9AE}" pid="4" name="Mendeley Recent Style Id 0_1">
    <vt:lpwstr>http://www.zotero.org/styles/apa-6th-edition</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http://www.zotero.org/styles/chicago-fullnote-bibliography</vt:lpwstr>
  </property>
  <property fmtid="{D5CDD505-2E9C-101B-9397-08002B2CF9AE}" pid="13" name="Mendeley Recent Style Name 4_1">
    <vt:lpwstr>Chicago Manual of Style 17th edition (full note)</vt:lpwstr>
  </property>
  <property fmtid="{D5CDD505-2E9C-101B-9397-08002B2CF9AE}" pid="14" name="Mendeley Recent Style Id 5_1">
    <vt:lpwstr>http://www.zotero.org/styles/chicago-note-bibliography</vt:lpwstr>
  </property>
  <property fmtid="{D5CDD505-2E9C-101B-9397-08002B2CF9AE}" pid="15" name="Mendeley Recent Style Name 5_1">
    <vt:lpwstr>Chicago Manual of Style 17th edition (note)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Document_1">
    <vt:lpwstr>True</vt:lpwstr>
  </property>
  <property fmtid="{D5CDD505-2E9C-101B-9397-08002B2CF9AE}" pid="25" name="Mendeley Unique User Id_1">
    <vt:lpwstr>ae56b96b-50fb-343f-9aae-d1e88b30a457</vt:lpwstr>
  </property>
  <property fmtid="{D5CDD505-2E9C-101B-9397-08002B2CF9AE}" pid="26" name="Mendeley Citation Style_1">
    <vt:lpwstr>http://www.zotero.org/styles/vancouver</vt:lpwstr>
  </property>
</Properties>
</file>