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dd/mm/yyyy – 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3xqne0iwz79g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&lt;id of your 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&lt;name of your project, e.g.,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Hai Lúa&gt;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Huy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912001 -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Vu Nguyen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0912002 -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Huy Nguyen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0912003 -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Quang Tran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  <w:t xml:space="preserve">0912004 -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Khoa Dang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NVVu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NKHuy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NĐHuy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QA department prior to the report being presented to the Sponsor. 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NKHuy, Action date: Sep 17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2014)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</w:rPr>
      </w:pPr>
      <w:bookmarkStart w:colFirst="0" w:colLast="0" w:name="_heading=h.ahyol9mec49z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05" w:tblpY="14.554687499999659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NVVu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NKHuy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UGZCwhLukRjMkbjuhNuejx6bQA==">CgMxLjAyDmguM3hxbmUwaXd6NzlnMg5oLmFoeW9sOW1lYzQ5ejgAciExNDdncVdKZ0NxbWU0Zm9EMEo2dW1CS2ZKNjdhLVA0OHo=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