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444444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resumo executivo · julho de 2026</w:t>
      </w:r>
    </w:p>
    <w:p>
      <w:r>
        <w:br w:type="page"/>
      </w:r>
    </w:p>
    <w:p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EGS = 0 quando a área do ano fica abaixo de 1 km²  ·  multas deflacionadas (IPCA, base 2025)</w:t>
      </w:r>
    </w:p>
    <w:p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anos: 16 no Pará, 2 no Maranhão,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persistente: presença federal sem efeito, não ausência. Apuí (AM) mostra o instrumento funcionando no tempo: pior trecho sustentado em 2020–22 (desmatamento a 440 km²/ano, resposta estagnada) e queda do EGS quando a resposta federal e estadual chega em 2023–25: o município cai para a posição 141. Um monitor que nunca rebaixa ninguém não está medindo nada.</w:t>
      </w:r>
    </w:p>
    <w:p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stopifnot) + Power BI sobre 3 parquets. 55 checks com valores esperados versionados no próprio pipeline; toda decisão de fórmula tem teste empírico documentado (piso do denominador, limiar de materialidade, média 0-fill, deflator); seis auditorias adversariais independentes, cada uma replicando o pipeline a partir dos dados brutos em ambiente isolado — a última (jul/2026) reproduziu os 55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r>
        <w:br w:type="page"/>
      </w:r>
    </w:p>
    <w:p>
      <w:pPr>
        <w:pStyle w:val="Heading1"/>
      </w:pPr>
      <w:r>
        <w:t xml:space="preserve">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Enforcement Gap Score médio (2008–2025) por quintil. Escala ordinal (rank), nunca valor bruto; pinos verdes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