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1a3d2e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444444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666666"/>
          <w:sz w:val="18"/>
          <w:szCs w:val="18"/>
        </w:rPr>
        <w:t xml:space="preserve">versão 1.0.0 (pipeline v5, documentação v6) · julho de 2026</w:t>
      </w:r>
    </w:p>
    <w:p>
      <w:r>
        <w:br w:type="page"/>
      </w:r>
    </w:p>
    <w:p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seis auditorias adversariais. Todos os números citados foram confirmados por replicação independente a partir dos dados brutos (última replicação: 2026-07-27; 55/55 verificações reproduzidas exatamente, coeficientes de painel reconstruídos em outro motor).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possivelmente não consolidado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não registrada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r>
        <w:t xml:space="preserve">Os valores esperados das verificações são fotografias desses snapshots: o IBAMA revisa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pStyle w:val="Heading2"/>
      </w:pPr>
      <w:r>
        <w:t xml:space="preserve">1.2 Camadas e pureza de camada</w:t>
      </w:r>
    </w:p>
    <w:p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55 verificações</w:t>
      </w:r>
    </w:p>
    <w:p>
      <w:r>
        <w:t xml:space="preserve">Cada arquivo termina numa única query consolidada (UNION ALL) que retorna check_name | actual | expected | status, com falhas ordenadas para o topo do grid: 8 checks em staging, 26 em marts, 20 em analytics e 1 pós-export: 55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</w:t>
      </w:r>
    </w:p>
    <w:p>
      <w:pPr>
        <w:pStyle w:val="Heading2"/>
      </w:pPr>
      <w:r>
        <w:t xml:space="preserve">2.2 O deflator IPCA</w:t>
      </w:r>
    </w:p>
    <w:p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</w:t>
      </w:r>
    </w:p>
    <w:p>
      <w:pPr>
        <w:pStyle w:val="Heading1"/>
      </w:pPr>
      <w:r>
        <w:t xml:space="preserve">3. A fórmula e o teste empírico de cada decisão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EGS = 0                                                        se área &lt; 1 km²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EGS = log10(1 + área) / max(1, √(log10(1 + n_autos) × log10(1 + multas_reais)))   caso contrário</w:t>
      </w:r>
    </w:p>
    <w:p>
      <w:pPr>
        <w:pStyle w:val="Heading2"/>
      </w:pPr>
      <w:r>
        <w:t xml:space="preserve">3.1 Piso no denominador (max(1, ·))</w:t>
      </w:r>
    </w:p>
    <w:p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0,796: o piso é inerte para a massa dos dados.</w:t>
      </w:r>
    </w:p>
    <w:p>
      <w:pPr>
        <w:pStyle w:val="Heading2"/>
      </w:pPr>
      <w:r>
        <w:t xml:space="preserve">3.2 Limiar de materialidade (1 km²)</w:t>
      </w:r>
    </w:p>
    <w:p>
      <w:r>
        <w:t xml:space="preserve">Uma ordem de grandeza acima da unidade mínima de mapeamento real do PRODES (6,25 ha: verificada em documentação do INPE,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0,987 entre os rankings completos (772 municípios, empates por posto médio) — 0,9868 para 1 km² contra 6,25 ha e 0,9866 para 1 km² contra nenhum limiar. O limiar move apenas a estatística descritiva (os 54,3% sem pressão), não a ordenação: resultado de robustez citável, não suposição.</w:t>
      </w:r>
    </w:p>
    <w:p>
      <w:pPr>
        <w:pStyle w:val="Heading2"/>
      </w:pPr>
      <w:r>
        <w:t xml:space="preserve">3.3 Média 0-fill como ordenação principal</w:t>
      </w:r>
    </w:p>
    <w:p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</w:p>
    <w:p>
      <w:pPr>
        <w:pStyle w:val="Heading2"/>
      </w:pPr>
      <w:r>
        <w:t xml:space="preserve">3.4 Colunas de situação recente</w:t>
      </w:r>
    </w:p>
    <w:p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o PRODES 2025, possivelmente não consolidado: mantida com a nota “último ano sujeito a revisão”, por decisão.</w:t>
      </w:r>
    </w:p>
    <w:p>
      <w:pPr>
        <w:pStyle w:val="Heading2"/>
      </w:pPr>
      <w:r>
        <w:t xml:space="preserve">3.5 Deflação e escala</w:t>
      </w:r>
    </w:p>
    <w:p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no DuckDB (natural no R): a razão da fórmula é invariante à base, mas o piso quebra a invariância exata do valor: mais um motivo para o enquadramento estritamente ordinal do EGS.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r>
        <w:t xml:space="preserve">Painel balanceado confirmado (772 × 18, sem lacunas); trajetória anual cruzada com a taxa oficial do INPE em quatro anos-âncora: 2008 +2,9% (13.289 aqui vs. 12.911 oficial), 2012 −3,2% (4.427 vs. ~4.571), 2024 −3,9% (6.263 vs. 6.518 consolidado), 2025 −9,3% (5.258 vs. 5.796 estimado). Os quatro desvios são reportados individualmente, sem limiar de aprovação: o painel soma o export municipal do TerraBrasilis e a taxa oficial é apurada por estado sobre as cenas — são objetos distintos, e a comparação é um teste de ordem de grandeza, não de identidade. O desvio de 2025 é o maior e tem dupla explicação conhecida: o arquivo baixado antecede a consolidação do ano, e a própria taxa de 2025 é preliminar (a consolidada sai no primeiro semestre seguinte) — a mesma razão da nota “último ano sujeito a revisão”. Duas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 — o desvio correto é −3,9%, não −0,4%, e o valor 5.731 km² que aparecia como piso do intervalo de 2025 foi removido por não ter fonte localizável.</w:t>
      </w:r>
    </w:p>
    <w:p>
      <w:pPr>
        <w:pStyle w:val="Heading2"/>
      </w:pPr>
      <w:r>
        <w:t xml:space="preserve">4.2 Validação do same-year join</w:t>
      </w:r>
    </w:p>
    <w:p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civil: as janelas se sobrepõem em ~7 de 12 meses, e a validação de lag foi feita na base de ano civil. Parte do “lag” pode ser esse descompasso de calendário.</w:t>
      </w:r>
    </w:p>
    <w:p>
      <w:pPr>
        <w:pStyle w:val="Heading2"/>
      </w:pPr>
      <w:r>
        <w:t xml:space="preserve">4.3 Replicações independentes</w:t>
      </w:r>
    </w:p>
    <w:p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resultante, não estrutural. Seis auditorias externas replicaram o pipeline inteiro a partir dos CSVs brutos em ambientes isolados; a sexta (2026-07-27) reproduziu os 55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motores/threads: total_desmatado_km2 pode divergir em ±0,1 em ~10 municípios, e egs/fine_values no último bit (~1e-16); comparações exigem tolerância.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</w:t>
      </w:r>
    </w:p>
    <w:p>
      <w:pPr>
        <w:pStyle w:val="Heading2"/>
      </w:pPr>
      <w:r>
        <w:t xml:space="preserve">5.2 Top 20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300"/>
        <w:gridCol w:w="600"/>
        <w:gridCol w:w="1000"/>
        <w:gridCol w:w="450"/>
        <w:gridCol w:w="2300"/>
        <w:gridCol w:w="600"/>
        <w:gridCol w:w="1000"/>
      </w:tblGrid>
      <w:t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S. Domingos do Maranhão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Sta. Maria das Barreiras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</w:tr>
    </w:tbl>
    <w:p/>
    <w:p>
      <w:r>
        <w:t xml:space="preserve">Todos os 20 têm pressão material em 18/18 anos. Empate aparente no top 3/4: Monte Alegre (1,10893) precede Aveiro (1,10870) pela média não-arredondada: o desempate determinístico pela grandeza original, não pela versão de exibição, foi ele próprio um achado de auditoria (S18).</w:t>
      </w:r>
    </w:p>
    <w:p>
      <w:pPr>
        <w:pStyle w:val="Heading2"/>
      </w:pPr>
      <w:r>
        <w:t xml:space="preserve">5.3 Robustez entre versões e casos-teste</w:t>
      </w:r>
    </w:p>
    <w:p>
      <w:r>
        <w:t xml:space="preserve">Três municípios dos rankings descartados (v2/v3), os achados mais fortes do sistema, persistentes a uma troca completa de método, sobrevivem no novo top 20: Porto de Moz, Jacareacanga, São Domingos do Maranhão. As quedas são informativas por design: Governador Luiz Rocha (antigo nº 1 absoluto, 18 anos de streak, mediana 4,65 km²/ano) → 54º, porque magnitude agora importa; Itaituba e Apuí (antigos líderes do ranking medido, com duas das maiores respostas federais (561 e 845 autos, R$ 843M e R$ 1.027M deflacionados; para escala, o máximo por valor é Altamira, R$ 3,75 bi, e por autos, Porto Velho, 2.938)) → 129º/141º, porque a razão reconhece a resposta. 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2026-07-27.</w:t>
      </w:r>
    </w:p>
    <w:p>
      <w:pPr>
        <w:pStyle w:val="Heading2"/>
      </w:pPr>
      <w:r>
        <w:t xml:space="preserve">5.4 Verificação externa</w:t>
      </w:r>
    </w:p>
    <w:p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ausência de evidência (ex.: nada específico sobre Cachoeira do Piriá) é registrada como tal.</w:t>
      </w:r>
    </w:p>
    <w:p>
      <w:pPr>
        <w:pStyle w:val="Heading2"/>
      </w:pPr>
      <w:r>
        <w:t xml:space="preserve">5.5 Teste dinâmico de responsividade: efeitos fixos e event study</w:t>
      </w:r>
    </w:p>
    <w:p>
      <w:r>
        <w:t xml:space="preserve">Além da fórmula e do ranking, o painel foi usado para testar diretamente o mecanismo teórico do projeto de doutorado associado (sinal → visibilidade → custo político → resposta): um salto abrupto de desmatamento deveria, por essa lógica, elevar a fiscalização no período seguinte. Testado em painel de efeitos fixos bidimensionais (município e ano, erros-padrão clusterizados por município): o mesmo desenho planejado para a tese, reproduzido em R/fixest (viz/05_panel_effects.R, itens 15 e 16).</w:t>
      </w:r>
    </w:p>
    <w:p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r>
        <w:t xml:space="preserve">Corte estreito (um lag): isolando a variação abrupta (Δlog-área de t−1 para t) como preditor da resposta em t+1, controlando o nível contemporâneo, o sinal é o oposto do esperado: um salto abrupto está associado a MENOS autos e MENOS multa no ano seguinte (autos: −0,057, p &lt; 0,01, modelo m2; multa: −0,401,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alta (d_pos) e queda (d_neg) abruptas, o efeito é específico da alta (autos: −0,114, EP 0,032, p &lt; 0,001; queda: −0,005, n.s.): descartando reversão à média genérica como explicação mecânica.</w:t>
      </w:r>
    </w:p>
    <w:p>
      <w:r>
        <w:t xml:space="preserve">Teste dinâmico (event study): a especificação de um lag isolado é a mais favorável ao efeito. Estimando simultaneamente leads e lags do salto (tempo-evento -2 a +2, placebos em -2/-1,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+0,037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-0,001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+0,074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(pico)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-0,062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-0,212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-0,033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+0,007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-0,016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(n.s.)</w:t>
            </w:r>
          </w:p>
        </w:tc>
      </w:tr>
    </w:tbl>
    <w:p>
      <w:r>
        <w:t xml:space="preserve">Para autos, a trajetória é direcionalmente compatível com o corte estreito (placebos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r>
        <w:t xml:space="preserve">Leitura: o corte de um lag isolado sugeriu uma “ressaca administrativa”: o pico de degradação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teste dinâmico é precisamente o instrumento que a tese planeja construir com grão mensal e comparação Brasil-Indonésia.</w:t>
      </w:r>
    </w:p>
    <w:p>
      <w:pPr>
        <w:pStyle w:val="Heading1"/>
      </w:pPr>
      <w:r>
        <w:t xml:space="preserve">6. Limitações sistêmicas</w:t>
      </w:r>
    </w:p>
    <w:p>
      <w:r>
        <w:t xml:space="preserve">(1) Lacuna federal, não lacuna simpliciter: três situações indistinguíveis com este dado: ausência real, substituição estadual, presença sem efeito; o viés é conservador numa direção só (onde há fiscalização estadual não capturada, a lacuna total é menor que a medida, nunca maior) — e há uma segunda fonte de viés na mesma direção: desmatamento autorizado infla o numerador, ver (2). (2) PRODES ≠ desmatamento ilegal (caso Barra do Bugres; nenhuma checagem sistemática de AUTEX/DOF no top 20). A busca externa da sexta auditoria encontrou supressão licenciada em Oriximiná, 19º (Mineração Rio do Norte, 12.639 ha na Flona Saracá-Taquera, licença de operação vigente) e em Autazes, 18º (projeto de potássio licenciado pelo IPAAM em abr/2024); e território sob regime especial em Porto de Moz, 2º (Resex federal Verde para Sempre, gerida pelo ICMBio) e Jacareacanga, 13º (TI Munduruku, &gt;90% do território,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Último ano sujeito a revisão.</w:t>
      </w:r>
    </w:p>
    <w:p>
      <w:pPr>
        <w:pStyle w:val="Heading1"/>
      </w:pPr>
      <w:r>
        <w:t xml:space="preserve">7. Registro de mudanças: resumo para auditoria</w:t>
      </w:r>
    </w:p>
    <w:p>
      <w:r>
        <w:t xml:space="preserve">O histórico linha a linha de cada correção (seis rodadas de auditoria adversarial) foi mantido como registro de desenvolvimento interno, não incluído neste repositório; o resumo das mudanças que alteraram números publicados está no CHANGELOG.md. A tabela abaixo resume as mudanças de substância entre versões: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v1–v3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v4/v5: redesign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CITATION.cff, CHANGELOG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</w:tbl>
    <w:p/>
    <w:p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Pendências conhecidas, nenhuma bloqueante: dashboard Power BI (parquets prontos); recomputar o overlap do top 20 contra a Portaria 1.717/2026 (lista já pública, 89 municípios); checksums SHA-256 dos brutos e fixture da lista MMA (ambos opcionais); nota de dicionário de dados para n_infractions &gt; 0 em absolute_gap; três guardas sugeridas pela quarta auditoria (NULL em fine_value; chave de prodes_clean; checks de annual_summary).</w:t>
      </w:r>
    </w:p>
    <w:p>
      <w:r>
        <w:br w:type="page"/>
      </w:r>
    </w:p>
    <w:p>
      <w:pPr>
        <w:pStyle w:val="Heading1"/>
      </w:pPr>
      <w:r>
        <w:t xml:space="preserve">8. Visualizações</w:t>
      </w:r>
    </w:p>
    <w:p>
      <w:r>
        <w:rPr>
          <w:i/>
          <w:color w:val="5A655C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8.1 Desmatamento acumulado (km² absolutos), por quintil</w:t>
      </w:r>
    </w:p>
    <w:p>
      <w:r>
        <w:t xml:space="preserve">O mapa mostra o desmatamento acumulado em km² absolutos por município, dividido em quintis: é o numerador bruto usado na fórmula do EGS, e a variável com maior correlação (Spearman 0,97) com o índice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1. Desmatamento acumulado absoluto (km²) por quintil; pinos = top 20 EGS. Correlaciona ~0,97 com o EGS.</w:t>
      </w:r>
    </w:p>
    <w:p>
      <w:pPr>
        <w:pStyle w:val="Heading2"/>
      </w:pPr>
      <w:r>
        <w:t xml:space="preserve">8.2 EGS médio de 18 anos, por quintil</w:t>
      </w:r>
    </w:p>
    <w:p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2. EGS médio 18 anos por quintil (ordinal).</w:t>
      </w:r>
    </w:p>
    <w:p>
      <w:pPr>
        <w:pStyle w:val="Heading2"/>
      </w:pPr>
      <w:r>
        <w:t xml:space="preserve">8.3 Exposição ao desmatamento x resposta federal em multas</w:t>
      </w:r>
    </w:p>
    <w:p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2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3. Codificação dupla: cor = quintil de % desmatado, bolha ∝ multas, contorno = top 20 EGS.</w:t>
      </w:r>
    </w:p>
    <w:p>
      <w:pPr>
        <w:pStyle w:val="Heading2"/>
      </w:pPr>
      <w:r>
        <w:t xml:space="preserve">8.4 Lacuna de fiscalização e desmatamento, por ano</w:t>
      </w:r>
    </w:p>
    <w:p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4. Série anual: lacuna por tipo + área desmatada (2º eixo); 2025 sujeito a revisão.</w:t>
      </w:r>
    </w:p>
    <w:p>
      <w:pPr>
        <w:pStyle w:val="Heading2"/>
      </w:pPr>
      <w:r>
        <w:t xml:space="preserve">8.5 Pressão x resposta (log-log): a fórmula do EGS desenhada</w:t>
      </w:r>
    </w:p>
    <w:p>
      <w:r>
        <w:t xml:space="preserve">O gráfico compara, em escala logarítmica, o desmatamento total e o total de multas de cada município: a diagonal tracejada é uma referência fixa de proporcionalidade (R$ 100 mil por km² desmatado), não uma fronteira derivada da fórmula: o EGS depende também do número de autos, que não está nos eixos, e é anual, enquanto o gráfico agrega os 18 anos. Pontos abaixo dela têm resposta monetária baixa em relação à pressão acumulada; a cor indica o tipo de lacuna dominante e os nomes destacam os cinco casos‐âncora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6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log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5. Pressão × resposta log–log (a fórmula do EGS); abaixo da diagonal = lacuna.</w:t>
      </w:r>
    </w:p>
    <w:p>
      <w:pPr>
        <w:pStyle w:val="Heading2"/>
      </w:pPr>
      <w:r>
        <w:t xml:space="preserve">8.6 Histórico x recente: quem está piorando agora</w:t>
      </w:r>
    </w:p>
    <w:p>
      <w:r>
        <w:t xml:space="preserve">Este gráfico de quadrante cruza o EGS médio histórico (18 anos) com o EGS médio recente (2023–2025) para identificar quem está piorando ou melhorando agora, e não apenas ao longo de toda a série; o tamanho do ponto indica quantos anos de pressão cada município teve.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0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6. Histórico × recente; acima da identidade = piorando.</w:t>
      </w:r>
    </w:p>
    <w:p>
      <w:pPr>
        <w:pStyle w:val="Heading2"/>
      </w:pPr>
      <w:r>
        <w:t xml:space="preserve">8.7 Concentração do valor de multas entre infratores</w:t>
      </w:r>
    </w:p>
    <w:p>
      <w:r>
        <w:t xml:space="preserve">A curva de Lorenz mostra como o valor total de multas se concentra entre os infratores (CPF/CNPJ únicos): quanto mais afastada da diagonal, maior a concentração. O índice de Gini de 0,801 indica que uma pequena fração dos infratores responde pela maior parte do valor multado.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orenz_offen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7. Concentração de multas entre infratores (Gini).</w:t>
      </w:r>
    </w:p>
    <w:p>
      <w:pPr>
        <w:pStyle w:val="Heading2"/>
      </w:pPr>
      <w:r>
        <w:t xml:space="preserve">8.8 Taxa de cancelamento de autos, por ano</w:t>
      </w:r>
    </w:p>
    <w:p>
      <w:r>
        <w:t xml:space="preserve">A série mostra a taxa de cancelamento dos autos de infração por desmatamento ao longo dos anos, destacando o pico de 2017 a 2019, período em que uma fração desproporcional das autuações foi posteriormente cancelada.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a_cancel_by_y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8. Taxa de cancelamento por ano (pico 2017–2019).</w:t>
      </w:r>
    </w:p>
    <w:p>
      <w:pPr>
        <w:pStyle w:val="Heading2"/>
      </w:pPr>
      <w:r>
        <w:t xml:space="preserve">8.9 Taxa de cancelamento por estado</w:t>
      </w:r>
    </w:p>
    <w:p>
      <w:r>
        <w:t xml:space="preserve">O gráfico de barras compara a taxa de cancelamento de autos entre os estados da Amazônia Legal (apenas os com pelo menos 100 autos), mostrando que o pico de cancelamento não é uniforme geograficamente.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_cancel_by_st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9. Taxa de cancelamento por UF (≥100 autos).</w:t>
      </w:r>
    </w:p>
    <w:p>
      <w:pPr>
        <w:pStyle w:val="Heading2"/>
      </w:pPr>
      <w:r>
        <w:t xml:space="preserve">8.10 Defasagem entre o fato e a autuação</w:t>
      </w:r>
    </w:p>
    <w:p>
      <w:r>
        <w:t xml:space="preserve">O histograma mostra quantos dias se passam entre o fato gerador da infração e a autuação formal, para o subconjunto de autos que registram as duas datas (cerca de 28% do total, uma amostra parcial); a linha tracejada marca a mediana.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act_notice_l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10. Defasagem fato→autuação (mediana 7 dias, cauda longa); amostra parcial (~28%).</w:t>
      </w:r>
    </w:p>
    <w:p>
      <w:pPr>
        <w:pStyle w:val="Heading2"/>
      </w:pPr>
      <w:r>
        <w:t xml:space="preserve">8.11 Mix de instrumentos de fiscalização por quintil de EGS</w:t>
      </w:r>
    </w:p>
    <w:p>
      <w:r>
        <w:t xml:space="preserve">Os boxplots comparam a proporção de autos com embargo e com apreensão em cada quintil de EGS, indicando se municípios com maior lacuna de fiscalização também usam menos os instrumentos coercitivos disponíveis, além da simples multa.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nstrument_by_quint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11. Composição do instrumento (embargo/apreensão) por quintil de EGS.</w:t>
      </w:r>
    </w:p>
    <w:p>
      <w:pPr>
        <w:pStyle w:val="Heading2"/>
      </w:pPr>
      <w:r>
        <w:t xml:space="preserve">8.12 Estimativas do painel com efeitos fixos bidirecionais</w:t>
      </w:r>
    </w:p>
    <w:p>
      <w:r>
        <w:t xml:space="preserve">O gráfico de coeficientes resume as especificações do modelo de efeitos fixos bidirecionais (município e ano): cada ponto é uma estimativa com intervalo de confiança de 95%. Dentro do mesmo município, mais desmatamento no ano corrente está associado a mais autuações; já um salto abrupto de desmatamento está associado a menos autuações no ano seguinte —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oefficient_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12. Estimativas de painel FE bidimensional (município+ano).</w:t>
      </w:r>
    </w:p>
    <w:p>
      <w:pPr>
        <w:pStyle w:val="Heading2"/>
      </w:pPr>
      <w:r>
        <w:t xml:space="preserve">8.13 Event study: fiscalização em torno de um surto de desmatamento</w:t>
      </w:r>
    </w:p>
    <w:p>
      <w:r>
        <w:t xml:space="preserve">O event study testa essa anomalia de forma distribuída no tempo, mostrando o efeito de um surto de desmatamento sobre autos e multas numa janela de −2 a +2 anos, com dois períodos de placebo antes do surto;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4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event_stud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4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13. Event study da ressaca: direcional (autos), frágil (ICs cruzam zero).</w:t>
      </w:r>
    </w:p>
    <w:p>
      <w:pPr>
        <w:pStyle w:val="Heading2"/>
      </w:pPr>
      <w:r>
        <w:t xml:space="preserve">8.14 Infratores multados em 3+ municípios</w:t>
      </w:r>
    </w:p>
    <w:p>
      <w:r>
        <w:t xml:space="preserve">A rede mostra infratores (em vermelho) multados em três ou mais municípios distintos, conectados aos municípios onde atuaram (em verde), evidenciando o alcance territorial de infratores recorrentes que os agregados por município, isoladamente, não revelam. CPF/CNPJ são anonimizados.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offender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14. Rede de infratores autuados em 3+ municípios (CPF/CNPJ anonimizado).</w:t>
      </w:r>
    </w:p>
    <w:p>
      <w:pPr>
        <w:pStyle w:val="Heading2"/>
      </w:pPr>
      <w:r>
        <w:t xml:space="preserve">8.15 Distribuição do EGS por ano</w:t>
      </w:r>
    </w:p>
    <w:p>
      <w:r>
        <w:t xml:space="preserve">O gráfico de cristas mostra como a distribuição inteira do EGS anual, não apenas a média, se desloca ao longo de 2008 a 2025, revelando mudanças de forma e dispersão que uma série de médias esconderia.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egs_ridgeli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15. Distribuição anual do EGS (anos de pressão): deslocamento no tempo.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Reserva Extrativista Verde para Sempre. Brasília, DF: ICMBio. Disponível em: https://www.gov.br/icmbio/pt-br.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LAUT — CENTRO DE ANÁLISE DA LIBERDADE E DO AUTORITARISMO.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1a3d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1a3d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333333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1.xml"/><Relationship Id="rId24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