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68" w:after="0"/>
        <w:jc w:val="center"/>
      </w:pPr>
      <w:r>
        <w:rPr>
          <w:sz w:val="24"/>
          <w:szCs w:val="24"/>
        </w:rPr>
        <w:t xml:space="preserve">Diogo Grieco</w:t>
      </w:r>
    </w:p>
    <w:p>
      <w:pPr>
        <w:spacing w:before="1985" w:after="140"/>
        <w:jc w:val="center"/>
      </w:pPr>
      <w:r>
        <w:rPr>
          <w:b/>
          <w:bCs/>
          <w:color w:val="000000"/>
          <w:sz w:val="34"/>
          <w:szCs w:val="34"/>
        </w:rPr>
        <w:t xml:space="preserve">EGMS: Enforcement Gap Monitoring System</w:t>
      </w:r>
    </w:p>
    <w:p>
      <w:pPr>
        <w:spacing w:after="0"/>
        <w:jc w:val="center"/>
      </w:pPr>
      <w:r>
        <w:rPr>
          <w:i/>
          <w:iCs/>
          <w:color w:val="000000"/>
          <w:sz w:val="22"/>
          <w:szCs w:val="22"/>
        </w:rPr>
        <w:t xml:space="preserve">Um índice reproduzível da lacuna de fiscalização federal do desmatamento na Amazônia Legal</w:t>
      </w:r>
    </w:p>
    <w:p>
      <w:pPr>
        <w:spacing w:before="4260" w:after="0"/>
        <w:jc w:val="center"/>
      </w:pPr>
      <w:r>
        <w:rPr>
          <w:color w:val="000000"/>
          <w:sz w:val="18"/>
          <w:szCs w:val="18"/>
        </w:rPr>
        <w:t>resumo executivo · versão 1.2.0 · agosto de 2026</w:t>
      </w:r>
    </w:p>
    <w:p>
      <w:pPr/>
      <w:r>
        <w:br w:type="page"/>
      </w:r>
    </w:p>
    <w:p>
      <w:pPr>
        <w:ind w:firstLine="709"/>
      </w:pPr>
      <w:r>
        <w:rPr>
          <w:b/>
          <w:bCs/>
        </w:rPr>
        <w:t xml:space="preserve">O problema. </w:t>
      </w:r>
      <w:r>
        <w:t>Dois sistemas públicos registram, de forma independente, os dois lados de uma mesma relação. O PRODES/INPE mede o desmatamento por satélite e o IBAMA registra as autuações federais que deveriam respondê-lo. Consultadas conjuntamente, as duas bases podem indicar onde a fiscalização acompanha a pressão e onde ela não aparece. O EGMS cruza as duas para os 772 municípios do painel municipal do PRODES entre 2008 e 2025, com 13.896 observações de município-ano, e resume a relação em uma métrica ordinal, o Enforcement Gap Score (EGS), definida na equação (1), ao final.</w:t>
      </w:r>
      <w:r>
        <w:rPr>
          <w:b/>
          <w:bCs/>
        </w:rPr>
      </w:r>
      <w:r/>
    </w:p>
    <w:p>
      <w:pPr>
        <w:ind w:firstLine="709"/>
      </w:pPr>
      <w:r>
        <w:rPr>
          <w:b/>
          <w:bCs/>
        </w:rPr>
        <w:t xml:space="preserve">O que os dados mostram. </w:t>
      </w:r>
      <w:r>
        <w:t>Das 13.896 observações, 54,3% não têm pressão material, 22,0% são lacunas absolutas, com desmatamento detectado e nenhuma multa federal no ano, e 23,6% são lacunas medidas. O topo do ranking é estrutural e não episódico, porque os 20 primeiros têm pressão material em todos os 18 anos, sendo 16 no Pará, 2 no Maranhão e 2 no Amazonas. O caso nº 1, Cachoeira do Piriá (PA), tem 410 km² desmatados contra 13 autos e R$ 4,3 milhões em 18 anos. Nove dos vinte constam da lista oficial de municípios prioritários do MMA (Portaria GM/MMA nº 1.202/2024, Anexo I, 81 municípios), uma convergência de 45% do topo entre metodologias independentes. Esses nove ocupam as posições 8 a 17, e nenhum dos sete primeiros consta da lista, que é construída por volume bruto de desmatamento.</w:t>
      </w:r>
    </w:p>
    <w:p>
      <w:pPr>
        <w:keepNext/>
        <w:jc w:val="left"/>
        <w:spacing w:line="240" w:lineRule="auto" w:after="0"/>
      </w:pPr>
      <w:r>
        <w:rPr>
          <w:i/>
          <w:color w:val="000000"/>
          <w:sz w:val="18"/>
        </w:rPr>
        <w:t>Tabela 1. Os vinte primeiros do ranking, ordenados pela média do EGS nos dezoito anos. As duas últimas colunas somam 18 em todos os municípios, porque o topo tem pressão material em todos os anos da série, e o que varia entre eles é a proporção de anos sem nenhuma multa federal.</w:t>
      </w:r>
    </w:p>
    <w:tbl>
      <w:tblPr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W w:w="9072" w:type="dxa"/>
      </w:tblPr>
      <w:tblGrid>
        <w:gridCol w:w="500"/>
        <w:gridCol w:w="3100"/>
        <w:gridCol w:w="550"/>
        <w:gridCol w:w="1000"/>
        <w:gridCol w:w="1961"/>
        <w:gridCol w:w="1961"/>
      </w:tblGrid>
      <w:tr>
        <w:trPr>
          <w:tblHeader/>
          <w:cantSplit/>
        </w:trPr>
        <w:tc>
          <w:tcPr>
            <w:tcW w:type="dxa" w:w="450"/>
            <w:shd w:fill="DDE5D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shd w:fill="DDE5D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Município</w:t>
            </w:r>
          </w:p>
        </w:tc>
        <w:tc>
          <w:tcPr>
            <w:tcW w:type="dxa" w:w="550"/>
            <w:shd w:fill="DDE5D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UF</w:t>
            </w:r>
          </w:p>
        </w:tc>
        <w:tc>
          <w:tcPr>
            <w:tcW w:type="dxa" w:w="1000"/>
            <w:shd w:fill="DDE5D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EGS 18a</w:t>
            </w:r>
          </w:p>
        </w:tc>
        <w:tc>
          <w:tcPr>
            <w:tcW w:type="dxa" w:w="1100"/>
            <w:shd w:fill="DDE5D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Anos de lacuna absoluta</w:t>
            </w:r>
          </w:p>
        </w:tc>
        <w:tc>
          <w:tcPr>
            <w:tcW w:type="dxa" w:w="1100"/>
            <w:shd w:fill="DDE5D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Anos de lacuna medida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Cachoeira do Piriá</w:t>
            </w:r>
          </w:p>
        </w:tc>
        <w:tc>
          <w:tcPr>
            <w:tcW w:type="dxa" w:w="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PA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1,179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Porto de Moz</w:t>
            </w:r>
          </w:p>
        </w:tc>
        <w:tc>
          <w:tcPr>
            <w:tcW w:type="dxa" w:w="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PA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1,175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Monte Alegre</w:t>
            </w:r>
          </w:p>
        </w:tc>
        <w:tc>
          <w:tcPr>
            <w:tcW w:type="dxa" w:w="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PA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1,109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Aveiro</w:t>
            </w:r>
          </w:p>
        </w:tc>
        <w:tc>
          <w:tcPr>
            <w:tcW w:type="dxa" w:w="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PA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1,109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Alenquer</w:t>
            </w:r>
          </w:p>
        </w:tc>
        <w:tc>
          <w:tcPr>
            <w:tcW w:type="dxa" w:w="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PA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1,107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Arame</w:t>
            </w:r>
          </w:p>
        </w:tc>
        <w:tc>
          <w:tcPr>
            <w:tcW w:type="dxa" w:w="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MA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1,078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Acará</w:t>
            </w:r>
          </w:p>
        </w:tc>
        <w:tc>
          <w:tcPr>
            <w:tcW w:type="dxa" w:w="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PA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1,075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Mojuí dos Campos</w:t>
            </w:r>
          </w:p>
        </w:tc>
        <w:tc>
          <w:tcPr>
            <w:tcW w:type="dxa" w:w="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PA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1,068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Maués</w:t>
            </w:r>
          </w:p>
        </w:tc>
        <w:tc>
          <w:tcPr>
            <w:tcW w:type="dxa" w:w="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AM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1,036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Santa Maria das Barreiras</w:t>
            </w:r>
          </w:p>
        </w:tc>
        <w:tc>
          <w:tcPr>
            <w:tcW w:type="dxa" w:w="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PA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1,021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Itupiranga</w:t>
            </w:r>
          </w:p>
        </w:tc>
        <w:tc>
          <w:tcPr>
            <w:tcW w:type="dxa" w:w="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PA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1,015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Cumaru do Norte</w:t>
            </w:r>
          </w:p>
        </w:tc>
        <w:tc>
          <w:tcPr>
            <w:tcW w:type="dxa" w:w="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PA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1,000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Jacareacanga</w:t>
            </w:r>
          </w:p>
        </w:tc>
        <w:tc>
          <w:tcPr>
            <w:tcW w:type="dxa" w:w="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PA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0,994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Medicilândia</w:t>
            </w:r>
          </w:p>
        </w:tc>
        <w:tc>
          <w:tcPr>
            <w:tcW w:type="dxa" w:w="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PA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0,988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São Domingos do Maranhão</w:t>
            </w:r>
          </w:p>
        </w:tc>
        <w:tc>
          <w:tcPr>
            <w:tcW w:type="dxa" w:w="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MA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0,984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Prainha</w:t>
            </w:r>
          </w:p>
        </w:tc>
        <w:tc>
          <w:tcPr>
            <w:tcW w:type="dxa" w:w="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PA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0,980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Santana do Araguaia</w:t>
            </w:r>
          </w:p>
        </w:tc>
        <w:tc>
          <w:tcPr>
            <w:tcW w:type="dxa" w:w="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PA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0,957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Autazes</w:t>
            </w:r>
          </w:p>
        </w:tc>
        <w:tc>
          <w:tcPr>
            <w:tcW w:type="dxa" w:w="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AM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0,947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19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Oriximiná</w:t>
            </w:r>
          </w:p>
        </w:tc>
        <w:tc>
          <w:tcPr>
            <w:tcW w:type="dxa" w:w="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PA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0,944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Ipixuna do Pará</w:t>
            </w:r>
          </w:p>
        </w:tc>
        <w:tc>
          <w:tcPr>
            <w:tcW w:type="dxa" w:w="5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PA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0,939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1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11</w:t>
            </w:r>
          </w:p>
        </w:tc>
      </w:tr>
    </w:tbl>
    <w:p>
      <w:pPr>
        <w:keepNext w:val="0"/>
        <w:jc w:val="left"/>
        <w:spacing w:line="240" w:lineRule="auto" w:after="0"/>
      </w:pPr>
      <w:r>
        <w:rPr>
          <w:i w:val="0"/>
          <w:color w:val="000000"/>
          <w:sz w:val="18"/>
        </w:rPr>
        <w:t>Fonte: elaboração própria.</w:t>
      </w:r>
    </w:p>
    <w:p>
      <w:r/>
    </w:p>
    <w:p>
      <w:pPr>
        <w:ind w:firstLine="709"/>
      </w:pPr>
      <w:r>
        <w:t>O mapa a seguir classifica os 772 municípios por quintil do EGS médio ao longo de 18 anos (2008-2025), que é o indicador central do sistema. Quanto mais escura a cor, maior a lacuna crônica entre desmatamento e resposta fiscal.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360420"/>
            <wp:docPr id="1" name="Picture 1" descr="Figura 1. Enforcement Gap Score médio (2008-2025) por quintil, entre os 552 municípios com pressão material. Escala ordinal (rank), nunca valor bruto; em cinza, fora da rampa, os 220 municípios que nunca tiveram um ano acima do limiar de 1 km², porque onde não houve pressão não há lacuna a medir; contorno grosso = top 20 do ranking." title="Figura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gs_mean18y.png"/>
                    <pic:cNvPicPr/>
                  </pic:nvPicPr>
                  <pic:blipFill>
                    <a:blip r:embed="rId8"/>
                    <a:srcRect t="15000" b="150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left"/>
        <w:spacing w:line="240" w:lineRule="auto" w:after="0"/>
      </w:pPr>
      <w:r>
        <w:rPr>
          <w:i/>
          <w:color w:val="000000"/>
          <w:sz w:val="18"/>
        </w:rPr>
        <w:t>Figura 1. Enforcement Gap Score médio (2008-2025) por quintil, entre os 552 municípios com pressão material. Escala ordinal (rank), nunca valor bruto; em cinza, fora da rampa, os 220 municípios que nunca tiveram um ano acima do limiar de 1 km², porque onde não houve pressão não há lacuna a medir; contorno grosso = top 20 do ranking.</w:t>
      </w:r>
    </w:p>
    <w:p>
      <w:pPr>
        <w:keepNext w:val="0"/>
        <w:jc w:val="left"/>
        <w:spacing w:line="240" w:lineRule="auto" w:after="0"/>
      </w:pPr>
      <w:r>
        <w:rPr>
          <w:i w:val="0"/>
          <w:color w:val="000000"/>
          <w:sz w:val="18"/>
        </w:rPr>
        <w:t>Fonte: elaboração própria.</w:t>
      </w:r>
    </w:p>
    <w:p>
      <w:r/>
    </w:p>
    <w:p>
      <w:pPr>
        <w:ind w:firstLine="709"/>
      </w:pPr>
      <w:r>
        <w:t>O mapa a seguir mostra o lado da resposta federal, combinando as duas coisas que o índice mede, quantos autos foram lavrados e quanto foi multado. Um único auto de valor alto não conta como resposta robusta, por construção. Duas categorias ficam fora da escala: em vermelho, os 66 municípios que tiveram pressão material e nunca foram multados em dezoito anos, e em cinza, os 220 sem pressão medida. Lido ao lado da figura 1, ele mostra onde a resposta acompanha a lacuna e onde não acompanha.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360420"/>
            <wp:docPr id="2" name="Picture 2" descr="Figura 2. Em vermelho, os 66 municípios que tiveram pressão material e nunca foram multados pela União em dezoito anos: a lacuna absoluta no grão municipal. O azul ordena por quintil a resposta federal onde ela existiu, medida como a média geométrica dos logaritmos de autos e de multas deflacionadas, entre os 486 municípios com multa; cinza = sem pressão medida (220); contorno grosso = top 20 EGS." title="Figura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ivariate_map.png"/>
                    <pic:cNvPicPr/>
                  </pic:nvPicPr>
                  <pic:blipFill>
                    <a:blip r:embed="rId9"/>
                    <a:srcRect t="15000" b="150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left"/>
        <w:spacing w:line="240" w:lineRule="auto" w:after="0"/>
      </w:pPr>
      <w:r>
        <w:rPr>
          <w:i/>
          <w:color w:val="000000"/>
          <w:sz w:val="18"/>
        </w:rPr>
        <w:t>Figura 2. Em vermelho, os 66 municípios que tiveram pressão material e nunca foram multados pela União em dezoito anos: a lacuna absoluta no grão municipal. O azul ordena por quintil a resposta federal onde ela existiu, medida como a média geométrica dos logaritmos de autos e de multas deflacionadas, entre os 486 municípios com multa; cinza = sem pressão medida (220); contorno grosso = top 20 EGS.</w:t>
      </w:r>
    </w:p>
    <w:p>
      <w:pPr>
        <w:keepNext w:val="0"/>
        <w:jc w:val="left"/>
        <w:spacing w:line="240" w:lineRule="auto" w:after="0"/>
      </w:pPr>
      <w:r>
        <w:rPr>
          <w:i w:val="0"/>
          <w:color w:val="000000"/>
          <w:sz w:val="18"/>
        </w:rPr>
        <w:t>Fonte: elaboração própria.</w:t>
      </w:r>
    </w:p>
    <w:p>
      <w:r/>
    </w:p>
    <w:p>
      <w:pPr>
        <w:ind w:firstLine="709"/>
      </w:pPr>
      <w:r>
        <w:rPr>
          <w:b/>
          <w:bCs/>
        </w:rPr>
        <w:t xml:space="preserve">Casos-teste. </w:t>
      </w:r>
      <w:r>
        <w:t>Cumaru do Norte (PA, 12º) mostra o que o índice não distingue sozinho, com 112 autos e R$ 761,9 milhões deflacionados em 12 dos 18 anos e desmatamento persistente. O caso é compatível com presença federal sem efeito, e não com ausência. Apuí (AM) mostra o instrumento funcionando no tempo: o pior trecho sustentado está em 2020-22, com desmatamento a 440 km²/ano e resposta estagnada, e o EGS cai quando a resposta federal e estadual chega em 2023-25, levando o município à posição 141. Um monitor que nunca rebaixa ninguém não está medindo nada.</w:t>
      </w:r>
    </w:p>
    <w:p>
      <w:pPr>
        <w:ind w:firstLine="709"/>
      </w:pPr>
      <w:r>
        <w:t>A série a seguir mostra, ano a ano, a situação anual dos 772 municípios (lacuna absoluta, lacuna medida ou sem pressão) e a área total desmatada, em dois painéis sobre o mesmo eixo de anos, sem eixo secundário, porque alinhar duas unidades num eixo só exige um fator de escala arbitrário e o ponto em que as curvas parecem se cruzar seria artefato desse fator. A faixa marca 2020 a 2022, e o quadro mostra um padrão compatível com uma restrição de capacidade fiscalizatória entre 2019 e 2022.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3" name="Picture 3" descr="Figura 3. Série anual: situação dos 772 municípios e área total desmatada, em painéis separados sobre o mesmo eixo de anos. A faixa marca 2020-2022, o período de restrição de capacidade fiscalizatória. A lacuna absoluta também supera a medida em 2010 e 2014, fora da faixa e em magnitude bem menor." title="Figura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nnual_se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left"/>
        <w:spacing w:line="240" w:lineRule="auto" w:after="0"/>
      </w:pPr>
      <w:r>
        <w:rPr>
          <w:i/>
          <w:color w:val="000000"/>
          <w:sz w:val="18"/>
        </w:rPr>
        <w:t>Figura 3. Série anual: situação dos 772 municípios e área total desmatada, em painéis separados sobre o mesmo eixo de anos. A faixa marca 2020-2022, o período de restrição de capacidade fiscalizatória. A lacuna absoluta também supera a medida em 2010 e 2014, fora da faixa e em magnitude bem menor.</w:t>
      </w:r>
    </w:p>
    <w:p>
      <w:pPr>
        <w:keepNext w:val="0"/>
        <w:jc w:val="left"/>
        <w:spacing w:line="240" w:lineRule="auto" w:after="0"/>
      </w:pPr>
      <w:r>
        <w:rPr>
          <w:i w:val="0"/>
          <w:color w:val="000000"/>
          <w:sz w:val="18"/>
        </w:rPr>
        <w:t>Fonte: elaboração própria.</w:t>
      </w:r>
    </w:p>
    <w:p>
      <w:r/>
    </w:p>
    <w:p>
      <w:pPr>
        <w:ind w:firstLine="709"/>
      </w:pPr>
      <w:r>
        <w:rPr>
          <w:b/>
          <w:bCs/>
        </w:rPr>
        <w:t xml:space="preserve">Limites. </w:t>
      </w:r>
      <w:r>
        <w:t>O índice mede a lacuna de fiscalização federal, já que aparatos estaduais ativos, como SEMAS-PA e IPAAM, são invisíveis ao dado, e mesmo no plano federal só entram autos de tipo desmatamento, cerca de 39% dos que o IBAMA lavrou no top 20. O PRODES não distingue desmatamento autorizado de ilegal. A resposta é medida por autos lavrados, e não por embargos ou arrecadação. O EGS é ordinal. O EGMS é um protótipo e, dadas as suas limitações sistêmicas, cada posição do ranking deve ser compreendida como uma hipótese priorizada para investigação, e não um veredito sobre o município.</w:t>
      </w:r>
      <w:r>
        <w:rPr>
          <w:i/>
          <w:iCs/>
        </w:rPr>
      </w:r>
      <w:r/>
    </w:p>
    <w:p>
      <w:pPr>
        <w:keepNext/>
        <w:ind w:firstLine="709"/>
      </w:pPr>
      <w:r>
        <w:rPr>
          <w:b/>
        </w:rPr>
        <w:t xml:space="preserve">Fórmula. </w:t>
      </w:r>
      <w:r>
        <w:t>Uma única fórmula vale para todas as observações. Quando a resposta federal é zero, o denominador trava em 1 e o índice vira o logaritmo puro da pressão, de modo que a “lacuna absoluta” é o caso-limite da mesma régua e não uma fórmula à parte. O ranking municipal ordena pela média do EGS nos 18 anos, com os anos sem pressão entrando como zero, e essa média é, por identidade algébrica verificada nos dados, severidade média x persistência.</w:t>
      </w:r>
    </w:p>
    <w:p>
      <w:pPr>
        <w:keepNext/>
        <w:tabs>
          <w:tab w:pos="4536" w:val="center"/>
          <w:tab w:pos="9072" w:val="right"/>
        </w:tabs>
        <w:spacing w:after="40" w:before="40"/>
        <w:ind w:left="360"/>
        <w:jc w:val="left"/>
      </w:pPr>
      <w:r>
        <w:tab/>
      </w:r>
      <w:r>
        <w:drawing>
          <wp:inline xmlns:a="http://schemas.openxmlformats.org/drawingml/2006/main" xmlns:pic="http://schemas.openxmlformats.org/drawingml/2006/picture">
            <wp:extent cx="4389120" cy="1084951"/>
            <wp:docPr id="4" name="Picture 4" descr="Equação 1: definição do Enforcement Gap Score, razão entre o logaritmo da área desmatada e a média geométrica dos logaritmos de autos e de multas." title="Equação 1: definição do Enforcement Gap Score, razão entre o logaritmo da área desmatada e a média geométrica dos logaritmos de autos e de mult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08495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position w:val="76"/>
        </w:rPr>
        <w:tab/>
        <w:t>(1)</w:t>
      </w:r>
    </w:p>
    <w:p>
      <w:pPr/>
      <w:r>
        <w:t>onde A = km² desmatados no município no ano; N = autos de infração federais; M = valor das multas, deflacionado (IPCA, base 2025).</w:t>
      </w:r>
    </w:p>
    <w:p>
      <w:pPr>
        <w:pStyle w:val="Heading1"/>
        <w:keepNext/>
        <w:keepLines/>
      </w:pPr>
      <w:r>
        <w:t xml:space="preserve">Referências</w:t>
      </w:r>
    </w:p>
    <w:p>
      <w:pPr>
        <w:spacing w:after="200" w:line="240" w:lineRule="auto"/>
        <w:jc w:val="left"/>
      </w:pPr>
      <w:r>
        <w:t xml:space="preserve">BRASIL. Instituto Brasileiro do Meio Ambiente e dos Recursos Naturais Renováveis (IBAMA). Dados abertos: fiscalização, auto de infração. Brasília, DF: IBAMA. Disponível em: https://dadosabertos.ibama.gov.br/. Acesso em: 25 abr. 2026.</w:t>
      </w:r>
    </w:p>
    <w:p>
      <w:pPr>
        <w:spacing w:after="200" w:line="240" w:lineRule="auto"/>
        <w:jc w:val="left"/>
      </w:pPr>
      <w:r>
        <w:t xml:space="preserve">BRASIL. Instituto Nacional de Pesquisas Espaciais (INPE). PRODES: monitoramento do desmatamento da floresta amazônica brasileira por satélite. TerraBrasilis. São José dos Campos: INPE. Disponível em: https://terrabrasilis.dpi.inpe.br/. Acesso em: 25 abr. 2026.</w:t>
      </w:r>
    </w:p>
    <w:p>
      <w:pPr>
        <w:spacing w:after="200" w:line="240" w:lineRule="auto"/>
        <w:jc w:val="left"/>
      </w:pPr>
      <w:r>
        <w:t xml:space="preserve">BRASIL. Ministério do Meio Ambiente e Mudança do Clima (MMA). Portaria GM/MMA nº 1.202, de 11 de novembro de 2024. Dispõe sobre a atualização da lista de municípios prioritários para ações de prevenção, controle e redução dos desmatamentos e degradação florestal, e da lista de municípios com desmatamento monitorado e sob controle. Brasília, DF: Diário Oficial da União, ed. 220, seção 1, p. 121, 13 nov. 2024. Disponível em: https://www.in.gov.br/web/dou/-/portaria-gm/mma-n-1.202-de-11-de-novembro-de-2024-595667200. Acesso em: 27 jul. 2026.</w:t>
      </w:r>
    </w:p>
    <w:p>
      <w:pPr>
        <w:spacing w:after="200" w:line="240" w:lineRule="auto"/>
        <w:jc w:val="left"/>
      </w:pPr>
      <w:r>
        <w:t xml:space="preserve">INSTITUTO BRASILEIRO DE GEOGRAFIA E ESTATÍSTICA (IBGE). Sistema IBGE de Recuperação Automática (SIDRA). Tabela 1737: Índice Nacional de Preços ao Consumidor Amplo (IPCA), variável 2266 (número-índice, dez. 1993=100). Rio de Janeiro: IBGE. Disponível em: https://sidra.ibge.gov.br/tabela/1737. Acesso em: 10 jul. 2026.</w:t>
      </w:r>
    </w:p>
    <w:sectPr>
      <w:headerReference w:type="default" r:id="rId11"/>
      <w:headerReference w:type="first" r:id="rId12"/>
      <w:pgSz w:w="11906" w:h="16838" w:orient="portrait"/>
      <w:pgMar w:top="1701" w:right="1134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jc w:val="right"/>
      <w:rPr>
        <w:rFonts w:ascii="Times New Roman" w:cs="Times New Roman" w:eastAsia="Times New Roman" w:hAnsi="Times New Roman"/>
        <w:sz w:val="24"/>
        <w:szCs w:val="24"/>
      </w:rPr>
    </w:pPr>
    <w:fldSimple w:instr=" PAGE ">
      <w:r>
        <w:rPr>
          <w:rFonts w:ascii="Times New Roman" w:cs="Times New Roman" w:eastAsia="Times New Roman" w:hAnsi="Times New Roman"/>
          <w:sz w:val="24"/>
          <w:szCs w:val="24"/>
        </w:rPr>
        <w:t>2</w:t>
      </w:r>
    </w:fldSimple>
  </w:p>
</w:hdr>
</file>

<file path=word/header2.xml><?xml version="1.0" encoding="utf-8"?>
<w:hdr xmlns:w="http://schemas.openxmlformats.org/wordprocessingml/2006/main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60" w:line="36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Times New Roman" w:cs="Times New Roman" w:eastAsia="Times New Roman" w:hAnsi="Times New Roman"/>
      <w:b/>
      <w:bCs/>
      <w:color w:val="00000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Diogo Grieco</dc:creator>
  <cp:lastModifiedBy>Diogo Grieco</cp:lastModifiedBy>
  <cp:revision>1</cp:revision>
  <dcterms:created xsi:type="dcterms:W3CDTF">2026-07-21T12:38:43.619Z</dcterms:created>
  <dcterms:modified xsi:type="dcterms:W3CDTF">2026-07-21T12:38:43.620Z</dcterms:modified>
  <dc:title>EGMS: Enforcement Gap Monitoring System (resumo executivo)</dc:title>
  <dc:subject>Índice reproduzível da lacuna de fiscalização federal do desmatamento na Amazônia Legal, 2008-2025</dc:subject>
  <cp:keywords>desmatamento; Amazônia Legal; fiscalização ambiental; IBAMA; PRODES; INPE; enforcement gap; índice; DuckDB; R</cp:keywords>
  <cp:category>Relatório técnico</cp:category>
  <dc:language>pt-BR</dc:language>
  <dc:description>EGMS versão 1.2.0. Código, dados públicos e documentação: repositório do projeto.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