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268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Diogo Grieco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before="1985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EGMS: Relatório Técnico Estendido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i w:val="1"/>
          <w:iCs w:val="1"/>
          <w:color w:val="000000"/>
          <w:sz w:val="23"/>
          <w:szCs w:val="23"/>
          <w:rtl w:val="0"/>
        </w:rPr>
        <w:t xml:space="preserve">Detalhamento metodológico, testes empíricos das decisões e registro de mudanças para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260" w:lineRule="auto"/>
        <w:jc w:val="center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versão 1.2.0 ·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/>
        <w:keepLines/>
        <w:spacing w:after="40" w:before="0" w:lineRule="auto"/>
        <w:ind w:left="0" w:firstLine="0"/>
        <w:jc w:val="left"/>
        <w:rPr/>
        <w:outlineLvl w:val="9"/>
      </w:pPr>
      <w:r w:rsidDel="00000000" w:rsidR="00000000" w:rsidRPr="00000000">
        <w:rPr>
          <w:rtl w:val="0"/>
        </w:rPr>
        <w:t xml:space="preserve">Sumário</w:t>
      </w:r>
    </w:p>
    <w:sdt>
      <w:sdtPr>
        <w:id w:val="-5937653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Dados e arquitetura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Fontes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Camadas e pureza de camada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As 56 verificações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Construção das variáveis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O filtro de desmatamento no IBAMA (60.707 autos)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O deflator IPCA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Normalização territorial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fórmula e o teste empírico de cada decisão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s4sw3mbcr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Propriedades do índice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Piso no denominador (max(1, ·))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Limiar de materialidade (1 km²)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Média 0-fill como ordenação principal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Colunas de situação recente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Deflação e escala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8gu58b6uq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 Visualização do índice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Validações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Âncoras estruturais do PRODES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Validação do same-year join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O que o índice acrescenta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72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4.3.1 O índice não é redundante ao desmatamento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72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4.3.2 O índice não é uma inversão do volume de fiscalização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72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4.3.3 Os casos que nenhum componente encontra sozinho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Resultados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Classificação (13.896 município-anos)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Top 20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Casos-teste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Verificação externa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72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Responsividade ao longo do tempo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Limitações sistêmicas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Registro de mudanças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Princípios de codificação das figuras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72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D">
      <w:pPr>
        <w:ind w:firstLine="709"/>
        <w:rPr/>
      </w:pPr>
      <w:r w:rsidDel="00000000" w:rsidR="00000000" w:rsidRPr="00000000">
        <w:rPr>
          <w:rtl w:val="0"/>
        </w:rPr>
        <w:t xml:space="preserve">Dois sistemas públicos federais registram, de forma independente, os dois lados de uma mesma relação. O PRODES, do INPE, mede por satélite quanto se desmatou em cada município e em cada ano. O IBAMA registra os autos de infração que deveriam responder a esse desmatamento. Consultadas conjuntamente, as duas bases podem indicar onde a fiscalização federal acompanha a pressão do desmatamento e onde ela não aparece.</w:t>
      </w:r>
    </w:p>
    <w:p w:rsidR="00000000" w:rsidDel="00000000" w:rsidP="00000000" w:rsidRDefault="00000000" w:rsidRPr="00000000" w14:paraId="0000002E">
      <w:pPr>
        <w:ind w:firstLine="709"/>
        <w:rPr/>
      </w:pPr>
      <w:r w:rsidDel="00000000" w:rsidR="00000000" w:rsidRPr="00000000">
        <w:rPr>
          <w:rtl w:val="0"/>
        </w:rPr>
        <w:t xml:space="preserve">O EGMS cruza as duas bases para os 772 municípios do painel municipal do PRODES entre 2008 e 2025, com 13.896 observações de município-ano, e resume a relação em uma métrica ordinal, o Enforcement Gap Score (EGS). O EGS é a razão entre o logaritmo da área desmatada e a média geométrica dos logaritmos do número de autos e do valor das multas deflacionadas, definida na equação (1) da seção 3. Quanto maior, maior a desproporção entre a pressão medida e a resposta federal registrada. O EGMS é um protótipo e, dadas as suas limitações sistêmicas, cada posição do ranking deve ser compreendida como uma hipótese priorizada para investigação, e não um veredito sobre o município.</w:t>
      </w:r>
    </w:p>
    <w:p w:rsidR="00000000" w:rsidDel="00000000" w:rsidP="00000000" w:rsidRDefault="00000000" w:rsidRPr="00000000" w14:paraId="0000002F">
      <w:pPr>
        <w:ind w:firstLine="709"/>
        <w:rPr/>
      </w:pPr>
      <w:r w:rsidDel="00000000" w:rsidR="00000000" w:rsidRPr="00000000">
        <w:rPr>
          <w:rtl w:val="0"/>
        </w:rPr>
        <w:t xml:space="preserve">Este documento é o registro técnico do sistema. A seção 1 descreve as fontes, as camadas do pipeline e as 56 verificações automatizadas. A seção 2 constrói as variáveis, com o filtro que reduz 309.116 autos brutos aos 60.707 de desmatamento, o deflator e a normalização territorial. A seção 3 apresenta a fórmula e o teste empírico de cada decisão que a compõe. A seção 4 reúne as validações contra âncoras externas e o que o índice acrescenta a cada componente isolado. A seção 5 traz os resultados, da classificação do painel ao ranking e aos modelos de painel. A seção 6 lista as limitações sistêmicas, a seção 7 registra as mudanças que alteraram números publicados e a seção 8 documenta os princípios de codificação das figuras.</w:t>
      </w:r>
    </w:p>
    <w:p w:rsidR="00000000" w:rsidDel="00000000" w:rsidP="00000000" w:rsidRDefault="00000000" w:rsidRPr="00000000" w14:paraId="00000030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1. Dados e arquitetura</w:t>
      </w:r>
    </w:p>
    <w:p w:rsidR="00000000" w:rsidDel="00000000" w:rsidP="00000000" w:rsidRDefault="00000000" w:rsidRPr="00000000" w14:paraId="00000031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1.1 Fontes</w:t>
      </w:r>
    </w:p>
    <w:p w:rsidR="00000000" w:rsidDel="00000000" w:rsidP="00000000" w:rsidRDefault="00000000" w:rsidRPr="00000000" w14:paraId="00000032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Tabela 1. Fontes primárias e datas de </w:t>
      </w:r>
      <w:r w:rsidDel="00000000" w:rsidR="00000000" w:rsidRPr="00000000">
        <w:rPr>
          <w:rtl w:val="0"/>
        </w:rPr>
        <w:t xml:space="preserve">acesso</w:t>
      </w:r>
      <w:r w:rsidDel="00000000" w:rsidR="00000000" w:rsidRPr="00000000">
        <w:rPr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69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525"/>
        <w:gridCol w:w="1275"/>
        <w:gridCol w:w="2790"/>
        <w:tblGridChange w:id="0">
          <w:tblGrid>
            <w:gridCol w:w="2100"/>
            <w:gridCol w:w="3525"/>
            <w:gridCol w:w="1275"/>
            <w:gridCol w:w="2790"/>
          </w:tblGrid>
        </w:tblGridChange>
      </w:tblGrid>
      <w:tr>
        <w:trPr>
          <w:cantSplit w:val="1"/>
          <w:tblHeader w:val="1"/>
        </w:trPr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33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34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35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36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PRODES/INPE (TerraBrasilis)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 desmatada anual por município, Amazônia Legal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25/04/2026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13.896 linhas; 772 geocodes x 18 anos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IBAMA (dados abertos)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Autos de infração ambiental, 1 CSV/ano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25/04/2026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309.116 linhas x 84 colunas brutas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3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IBGE: API de localidades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município UF (JSON)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12/07/2026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5.571 municípios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IBGE/Sidra t.1737 v.2266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IPCA mensal (número-índice, dez/93=100)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deflator; 12 meses x 18 anos 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IBGE: Áreas Territoriais 2025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 territorial municipal (km²)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4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5.573 municípios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09"/>
        <w:rPr/>
      </w:pPr>
      <w:r w:rsidDel="00000000" w:rsidR="00000000" w:rsidRPr="00000000">
        <w:rPr>
          <w:rtl w:val="0"/>
        </w:rPr>
        <w:t xml:space="preserve">Os valores esperados das verificações refletem as datas de acesso registradas. O IBAMA pode revisar retroativamente seus CSVs e o PRODES consolida o último ano meses depois da estimativa preliminar. Quem baixar os dados no futuro pode encontrar inconsistências.</w:t>
      </w:r>
    </w:p>
    <w:p w:rsidR="00000000" w:rsidDel="00000000" w:rsidP="00000000" w:rsidRDefault="00000000" w:rsidRPr="00000000" w14:paraId="0000004E">
      <w:pPr>
        <w:ind w:firstLine="709"/>
        <w:rPr/>
      </w:pPr>
      <w:r w:rsidDel="00000000" w:rsidR="00000000" w:rsidRPr="00000000">
        <w:rPr>
          <w:rtl w:val="0"/>
        </w:rPr>
        <w:t xml:space="preserve">O painel usa 772 municípios da Amazônia Legal segundo sua definição jurídica, e não os 805 do arquivo do TerraBrasilis: 33 geocodes estão em estados fora da Amazônia Legal, todos com desmatamento zero em todos os 18 anos. O recorte é feito por prefixo de UF, o que herda do TerraBrasilis a definição de quais municípios do Maranhão pertencem à Amazônia Legal, já que o estado entra parcialmente.</w:t>
      </w:r>
    </w:p>
    <w:p w:rsidR="00000000" w:rsidDel="00000000" w:rsidP="00000000" w:rsidRDefault="00000000" w:rsidRPr="00000000" w14:paraId="0000004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1.2 Camadas e pureza de camada</w:t>
      </w:r>
    </w:p>
    <w:p w:rsidR="00000000" w:rsidDel="00000000" w:rsidP="00000000" w:rsidRDefault="00000000" w:rsidRPr="00000000" w14:paraId="00000050">
      <w:pPr>
        <w:ind w:firstLine="709"/>
        <w:rPr/>
      </w:pPr>
      <w:r w:rsidDel="00000000" w:rsidR="00000000" w:rsidRPr="00000000">
        <w:rPr>
          <w:rtl w:val="0"/>
        </w:rPr>
        <w:t xml:space="preserve">O pipeline são quatro arquivos SQL sobre DuckDB: (1) Staging é ingestão bruta exclusivamente: cinco tabelas *_raw, tudo SELECT * com all_varchar = true, zero filtro, zero cast, zero coluna computada. (2) Marts filtra, tipa e padroniza: ibama_clean (o filtro de desmatamento em três casos), prodes_clean, municipality_ref (extração do caminho de UF no JSON aninhado), municipality_area (descarte das linhas de rodapé), ipca_annual (UNPIVOT do formato largo do Sidra e média anual). (3) Analytics computa índices derivados: o deflator (razão de rebase, base 2025), egs_base (o LEFT JOIN central que preserva as 13.896 linhas do painel mesmo sem auto correspondente: é o que permite a lacuna absoluta existir como observação), egs_final (fórmula e classificação), egs_ranking e annual_summary.</w:t>
      </w:r>
    </w:p>
    <w:p w:rsidR="00000000" w:rsidDel="00000000" w:rsidP="00000000" w:rsidRDefault="00000000" w:rsidRPr="00000000" w14:paraId="00000051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1.3 As 56 verificações</w:t>
      </w:r>
    </w:p>
    <w:p w:rsidR="00000000" w:rsidDel="00000000" w:rsidP="00000000" w:rsidRDefault="00000000" w:rsidRPr="00000000" w14:paraId="00000052">
      <w:pPr>
        <w:ind w:firstLine="709"/>
        <w:rPr/>
      </w:pPr>
      <w:r w:rsidDel="00000000" w:rsidR="00000000" w:rsidRPr="00000000">
        <w:rPr>
          <w:rtl w:val="0"/>
        </w:rPr>
        <w:t xml:space="preserve">Cada arquivo termina numa única query consolidada (UNION ALL) que retorna check_name, actual, expected e status, com falhas ordenadas para o topo: 8 verificações em staging, 27 em marts, 20 em analytics e 1 pós-export: 56 no total, todos passando em produção. Além de contagens e invariantes estruturais, algumas guardas nasceram de modos de falha reais encontrados em revisão. Por exemplo, missing_legal_amazon_munis = 1 compara o conjunto de geocodes contra a referência do IBGE nos oito estados integralmente contidos na Amazônia Legal, e registra que falta Boa Esperança do Norte/MT (5101837), desmembrado de Nova Ubiratã em 2025 e novo demais para a malha do PRODES. O painel são os 772 municípios que o PRODES mapeia; a contagem oficial da Amazônia Legal segue 772 e deve passar a 773 numa atualização futura. </w:t>
      </w:r>
    </w:p>
    <w:p w:rsidR="00000000" w:rsidDel="00000000" w:rsidP="00000000" w:rsidRDefault="00000000" w:rsidRPr="00000000" w14:paraId="00000053">
      <w:pPr>
        <w:pStyle w:val="Heading1"/>
        <w:keepNext/>
        <w:keepLines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2. Construção das variáveis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2.1 O filtro de desmatamento no IBAMA (60.707 autos)</w:t>
      </w:r>
    </w:p>
    <w:p w:rsidR="00000000" w:rsidDel="00000000" w:rsidP="00000000" w:rsidRDefault="00000000" w:rsidRPr="00000000" w14:paraId="00000055">
      <w:pPr>
        <w:ind w:firstLine="709"/>
        <w:rPr/>
      </w:pPr>
      <w:r w:rsidDel="00000000" w:rsidR="00000000" w:rsidRPr="00000000">
        <w:rPr>
          <w:rtl w:val="0"/>
        </w:rPr>
        <w:t xml:space="preserve">Dos 309.116 autos brutos, o recorte de desmatamento retém 60.707 (soma nominal de controle: R$ 26.814.492.927), pela união de três casos, com SIT_CANCELADO = 'N' e DES_STATUS_FORMULARIO = 'Lavrado': (1) TIPO_INFRACAO = 'Flora' com INFRACAO_AREA = 'Desmatamento': 58.051 autos; (2) 'Flora' com área nula e código de infração específico de desmatamento (seis códigos, ex.: destruir/danificar florestas nativas; concentrados em 2008-2012, quando o campo de área não era obrigatório): 2.129; (3) tipo nulo com área 'Desmatamento': 527. A data usada é DAT_HORA_AUTO_INFRACAO (0% de NA), não DT_FATO_INFRACIONAL (71% de NA na base filtrada): decisão documentada com sua validação de lag (§4.2). Categorias excluídas: o IBAMA também classifica autos como INFRACAO_AREA = “Desmatamento e Queimada”, 2.051 lavrados e R$ 1,88 bilhão, deixados de fora porque o registro não separa a supressão da queima. A exclusão subestima a resposta federal, nunca o contrário. O custo foi medido: incluindo essa categoria e o código 409906 no caso (2), a base vai de 60.707 para 63.213 autos e o ranking praticamente não se move, com Spearman 0,9999 entre os rankings completos dos 772 municípios, os mesmos 20 no topo e 49 dos 50 primeiros. A maior troca de posição é Maués, de 9º para 16º. Também fica de fora o código 409999, o mais frequente da base (77.872 autos): é rótulo genérico, e os autos de desmatamento que o carregam já entram pelos casos 1 e 3, via INFRACAO_AREA. Os 14.710 restantes são de tipo Flora com área nula, e o código genérico não permite classificá-los.</w:t>
      </w:r>
    </w:p>
    <w:p w:rsidR="00000000" w:rsidDel="00000000" w:rsidP="00000000" w:rsidRDefault="00000000" w:rsidRPr="00000000" w14:paraId="00000056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2.2 O deflator IPCA</w:t>
      </w:r>
    </w:p>
    <w:p w:rsidR="00000000" w:rsidDel="00000000" w:rsidP="00000000" w:rsidRDefault="00000000" w:rsidRPr="00000000" w14:paraId="00000057">
      <w:pPr>
        <w:ind w:firstLine="709"/>
        <w:rPr/>
      </w:pPr>
      <w:r w:rsidDel="00000000" w:rsidR="00000000" w:rsidRPr="00000000">
        <w:rPr>
          <w:rtl w:val="0"/>
        </w:rPr>
        <w:t xml:space="preserve">Série mensal real do Sidra (tabela 1737, variável 2266, número-índice base dez/1993 = 100), agregada por média anual: os autos são lavrados o ano inteiro, com 21,4% dos autos concentrados em setembro e outubro (setembro é o pico mensal, 11,1%), então a base 2025 é a média dos 12 índices mensais do ano, não um mês de referência. O deflator de cada ano é média(2025)/média(ano): 1,0 em 2025 por construção; 2,5826 em 2008.</w:t>
      </w:r>
    </w:p>
    <w:p w:rsidR="00000000" w:rsidDel="00000000" w:rsidP="00000000" w:rsidRDefault="00000000" w:rsidRPr="00000000" w14:paraId="00000058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2.3 Normalização territorial</w:t>
      </w:r>
    </w:p>
    <w:p w:rsidR="00000000" w:rsidDel="00000000" w:rsidP="00000000" w:rsidRDefault="00000000" w:rsidRPr="00000000" w14:paraId="00000059">
      <w:pPr>
        <w:ind w:firstLine="709"/>
        <w:rPr/>
      </w:pPr>
      <w:r w:rsidDel="00000000" w:rsidR="00000000" w:rsidRPr="00000000">
        <w:rPr>
          <w:rtl w:val="0"/>
        </w:rPr>
        <w:t xml:space="preserve">A coluna pct_desmatado (total desmatado no painel ÷ área territorial do município, IBGE 2025) responde à crítica clássica de unidade de área (MAUP): municípios amazônicos variam de centenas a &gt;150.000 km². É coluna de contexto, não critério de ordenação, e o teste mostrou que captura eixo distinto: o máximo do painel é Cujubim (RO), com 29,79% do território desmatado em 18 anos e EGS médio de apenas 0,578 (bem abaixo do top 15). Distribuição: mediana 1,10%, p75 3,38%. Uma exceção conhecida: Nova Ubiratã (MT) teve Boa Esperança do Norte desmembrada de seu território em 2025, e as duas fontes registram o desmembramento em tempos diferentes. O PRODES ainda agrega a área pré-desmembramento; o arquivo de áreas do IBGE 2025 já a separa. Seu pct_desmatado divide, portanto, um numerador antigo por um denominador novo (8,93%; sobre os 13.425 km² pré-desmembramento seriam 5,80%). É o único município do painel nessa situação, não afeta a ordenação nem os quantis acima, e está registrado no check missing_legal_amazon_munis.</w:t>
      </w:r>
    </w:p>
    <w:p w:rsidR="00000000" w:rsidDel="00000000" w:rsidP="00000000" w:rsidRDefault="00000000" w:rsidRPr="00000000" w14:paraId="0000005A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3. A fórmula e o teste empírico de cada decisão</w:t>
      </w:r>
    </w:p>
    <w:p w:rsidR="00000000" w:rsidDel="00000000" w:rsidP="00000000" w:rsidRDefault="00000000" w:rsidRPr="00000000" w14:paraId="0000005B">
      <w:pPr>
        <w:keepNext w:val="1"/>
        <w:tabs>
          <w:tab w:val="center" w:leader="none" w:pos="4536"/>
          <w:tab w:val="right" w:leader="none" w:pos="9072"/>
        </w:tabs>
        <w:spacing w:after="40" w:before="40" w:lineRule="auto"/>
        <w:ind w:left="36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114300" distR="114300">
            <wp:extent cx="4389120" cy="1084951"/>
            <wp:effectExtent b="0" l="0" r="0" t="0"/>
            <wp:docPr descr="Equação 1: definição do Enforcement Gap Score, razão entre o logaritmo da área desmatada e a média geométrica dos logaritmos de autos e de multas." id="15" name="image2.png"/>
            <a:graphic>
              <a:graphicData uri="http://schemas.openxmlformats.org/drawingml/2006/picture">
                <pic:pic>
                  <pic:nvPicPr>
                    <pic:cNvPr descr="Equação 1: definição do Enforcement Gap Score, razão entre o logaritmo da área desmatada e a média geométrica dos logaritmos de autos e de multas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8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position w:val="76"/>
          <w:sz w:val="24"/>
          <w:szCs w:val="24"/>
          <w:rtl w:val="0"/>
        </w:rPr>
        <w:tab/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onde A = km² desmatados no município no ano; N = n_autos; M = multas_reais, deflacionadas (IPCA, base 2025).</w:t>
      </w:r>
    </w:p>
    <w:p w:rsidR="00000000" w:rsidDel="00000000" w:rsidP="00000000" w:rsidRDefault="00000000" w:rsidRPr="00000000" w14:paraId="0000005D">
      <w:pPr>
        <w:pStyle w:val="Heading2"/>
        <w:keepNext/>
        <w:keepLines/>
        <w:rPr/>
      </w:pPr>
      <w:bookmarkStart w:colFirst="0" w:colLast="0" w:name="_heading=h.mss4sw3mbcrr" w:id="0"/>
      <w:bookmarkEnd w:id="0"/>
      <w:r w:rsidDel="00000000" w:rsidR="00000000" w:rsidRPr="00000000">
        <w:rPr>
          <w:rtl w:val="0"/>
        </w:rPr>
        <w:t xml:space="preserve">3.1 Propriedades do índice</w:t>
      </w:r>
    </w:p>
    <w:p w:rsidR="00000000" w:rsidDel="00000000" w:rsidP="00000000" w:rsidRDefault="00000000" w:rsidRPr="00000000" w14:paraId="0000005E">
      <w:pPr>
        <w:ind w:firstLine="709"/>
        <w:rPr/>
      </w:pPr>
      <w:r w:rsidDel="00000000" w:rsidR="00000000" w:rsidRPr="00000000">
        <w:rPr>
          <w:rtl w:val="0"/>
        </w:rPr>
        <w:t xml:space="preserve">(1) Imagem. O EGS é zero por construção quando A &lt; 1 km². Acima disso é positivo e tem teto estrutural, porque o denominador nunca é menor que 1 (seção 3.2) e nenhum município pode desmatar mais que o próprio território: o teto é log(1 + área do município), 5,2029 em Altamira (PA), o maior do país com 159.533 km², e 1,9042 em Raposa (MA), o menor do painel com 79,2 km². É teto por município, não do índice. O piso positivo não é estrutural, porque nem o número de autos nem o valor das multas têm limite superior; com os máximos anuais observados, 398 autos e R$ 496,4 milhões, ele fica em 0,0633. Observado: o EGS anual vai de 0,0726 (Manaus, 2018) a 2,1275 (Marcelândia, 2021), e a média de dezoito anos, de 0,0060 (Belém) a 1,1790 (Cachoeira do Piriá). </w:t>
      </w:r>
    </w:p>
    <w:p w:rsidR="00000000" w:rsidDel="00000000" w:rsidP="00000000" w:rsidRDefault="00000000" w:rsidRPr="00000000" w14:paraId="0000005F">
      <w:pPr>
        <w:ind w:firstLine="709"/>
        <w:rPr/>
      </w:pPr>
      <w:r w:rsidDel="00000000" w:rsidR="00000000" w:rsidRPr="00000000">
        <w:rPr>
          <w:rtl w:val="0"/>
        </w:rPr>
        <w:t xml:space="preserve">(2) O máximo é sempre lacuna absoluta. Marcelândia tem denominador no piso, e o topo da escala é, por construção, ausência de resposta. </w:t>
      </w:r>
    </w:p>
    <w:p w:rsidR="00000000" w:rsidDel="00000000" w:rsidP="00000000" w:rsidRDefault="00000000" w:rsidRPr="00000000" w14:paraId="00000060">
      <w:pPr>
        <w:ind w:firstLine="709"/>
        <w:rPr/>
      </w:pPr>
      <w:r w:rsidDel="00000000" w:rsidR="00000000" w:rsidRPr="00000000">
        <w:rPr>
          <w:rtl w:val="0"/>
        </w:rPr>
        <w:t xml:space="preserve">(3) Descontinuidade no limiar. Em A = 1 km² o numerador salta de zero para log 2 = 0,3010, de modo que o salto vale 0,3010 com o denominador no piso e 0,0633 com ele no máximo observado. É deliberada: declara que abaixo de 1 km² não há pressão a medir. </w:t>
      </w:r>
    </w:p>
    <w:p w:rsidR="00000000" w:rsidDel="00000000" w:rsidP="00000000" w:rsidRDefault="00000000" w:rsidRPr="00000000" w14:paraId="00000061">
      <w:pPr>
        <w:ind w:firstLine="709"/>
        <w:rPr/>
      </w:pPr>
      <w:r w:rsidDel="00000000" w:rsidR="00000000" w:rsidRPr="00000000">
        <w:rPr>
          <w:rtl w:val="0"/>
        </w:rPr>
        <w:t xml:space="preserve">(4) O piso tem limiar explícito. Com um único auto, qualquer multa abaixo de R$ 2.097,59 mantém o denominador em 1; com dois autos, R$ 123,71; com nove, R$ 9,00. Das 6.348 observações com EGS positivo, 3.091 estão no piso: 3.052 sem resposta alguma, 11 com autos e multa zerada, e os 28 da seção 3.2, com multa positiva absorvida. </w:t>
      </w:r>
    </w:p>
    <w:p w:rsidR="00000000" w:rsidDel="00000000" w:rsidP="00000000" w:rsidRDefault="00000000" w:rsidRPr="00000000" w14:paraId="00000062">
      <w:pPr>
        <w:ind w:firstLine="709"/>
        <w:rPr/>
      </w:pPr>
      <w:r w:rsidDel="00000000" w:rsidR="00000000" w:rsidRPr="00000000">
        <w:rPr>
          <w:rtl w:val="0"/>
        </w:rPr>
        <w:t xml:space="preserve">(5) Monotonicidade. Cresce em A, decresce em N e em M, estas duas fracamente por causa do piso. </w:t>
      </w:r>
    </w:p>
    <w:p w:rsidR="00000000" w:rsidDel="00000000" w:rsidP="00000000" w:rsidRDefault="00000000" w:rsidRPr="00000000" w14:paraId="00000063">
      <w:pPr>
        <w:ind w:firstLine="709"/>
        <w:rPr/>
      </w:pPr>
      <w:r w:rsidDel="00000000" w:rsidR="00000000" w:rsidRPr="00000000">
        <w:rPr>
          <w:rtl w:val="0"/>
        </w:rPr>
        <w:t xml:space="preserve">(6) Retorno marginal decrescente. Com o denominador no piso, ir de 1 para 2 km² acrescenta 0,1761 ao índice e ir de 100 para 101 km² acrescenta 0,0043, razão de 41 vezes. É o que justifica a leitura ordinal e desautoriza ler diferenças de EGS como quantidades. </w:t>
      </w:r>
    </w:p>
    <w:p w:rsidR="00000000" w:rsidDel="00000000" w:rsidP="00000000" w:rsidRDefault="00000000" w:rsidRPr="00000000" w14:paraId="00000064">
      <w:pPr>
        <w:ind w:firstLine="709"/>
        <w:rPr/>
      </w:pPr>
      <w:r w:rsidDel="00000000" w:rsidR="00000000" w:rsidRPr="00000000">
        <w:rPr>
          <w:rtl w:val="0"/>
        </w:rPr>
        <w:t xml:space="preserve">(7) Não é invariante a escala. A razão é entre logaritmos, não entre níveis, então dobrar área e resposta não preserva o índice.</w:t>
      </w:r>
    </w:p>
    <w:p w:rsidR="00000000" w:rsidDel="00000000" w:rsidP="00000000" w:rsidRDefault="00000000" w:rsidRPr="00000000" w14:paraId="00000065">
      <w:pPr>
        <w:ind w:firstLine="709"/>
        <w:rPr/>
      </w:pPr>
      <w:r w:rsidDel="00000000" w:rsidR="00000000" w:rsidRPr="00000000">
        <w:rPr>
          <w:rtl w:val="0"/>
        </w:rPr>
        <w:t xml:space="preserve">(8) O denominador da equação combina as duas dimensões da resposta federal por média geométrica, não por soma nem por média aritmética. A escolha decorre de a média geométrica se anular quando qualquer um dos fatores é zero, enquanto a soma permite que um fator alto compense a ausência do outro. Autuação sem valor e valor sem autuação são tratados como resposta ausente, não como resposta parcial. A média geométrica também penaliza o desequilíbrio: para uma mesma soma dos fatores, ela é máxima quando os dois se igualam, de modo que muitos autos de valor irrisório, ou um auto isolado de valor alto, produzem denominador menor que uma combinação equilibrada, e portanto EGS maior. O caso extremo dessa propriedade é Piçarra (PA), um único auto em dezoito anos, de R$ 123 milhões, que pelo valor seria resposta máxima e no denominador cai para o primeiro quintil.</w:t>
      </w:r>
    </w:p>
    <w:p w:rsidR="00000000" w:rsidDel="00000000" w:rsidP="00000000" w:rsidRDefault="00000000" w:rsidRPr="00000000" w14:paraId="00000066">
      <w:pPr>
        <w:ind w:firstLine="709"/>
        <w:rPr/>
      </w:pPr>
      <w:r w:rsidDel="00000000" w:rsidR="00000000" w:rsidRPr="00000000">
        <w:rPr>
          <w:rtl w:val="0"/>
        </w:rPr>
        <w:t xml:space="preserve">Os pesos são iguais, o que corresponde à raiz quadrada do produto. Uma generalização ponderada é possível, na forma autos^w × multas^(1-w), e a literatura de dissuasão oferece argumento para w &gt; 0,5: a revisão de Nagin (2013) conclui que a certeza da punição tem efeito dissuasório mais consistente que sua severidade. A adaptação não foi adotada por duas razões. O número de autos registra resposta institucional, não probabilidade de apreensão, de modo que a correspondência com a certeza da literatura é analógica. E qualquer valor específico de w exigiria calibração que este trabalho não realiza. Fica registrada como extensão possível, sem teste de sensibilidade nesta versão.</w:t>
      </w:r>
    </w:p>
    <w:p w:rsidR="00000000" w:rsidDel="00000000" w:rsidP="00000000" w:rsidRDefault="00000000" w:rsidRPr="00000000" w14:paraId="00000067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3.2 Piso no denominador (max(1, ·))</w:t>
      </w:r>
    </w:p>
    <w:p w:rsidR="00000000" w:rsidDel="00000000" w:rsidP="00000000" w:rsidRDefault="00000000" w:rsidRPr="00000000" w14:paraId="00000068">
      <w:pPr>
        <w:ind w:firstLine="709"/>
        <w:rPr/>
      </w:pPr>
      <w:r w:rsidDel="00000000" w:rsidR="00000000" w:rsidRPr="00000000">
        <w:rPr>
          <w:rtl w:val="0"/>
        </w:rPr>
        <w:t xml:space="preserve">Substitui as três fórmulas incomensuráveis por categoria de versões anteriores e elimina a instabilidade na fronteira de R$ 0,01, onde denominadores minúsculos explodiam o índice nos casos menos informativos. Com multas deflacionadas, o piso reproduz a fórmula antiga em 100% dos ex-absolute_gap e em 3.257/3.285 (99,1%) dos ex-measured_gap; os 28 divergentes (0,9%; 61 com valores nominais) são justamente os casos de fronteira, tornados mais conservadores. Distribuição do denominador bruto no measured_gap: mediana 2,07, p25 1,56, máximo 4,56, mínimo 0,796. O piso é inerte para a massa dos dados. Como o denominador nunca é inferior a 1, o EGS de qualquer ano é no máximo log10(1 + área). Esse teto é o valor da lacuna absoluta, de modo que nenhuma resposta ínfima pode pontuar acima de resposta nenhuma.</w:t>
      </w:r>
    </w:p>
    <w:p w:rsidR="00000000" w:rsidDel="00000000" w:rsidP="00000000" w:rsidRDefault="00000000" w:rsidRPr="00000000" w14:paraId="00000069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3.3 Limiar de materialidade (1 km²)</w:t>
      </w:r>
    </w:p>
    <w:p w:rsidR="00000000" w:rsidDel="00000000" w:rsidP="00000000" w:rsidRDefault="00000000" w:rsidRPr="00000000" w14:paraId="0000006A">
      <w:pPr>
        <w:ind w:firstLine="709"/>
        <w:rPr/>
      </w:pPr>
      <w:r w:rsidDel="00000000" w:rsidR="00000000" w:rsidRPr="00000000">
        <w:rPr>
          <w:rtl w:val="0"/>
        </w:rPr>
        <w:t xml:space="preserve">Aproximadamente uma ordem de grandeza acima da unidade mínima de mapeamento real do PRODES (6,25 ha, valor herdado da escala 1:250.000 da fase analógica do PRODES e mantido desde então para preservar a harmonia da série histórica). O custo de remover é 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3.392 município-anos (24,4% do painel) com 0 &lt; área &lt; 1 km², que ganhariam EGS entre 0 e 0,301; uma injeção de ruído comparável ao 5º percentil dos EGS reais. Com limiar de 1 km², 6,25 ha ou nenhum, os top 10/20/50 do ranking são idênticos; Spearman 0,987 entre os rankings completos (772 municípios, empates por posto médio). São 0,9868 para 1 km² contra 6,25 ha e 0,9866 para 1 km² contra nenhum limiar. O limiar move apenas a estatística descritiva (os 54,3% sem pressão), não a ordenação. Sob o limiar de 6,25 ha, 135 municípios, e não 220, não registram nenhum ano de pressão. Destes, 105 têm desmatamento acumulado que arredonda a zero no PRODES e, ainda assim, R$ 473 milhões em 1.746 autos de desmatamento do IBAMA, concentrados em Tocantins (67), Maranhão (25) e Mato Grosso (13). A divergência não decorre de erro de atribuição municipal (92,9% dos autos com coordenada caem no próprio município, contra 93,5% no painel) nem de fatos anteriores ao período (nenhum dos 378 autos com data de fato é anterior a 2008). Esses autos são, em média, menores (29,9% abaixo de 6,25 ha, contra 11,3% no restante) e o campo CLASSIFICACAO_AREA do IBAMA os associa predominantemente a propriedade particular (35,5%, contra 4,0%) e reserva legal (10,1%, contra 4,4%), e raramente a floresta nativa (4,8%, contra 22,8%). Registra-se a divergência sem hipótese sobre sua causa.</w:t>
      </w:r>
    </w:p>
    <w:p w:rsidR="00000000" w:rsidDel="00000000" w:rsidP="00000000" w:rsidRDefault="00000000" w:rsidRPr="00000000" w14:paraId="0000006B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3.4 Média 0-fill como ordenação principal</w:t>
      </w:r>
    </w:p>
    <w:p w:rsidR="00000000" w:rsidDel="00000000" w:rsidP="00000000" w:rsidRDefault="00000000" w:rsidRPr="00000000" w14:paraId="0000006C">
      <w:pPr>
        <w:ind w:firstLine="709"/>
        <w:rPr/>
      </w:pPr>
      <w:r w:rsidDel="00000000" w:rsidR="00000000" w:rsidRPr="00000000">
        <w:rPr>
          <w:rtl w:val="0"/>
        </w:rPr>
        <w:t xml:space="preserve">EGS = 0 (não NULL) nos anos sem pressão; a ordenação do ranking é a média simples dos 18 anos. A identidade algébrica foi verificada nos dados: média_0fill = severidade média nos anos com pressão x fração de anos com pressão. Severidade e frequência correlacionam fortemente nos 552 municípios qualificados (Pearson 0,621; Spearman ~0,695); sobreposição 9/10 entre o top 10 por severidade pura e por 0-fill; o único divergente, Nova Nazaré (MT), maior severidade do dataset (1,384) com 2/18 anos de pressão (11 km² em 2008; 63 km² em 2017), cai a 0,154 e sai do topo. O 0-fill também dispensa filtro arbitrário de N mínimo de anos (filtro ≥3 anos + severidade dá sobreposição 10/10 com o 0-fill).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 EGS médio correlaciona 0,983 com o número de anos com pressão sobre os 772, e 0,955 sobre os 552 (Spearman). A correlação é esperada, porque a persistência é um dos dois fatores da identidade, e sozinha ela não responde à objeção. O que responde é manter a persistência constante: entre os 187 municípios com pressão nos dezoito anos, onde o segundo fator vale 1 para todos, o índice ainda vai de 0,336 a 1,179, um fator de 3,5, e esses 187 ocupam da primeira à 297ª posição do ranking. No topo a persistência está saturada, porque os vinte primeiros têm 18/18, e a ordenação ali é inteiramente severidade.</w:t>
      </w:r>
    </w:p>
    <w:p w:rsidR="00000000" w:rsidDel="00000000" w:rsidP="00000000" w:rsidRDefault="00000000" w:rsidRPr="00000000" w14:paraId="0000006D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3.5 Colunas de situação recente</w:t>
      </w:r>
    </w:p>
    <w:p w:rsidR="00000000" w:rsidDel="00000000" w:rsidP="00000000" w:rsidRDefault="00000000" w:rsidRPr="00000000" w14:paraId="0000006E">
      <w:pPr>
        <w:ind w:firstLine="709"/>
        <w:rPr/>
      </w:pPr>
      <w:r w:rsidDel="00000000" w:rsidR="00000000" w:rsidRPr="00000000">
        <w:rPr>
          <w:rtl w:val="0"/>
        </w:rPr>
        <w:t xml:space="preserve">Média 2023-2025 e slope OLS (computado manualmente como COVAR_POP/VAR_POP, espelhando cov/var do R; REGR_SLOPE nativo evitado por comportamento não verificado). A fragilidade é validada com casos extremos: evento único em 2024 gera slope +0,005 (Palmeiras do Tocantins); dois eventos 2008/2017 → −0,017 (Nova Nazaré): a distinção “problema novo vs. antigo” mora na segunda casa decimal quando há poucos pontos. Por isso o slope nunca é lido sozinho e acompanha a média recente e n_years_pressure como indicador de confiabilidade. A janela de 3 anos inclui 2025, cujo total no painel diverge -8,3% da taxa nacional consolidada, o maior dos quatro desvios de âncora (§4.1), e que segue sujeito a revisão em atualizações posteriores do PRODES.</w:t>
      </w:r>
    </w:p>
    <w:p w:rsidR="00000000" w:rsidDel="00000000" w:rsidP="00000000" w:rsidRDefault="00000000" w:rsidRPr="00000000" w14:paraId="0000006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3.6 Deflação e escala</w:t>
      </w:r>
    </w:p>
    <w:p w:rsidR="00000000" w:rsidDel="00000000" w:rsidP="00000000" w:rsidRDefault="00000000" w:rsidRPr="00000000" w14:paraId="00000070">
      <w:pPr>
        <w:ind w:firstLine="709"/>
        <w:rPr/>
      </w:pPr>
      <w:r w:rsidDel="00000000" w:rsidR="00000000" w:rsidRPr="00000000">
        <w:rPr>
          <w:rtl w:val="0"/>
        </w:rPr>
        <w:t xml:space="preserve">Multiplicar o deflator após o SUM é equivalente a deflacionar auto a auto (o deflator é constante dentro do ano). Efeito no ranking: sobreposição 9/10 no top 10 nominal vs. deflacionado, Spearman ≈ 1,0: a deflação corrige magnitudes, quase não move posições. LOG é base 10 tanto no DuckDB quanto no R (log10() explícito nas duas pontas, não o log() natural do R), sincronizado deliberadamente: o piso (GREATEST/pmax) compara o denominador com uma constante fixa que não escala com a base logarítmica, então bases diferentes fariam o piso disparar em casos distintos em cada implementação.</w:t>
      </w:r>
    </w:p>
    <w:p w:rsidR="00000000" w:rsidDel="00000000" w:rsidP="00000000" w:rsidRDefault="00000000" w:rsidRPr="00000000" w14:paraId="00000071">
      <w:pPr>
        <w:pStyle w:val="Heading2"/>
        <w:keepNext/>
        <w:keepLines/>
        <w:rPr/>
      </w:pPr>
      <w:bookmarkStart w:colFirst="0" w:colLast="0" w:name="_heading=h.5y8gu58b6uqu" w:id="1"/>
      <w:bookmarkEnd w:id="1"/>
      <w:r w:rsidDel="00000000" w:rsidR="00000000" w:rsidRPr="00000000">
        <w:rPr>
          <w:rtl w:val="0"/>
        </w:rPr>
        <w:t xml:space="preserve">3.7 Visualização do índice</w:t>
      </w:r>
    </w:p>
    <w:p w:rsidR="00000000" w:rsidDel="00000000" w:rsidP="00000000" w:rsidRDefault="00000000" w:rsidRPr="00000000" w14:paraId="00000072">
      <w:pPr>
        <w:ind w:firstLine="709"/>
        <w:rPr/>
      </w:pPr>
      <w:r w:rsidDel="00000000" w:rsidR="00000000" w:rsidRPr="00000000">
        <w:rPr>
          <w:rtl w:val="0"/>
        </w:rPr>
        <w:t xml:space="preserve">A figura abaixo desenha a fórmula com um gráfico de dispersão. Os eixos são os dois termos da fórmula: no eixo horizontal o numerador, log10(1 + km² desmatados totais nos 18 anos); no vertical o denominador, a média geométrica dos logaritmos de autos e de multas deflacionadas totais nos 18 anos, com o mesmo piso de 1 que o pipeline aplica. Como o EGS é a razão entre os dois, as linhas de EGS constante são retas que passam pela origem, com inclinação 1/EGS, e as três tracejadas marcam EGS 0,25, 0,5 e 1. O piso do denominador é uma linha visível, e os 106 municípios que repousam sobre ela, entre os 639 desenhados, são aqueles cuja resposta federal a fórmula trata como ausente; Governador Luiz Rocha, o caso-âncora de lacuna absoluta, está entre eles. Os 133 municípios cujo desmatamento acumulado arredonda a zero no período não aparecem, porque uma razão entre pressão e resposta não tem o que dizer onde não houve pressão. E o gráfico aplica a fórmula aos totais de dezoito anos, enquanto o índice publicado é a média das razões anuais com 0-fill: entre os 639 desenhados as duas ordenações concordam a um Spearman de 0,503, o que é fraco. A figura desenha a fórmula, não reproduz o ranking, e a diferença mede quanto a escolha de agregação pesa neste índice. A cor indica o tipo de lacuna dominante ao longo dos dezoito anos, com empates, 23 dos 772, resolvidos a favor da categoria mais grave, e os nomes destacam os seis casos-âncora discutidos no texto.</w:t>
      </w:r>
    </w:p>
    <w:p w:rsidR="00000000" w:rsidDel="00000000" w:rsidP="00000000" w:rsidRDefault="00000000" w:rsidRPr="00000000" w14:paraId="0000007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14800"/>
            <wp:effectExtent b="0" l="0" r="0" t="0"/>
            <wp:docPr descr="Figura 1. A fórmula do EGS desenhada: numerador (km² desmatados) contra denominador (média geométrica de log(1+autos) e log(1+multas)), com as retas de EGS constante. Abaixo de uma reta = EGS acima daquele valor. A horizontal em 1 é o piso do denominador, anotada na figura com os 106 municípios que repousam sobre ela. Os seis nomes destacados são os mesmos das figuras 8 e 9." id="17" name="image9.png"/>
            <a:graphic>
              <a:graphicData uri="http://schemas.openxmlformats.org/drawingml/2006/picture">
                <pic:pic>
                  <pic:nvPicPr>
                    <pic:cNvPr descr="Figura 1. A fórmula do EGS desenhada: numerador (km² desmatados) contra denominador (média geométrica de log(1+autos) e log(1+multas)), com as retas de EGS constante. Abaixo de uma reta = EGS acima daquele valor. A horizontal em 1 é o piso do denominador, anotada na figura com os 106 municípios que repousam sobre ela. Os seis nomes destacados são os mesmos das figuras 8 e 9.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1. A fórmula do EGS desenhada: numerador (km² desmatados) contra denominador (média geométrica de log(1+autos) e log(1+multas)), com as retas de EGS constante. Abaixo de uma reta = EGS acima daquele valor. A horizontal em 1 é o piso do denominador, anotada na figura com os 106 municípios que repousam sobre ela. Os seis nomes destacados são os mesmos das figuras 8 e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4. Validações</w:t>
      </w:r>
    </w:p>
    <w:p w:rsidR="00000000" w:rsidDel="00000000" w:rsidP="00000000" w:rsidRDefault="00000000" w:rsidRPr="00000000" w14:paraId="00000077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4.1 Âncoras estruturais do PRODES</w:t>
      </w:r>
    </w:p>
    <w:p w:rsidR="00000000" w:rsidDel="00000000" w:rsidP="00000000" w:rsidRDefault="00000000" w:rsidRPr="00000000" w14:paraId="00000078">
      <w:pPr>
        <w:ind w:firstLine="709"/>
        <w:rPr/>
      </w:pPr>
      <w:r w:rsidDel="00000000" w:rsidR="00000000" w:rsidRPr="00000000">
        <w:rPr>
          <w:rtl w:val="0"/>
        </w:rPr>
        <w:t xml:space="preserve">Painel balanceado confirmado (772 x 18, sem lacunas); trajetória anual cruzada com a taxa oficial do INPE em quatro anos-âncora: 2008 +2,9% (13.289 aqui vs. 12.911 oficial), 2012 −3,2% (4.427 vs. 4.571 consolidado), 2024 −3,9% (6.263 vs. 6.518 consolidado), 2025 −8,3% (5.258 vs. 5.731 consolidado). Os quatro desvios são reportados individualmente, sem limiar de aprovação: o painel soma o export municipal do TerraBrasilis e a taxa oficial é apurada por estado sobre as cenas. São objetos distintos, e a comparação é um teste de ordem de grandeza, não de identidade. O desvio de 2025 é o maior. O export municipal usado aqui foi baixado em 25/04/2026, depois da consolidação de março de 2026; somas municipais e taxa estadual divergem por construção.</w:t>
      </w:r>
    </w:p>
    <w:p w:rsidR="00000000" w:rsidDel="00000000" w:rsidP="00000000" w:rsidRDefault="00000000" w:rsidRPr="00000000" w14:paraId="00000079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4.2 Validação do same-year join</w:t>
      </w:r>
    </w:p>
    <w:p w:rsidR="00000000" w:rsidDel="00000000" w:rsidP="00000000" w:rsidRDefault="00000000" w:rsidRPr="00000000" w14:paraId="0000007A">
      <w:pPr>
        <w:ind w:firstLine="709"/>
        <w:rPr/>
      </w:pPr>
      <w:r w:rsidDel="00000000" w:rsidR="00000000" w:rsidRPr="00000000">
        <w:rPr>
          <w:rtl w:val="0"/>
        </w:rPr>
        <w:t xml:space="preserve">As categorias do R são mutuamente exclusivas, sobre os 60.707 autos (a unidade é o auto, não o município-ano): 59,2% casam com pressão material no ano do auto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no anterior; 4,7% só no mesmo ano; 1,0% só com defasagem de um ano; 35,1% nunca (parcela inflada por geocodes fora da Amazônia Legal). Ressalva estrutural: o “ano” PRODES vai de agosto a julho; o ano IBAMA é civil, então as janelas se sobrepõem em ~7 de 12 meses, e a validação de lag foi feita na base de ano civil. Parte do “lag” pode ser esse descompasso de calendário.</w:t>
      </w:r>
    </w:p>
    <w:p w:rsidR="00000000" w:rsidDel="00000000" w:rsidP="00000000" w:rsidRDefault="00000000" w:rsidRPr="00000000" w14:paraId="0000007B">
      <w:pPr>
        <w:ind w:firstLine="709"/>
        <w:rPr/>
      </w:pPr>
      <w:r w:rsidDel="00000000" w:rsidR="00000000" w:rsidRPr="00000000">
        <w:rPr>
          <w:rtl w:val="0"/>
        </w:rPr>
        <w:t xml:space="preserve">A evidência que de fato discrimina entre as duas janelas é estreita: 59,2% dos autos casam com pressão material nos dois anos e 35,1% em nenhum, de modo que apenas 5,7% (4,7 contra 1,0) separam uma hipótese da outra. A distribuição mensal dos autos, com pico em setembro e outubro, não decide, porque a estação seca facilita tanto a supressão quanto a operação de campo do IBAMA, e as duas leituras preveem o mesmo padrão. O custo da escolha foi medido: atribuindo o auto do ano seguinte ao desmatamento do ano anterior, 724 dos 3.063 município-anos de lacuna absoluta (23,6%) deixariam essa categoria. O teste documenta a sensibilidade da janela adotada, não a justifica. As quatro proporções são invariantes ao filtro de escopo: os 33 municípios descartados têm área zero em todos os anos e nunca casaram em nenhuma das duas janelas.</w:t>
      </w:r>
    </w:p>
    <w:p w:rsidR="00000000" w:rsidDel="00000000" w:rsidP="00000000" w:rsidRDefault="00000000" w:rsidRPr="00000000" w14:paraId="0000007C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4.3 O que o índice acrescenta</w:t>
      </w:r>
    </w:p>
    <w:p w:rsidR="00000000" w:rsidDel="00000000" w:rsidP="00000000" w:rsidRDefault="00000000" w:rsidRPr="00000000" w14:paraId="0000007D">
      <w:pPr>
        <w:pStyle w:val="Heading3"/>
        <w:keepNext/>
        <w:keepLines/>
        <w:rPr/>
      </w:pPr>
      <w:r w:rsidDel="00000000" w:rsidR="00000000" w:rsidRPr="00000000">
        <w:rPr>
          <w:rtl w:val="0"/>
        </w:rPr>
        <w:t xml:space="preserve">4.3.1 O índice não é redundante ao desmatamento</w:t>
      </w:r>
    </w:p>
    <w:p w:rsidR="00000000" w:rsidDel="00000000" w:rsidP="00000000" w:rsidRDefault="00000000" w:rsidRPr="00000000" w14:paraId="0000007E">
      <w:pPr>
        <w:ind w:firstLine="709"/>
        <w:rPr/>
      </w:pPr>
      <w:r w:rsidDel="00000000" w:rsidR="00000000" w:rsidRPr="00000000">
        <w:rPr>
          <w:rtl w:val="0"/>
        </w:rPr>
        <w:t xml:space="preserve">O desmatamento acumulado correlaciona 0,967 com o EGS médio de 18 anos (Spearman, sobre os 772; sobre os 552 com pressão é 0,940, e o Pearson dos valores brutos é 0,417, porque a relação é monótona e não linear), e a leitura corrente dessa correlação é de redundância. Ela descreve o miolo, entretanto, e não as caudas. Entre os 552 municípios com pressão, o deslocamento mediano entre a posição no desmatamento e a posição no EGS é de 24 posições, o percentil 90 é 97, e 51 municípios (9%) se deslocam mais de 100 posições. Nos extremos: Novo Progresso (PA) é o 7º em desmatamento e o 205º em lacuna, com 1.148 autos e R$ 2,22 bilhões em multas; Lábrea (AM) é o 4º e o 201º, com 1.576 autos e R$ 2,28 bilhões; Porto Velho (RO) é o 3º e o 199º, com 2.938 autos e R$ 1,37 bilhão. Na direção oposta, Governador Luiz Rocha (MA) é o 200º em desmatamento e o 54º em lacuna, com zero autos e zero reais em dezoito anos, e Fortuna (MA) é o 197º e o 59º, com um auto. Um mapa de desmatamento aponta para o Pará; o índice aponta para o Maranhão.</w:t>
      </w:r>
    </w:p>
    <w:p w:rsidR="00000000" w:rsidDel="00000000" w:rsidP="00000000" w:rsidRDefault="00000000" w:rsidRPr="00000000" w14:paraId="0000007F">
      <w:pPr>
        <w:ind w:firstLine="709"/>
        <w:rPr/>
      </w:pPr>
      <w:r w:rsidDel="00000000" w:rsidR="00000000" w:rsidRPr="00000000">
        <w:rPr>
          <w:rtl w:val="0"/>
        </w:rPr>
        <w:t xml:space="preserve">O mesmo numerador da figura 2, normalizado pela área do município. É a resposta ao problema da unidade areal modificável: o desmatamento absoluto correlaciona 0,58 com a área territorial do próprio município, e o percentual, 0,16. A comparação entre as duas figuras é o argumento: o quintil mediano do Amazonas cai de 3,0 para 1,0 e o do Maranhão sobe de 2,0 para 4,0, porque a primeira infla municípios grandes e afunda municípios pequenos.</w:t>
      </w:r>
    </w:p>
    <w:p w:rsidR="00000000" w:rsidDel="00000000" w:rsidP="00000000" w:rsidRDefault="00000000" w:rsidRPr="00000000" w14:paraId="00000080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189732"/>
            <wp:effectExtent b="0" l="0" r="0" t="0"/>
            <wp:docPr descr="Figura 2. Desmatamento acumulado absoluto (km²) por quintil, entre os 552 municípios com pressão; cinza = sem pressão; contorno grosso = top 20 EGS." id="16" name="image11.png"/>
            <a:graphic>
              <a:graphicData uri="http://schemas.openxmlformats.org/drawingml/2006/picture">
                <pic:pic>
                  <pic:nvPicPr>
                    <pic:cNvPr descr="Figura 2. Desmatamento acumulado absoluto (km²) por quintil, entre os 552 municípios com pressão; cinza = sem pressão; contorno grosso = top 20 EGS." id="0" name="image11.png"/>
                    <pic:cNvPicPr preferRelativeResize="0"/>
                  </pic:nvPicPr>
                  <pic:blipFill>
                    <a:blip r:embed="rId9"/>
                    <a:srcRect b="15000" l="0" r="0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2. Desmatamento acumulado absoluto (km²) por quintil, entre os 552 municípios com pressão; cinza = sem pressão; contorno grosso = top 20 EGS.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360420"/>
            <wp:effectExtent b="0" l="0" r="0" t="0"/>
            <wp:docPr descr="Figura 3. Percentual do território municipal desmatado (2008-2025), por quintil; cinza = sem pressão; contorno grosso = top 20 EGS." id="19" name="image3.png"/>
            <a:graphic>
              <a:graphicData uri="http://schemas.openxmlformats.org/drawingml/2006/picture">
                <pic:pic>
                  <pic:nvPicPr>
                    <pic:cNvPr descr="Figura 3. Percentual do território municipal desmatado (2008-2025), por quintil; cinza = sem pressão; contorno grosso = top 20 EGS." id="0" name="image3.png"/>
                    <pic:cNvPicPr preferRelativeResize="0"/>
                  </pic:nvPicPr>
                  <pic:blipFill>
                    <a:blip r:embed="rId10"/>
                    <a:srcRect b="15000" l="0" r="0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3. Percentual do território municipal desmatado (2008-2025), por quintil; cinza = sem pressão; contorno grosso = top 20 EGS.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/>
        <w:keepLines/>
        <w:rPr/>
      </w:pPr>
      <w:r w:rsidDel="00000000" w:rsidR="00000000" w:rsidRPr="00000000">
        <w:rPr>
          <w:rtl w:val="0"/>
        </w:rPr>
        <w:t xml:space="preserve">4.3.2 O índice não é uma inversão do volume de fiscalização</w:t>
      </w:r>
    </w:p>
    <w:p w:rsidR="00000000" w:rsidDel="00000000" w:rsidP="00000000" w:rsidRDefault="00000000" w:rsidRPr="00000000" w14:paraId="00000087">
      <w:pPr>
        <w:ind w:firstLine="709"/>
        <w:rPr/>
      </w:pPr>
      <w:r w:rsidDel="00000000" w:rsidR="00000000" w:rsidRPr="00000000">
        <w:rPr>
          <w:rtl w:val="0"/>
        </w:rPr>
        <w:t xml:space="preserve">Se fosse esse o caso, os municípios que mais recebem fiscalização não poderiam estar piorando (cf. seção 5). Entre os 107 municípios cuja média recente de EGS supera a histórica em 0,05 ou mais, a maior mancha contígua reúne 35 no norte do Mato Grosso, com mediana de 79 autos e R$ 157,7 milhões em multas. O grupo de comparação sai da mesma regra, invertida e vizinha: os 33 municípios que melhoram em 0,05 ou mais e tocam essa mancha, distribuídos por MT (21), RO (6), PA (3), AM (2) e TO (1), com mediana de 46 autos e R$ 38,1 milhões. Os que pioram recebem quase o dobro dos autos e mais de quatro vezes as multas dos vizinhos imediatos que melhoram, e pioram assim mesmo. O índice está medindo proporção entre pressão e resposta, não volume de resposta.</w:t>
      </w:r>
    </w:p>
    <w:p w:rsidR="00000000" w:rsidDel="00000000" w:rsidP="00000000" w:rsidRDefault="00000000" w:rsidRPr="00000000" w14:paraId="0000008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360420"/>
            <wp:effectExtent b="0" l="0" r="0" t="0"/>
            <wp:docPr descr="Figura 4. Resposta federal (média geométrica dos logaritmos de autos e de multas deflacionadas), por quintil, entre os 486 municípios com pressão e com multa; vermelho = pressão sem multa (66); cinza = sem pressão (220)." id="18" name="image8.png"/>
            <a:graphic>
              <a:graphicData uri="http://schemas.openxmlformats.org/drawingml/2006/picture">
                <pic:pic>
                  <pic:nvPicPr>
                    <pic:cNvPr descr="Figura 4. Resposta federal (média geométrica dos logaritmos de autos e de multas deflacionadas), por quintil, entre os 486 municípios com pressão e com multa; vermelho = pressão sem multa (66); cinza = sem pressão (220)." id="0" name="image8.png"/>
                    <pic:cNvPicPr preferRelativeResize="0"/>
                  </pic:nvPicPr>
                  <pic:blipFill>
                    <a:blip r:embed="rId11"/>
                    <a:srcRect b="15000" l="0" r="0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4. Resposta federal (média geométrica dos logaritmos de autos e de multas deflacionadas), por quintil, entre os 486 municípios com pressão e com multa; vermelho = pressão sem multa (66); cinza = sem pressão (220).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/>
        <w:keepLines/>
        <w:rPr/>
      </w:pPr>
      <w:r w:rsidDel="00000000" w:rsidR="00000000" w:rsidRPr="00000000">
        <w:rPr>
          <w:rtl w:val="0"/>
        </w:rPr>
        <w:t xml:space="preserve">4.3.3 Os casos que nenhum componente encontra sozinho</w:t>
      </w:r>
    </w:p>
    <w:p w:rsidR="00000000" w:rsidDel="00000000" w:rsidP="00000000" w:rsidRDefault="00000000" w:rsidRPr="00000000" w14:paraId="0000008C">
      <w:pPr>
        <w:ind w:firstLine="709"/>
        <w:rPr/>
      </w:pPr>
      <w:r w:rsidDel="00000000" w:rsidR="00000000" w:rsidRPr="00000000">
        <w:rPr>
          <w:rtl w:val="0"/>
        </w:rPr>
        <w:t xml:space="preserve">Os 107 municípios em piora formam 29 manchas contíguas, das quais duas concentram 59 deles e são regimes opostos. A primeira, 35 municípios no norte do Mato Grosso (34 em MT, 1 em RO), está no quintil 5 de desmatamento e no 4 de percentual desmatado, com mediana de 79 autos, nenhum município sem multa e R$ 7,14 bilhões acumulados. A segunda, 24 municípios no Solimões e no centro do Amazonas (23 em AM, 1 em RR), está no quintil 2,5 de desmatamento e no quintil 1 de percentual desmatado, com mediana de dois autos, um quarto nunca multado e R$ 116 milhões no total. A segunda mancha ocupa 583 mil km², mais território que a primeira, com um onze avos do desmatamento e um sessenta e dois avos das multas; a razão entre as multas medianas das duas é de 1 para 1.677. Nenhum mapa de pressão apontaria a segunda, porque em termos de desmatamento ela é irrelevante, e nenhum mapa de resposta a apontaria, porque fiscalização baixa em área sem pressão é o comportamento esperado. Apenas a razão entre os dois a encontra.</w:t>
      </w:r>
    </w:p>
    <w:p w:rsidR="00000000" w:rsidDel="00000000" w:rsidP="00000000" w:rsidRDefault="00000000" w:rsidRPr="00000000" w14:paraId="0000008D">
      <w:pPr>
        <w:ind w:firstLine="709"/>
        <w:rPr/>
      </w:pPr>
      <w:r w:rsidDel="00000000" w:rsidR="00000000" w:rsidRPr="00000000">
        <w:rPr>
          <w:rtl w:val="0"/>
        </w:rPr>
        <w:t xml:space="preserve">Ressalva metodológica sobre 4.3.2 e 4.3.3: a medida de tendência é avg_egs_3y menos avg_egs_18y, e os três anos recentes integram a média de dezoito, o que introduz regressão à média. Entre os 552 com pressão em algum ano, o Spearman entre o nível histórico e a variação é -0,173, isto é, existe e é fraco, e a operacionalização concorrente, o coeficiente angular de 18 anos (slope_egs), concorda em sinal com esta em 71% (a comparação exclui o único município cuja variação é exatamente zero, onde não há sinal a comparar). Duas advertências sobre esses dois números. Eles descrevem os 552, e as figuras 7 e 8 classificam em faixas apenas os 391 com pressão material em 2023-2025: restrito a esses, o Spearman vai a -0,276 e a concordância com slope_egs cai a 63%. E o lado da melhora é o frágil: dos 401 municípios cuja média recente é menor que a histórica, 161, ou 40%, têm média recente exatamente zero, ou seja pressão que cessou e não lacuna que fechou. O lado da piora não sofre disso: nenhum dos 107 de 4.3.2 tem pressão recente zerada.</w:t>
      </w:r>
    </w:p>
    <w:p w:rsidR="00000000" w:rsidDel="00000000" w:rsidP="00000000" w:rsidRDefault="00000000" w:rsidRPr="00000000" w14:paraId="0000008E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5. Resultados</w:t>
      </w:r>
    </w:p>
    <w:p w:rsidR="00000000" w:rsidDel="00000000" w:rsidP="00000000" w:rsidRDefault="00000000" w:rsidRPr="00000000" w14:paraId="0000008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5.1 Classificação (13.896 município-anos)</w:t>
      </w:r>
    </w:p>
    <w:p w:rsidR="00000000" w:rsidDel="00000000" w:rsidP="00000000" w:rsidRDefault="00000000" w:rsidRPr="00000000" w14:paraId="00000090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Tabela 2. Classificação das 13.896 observações município-ano.</w:t>
      </w:r>
      <w:r w:rsidDel="00000000" w:rsidR="00000000" w:rsidRPr="00000000">
        <w:rPr>
          <w:rtl w:val="0"/>
        </w:rPr>
      </w:r>
    </w:p>
    <w:tbl>
      <w:tblPr>
        <w:tblStyle w:val="Table2"/>
        <w:tblW w:w="96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900"/>
        <w:gridCol w:w="900"/>
        <w:gridCol w:w="6100"/>
        <w:tblGridChange w:id="0">
          <w:tblGrid>
            <w:gridCol w:w="1700"/>
            <w:gridCol w:w="900"/>
            <w:gridCol w:w="900"/>
            <w:gridCol w:w="6100"/>
          </w:tblGrid>
        </w:tblGridChange>
      </w:tblGrid>
      <w:tr>
        <w:trPr>
          <w:cantSplit w:val="1"/>
          <w:tblHeader w:val="1"/>
        </w:trPr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91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92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93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94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5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no_pressure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6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7.548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7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54,3%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8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área do ano &lt; 1 km²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9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absolute_gap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A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3.063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B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22,0%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C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pressão material; multas do ano &lt; R$ 0,01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D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measured_gap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E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3.285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9F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23,6%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A0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pressão e resposta presentes; o EGS quantifica a desproporção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09"/>
        <w:rPr/>
      </w:pPr>
      <w:r w:rsidDel="00000000" w:rsidR="00000000" w:rsidRPr="00000000">
        <w:rPr>
          <w:rtl w:val="0"/>
        </w:rPr>
        <w:t xml:space="preserve">552 dos 772 municípios têm ao menos um ano de pressão. Anos absolute_gap pontuam mais alto em média que measured_gap (0,723 vs. 0,582): o piso nunca os desconta, coerente com a leitura declarada de que resposta zero é lacuna mais grave que resposta desproporcional. A categoria absolute_gap agrega dois casos tratados de forma idêntica pela fórmula: ausência total de autuação e autuação lavrada com multa nula ou próxima de zero.</w:t>
      </w:r>
    </w:p>
    <w:p w:rsidR="00000000" w:rsidDel="00000000" w:rsidP="00000000" w:rsidRDefault="00000000" w:rsidRPr="00000000" w14:paraId="000000A4">
      <w:pPr>
        <w:ind w:firstLine="709"/>
        <w:rPr/>
      </w:pPr>
      <w:r w:rsidDel="00000000" w:rsidR="00000000" w:rsidRPr="00000000">
        <w:rPr>
          <w:rtl w:val="0"/>
        </w:rPr>
        <w:t xml:space="preserve">O limiar de R$ 0,01 que separa absolute_gap de measured_gap não é um parâmetro calibrado, mas o menor valor monetário representável, escolhido para que a categoria signifique ausência de resposta com valor, e não resposta de valor baixo. Isso explica o segundo caso da categoria: autos com valor de multa ausente na fonte (356 dos 60.707, ou 0,6%) contam em n_autos mas somam zero em multas, e o município-ano cai em absolute_gap mesmo tendo autuação registrada. A classificação usa o valor deflacionado, não o nominal, o que afasta do limiar os valores mais antigos.</w:t>
      </w:r>
    </w:p>
    <w:p w:rsidR="00000000" w:rsidDel="00000000" w:rsidP="00000000" w:rsidRDefault="00000000" w:rsidRPr="00000000" w14:paraId="000000A5">
      <w:pPr>
        <w:ind w:firstLine="709"/>
        <w:rPr/>
      </w:pPr>
      <w:r w:rsidDel="00000000" w:rsidR="00000000" w:rsidRPr="00000000">
        <w:rPr>
          <w:rtl w:val="0"/>
        </w:rPr>
        <w:t xml:space="preserve">O mapa classifica os 772 municípios por quintil do EGS médio ao longo de 18 anos (2008-2025), o indicador central do sistema; quanto mais escura a cor, maior a lacuna crônica entre desmatamento e resposta fiscal.</w:t>
      </w:r>
    </w:p>
    <w:p w:rsidR="00000000" w:rsidDel="00000000" w:rsidP="00000000" w:rsidRDefault="00000000" w:rsidRPr="00000000" w14:paraId="000000A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360420"/>
            <wp:effectExtent b="0" l="0" r="0" t="0"/>
            <wp:docPr descr="Figura 5. EGS médio de 18 anos por quintil (ordinal), entre os 552 com pressão; cinza = sem pressão; contorno grosso = top 20 EGS." id="21" name="image10.png"/>
            <a:graphic>
              <a:graphicData uri="http://schemas.openxmlformats.org/drawingml/2006/picture">
                <pic:pic>
                  <pic:nvPicPr>
                    <pic:cNvPr descr="Figura 5. EGS médio de 18 anos por quintil (ordinal), entre os 552 com pressão; cinza = sem pressão; contorno grosso = top 20 EGS." id="0" name="image10.png"/>
                    <pic:cNvPicPr preferRelativeResize="0"/>
                  </pic:nvPicPr>
                  <pic:blipFill>
                    <a:blip r:embed="rId12"/>
                    <a:srcRect b="15000" l="0" r="0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5. EGS médio de 18 anos por quintil (ordinal), entre os 552 com pressão; cinza = sem pressão; contorno grosso = top 20 EGS.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09"/>
        <w:rPr/>
      </w:pPr>
      <w:r w:rsidDel="00000000" w:rsidR="00000000" w:rsidRPr="00000000">
        <w:rPr>
          <w:rtl w:val="0"/>
        </w:rPr>
        <w:t xml:space="preserve">A série a seguir mostra, ano a ano, a situação anual dos 772 municípios (lacuna absoluta, lacuna medida ou sem pressão) e a área total desmatada, em dois painéis sobre o mesmo eixo de anos; mostra um padrão compatível com uma restrição de capacidade fiscalizatória entre 2019 e 2022, com a inversão entre lacuna absoluta e lacuna medida em 2020, 2021 e 2022. A inversão não é exclusiva desse período: ela ocorre também em 2010 (213 contra 188) e em 2014 (185 contra 168), em magnitude muito menor que a de 2021 (246 contra 121). O que distingue esse período é a amplitude e a persistência por três anos seguidos, não o sinal.</w:t>
      </w:r>
    </w:p>
    <w:p w:rsidR="00000000" w:rsidDel="00000000" w:rsidP="00000000" w:rsidRDefault="00000000" w:rsidRPr="00000000" w14:paraId="000000A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14800"/>
            <wp:effectExtent b="0" l="0" r="0" t="0"/>
            <wp:docPr descr="Figura 6. Série anual: situação dos 772 municípios e área desmatada, em painéis separados sobre o mesmo eixo de anos. A faixa marca 2020-2022, o período de restrição de capacidade fiscalizatória. A lacuna absoluta também supera a medida em 2010 e 2014, fora da faixa e em magnitude bem menor." id="20" name="image4.png"/>
            <a:graphic>
              <a:graphicData uri="http://schemas.openxmlformats.org/drawingml/2006/picture">
                <pic:pic>
                  <pic:nvPicPr>
                    <pic:cNvPr descr="Figura 6. Série anual: situação dos 772 municípios e área desmatada, em painéis separados sobre o mesmo eixo de anos. A faixa marca 2020-2022, o período de restrição de capacidade fiscalizatória. A lacuna absoluta também supera a medida em 2010 e 2014, fora da faixa e em magnitude bem menor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6. Série anual: situação dos 772 municípios e área desmatada, em painéis separados sobre o mesmo eixo de anos. A faixa marca 2020-2022, o período de restrição de capacidade fiscalizatória. A lacuna absoluta também supera a medida em 2010 e 2014, fora da faixa e em magnitude bem menor.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5.2 Top 20</w:t>
      </w:r>
    </w:p>
    <w:p w:rsidR="00000000" w:rsidDel="00000000" w:rsidP="00000000" w:rsidRDefault="00000000" w:rsidRPr="00000000" w14:paraId="000000AE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Tabela 3. Os vinte primeiros do ranking, ordenados pela média do EGS nos dezoito anos.</w:t>
      </w:r>
      <w:r w:rsidDel="00000000" w:rsidR="00000000" w:rsidRPr="00000000">
        <w:rPr>
          <w:rtl w:val="0"/>
        </w:rPr>
      </w:r>
    </w:p>
    <w:tbl>
      <w:tblPr>
        <w:tblStyle w:val="Table3"/>
        <w:tblW w:w="909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3105"/>
        <w:gridCol w:w="690"/>
        <w:gridCol w:w="870"/>
        <w:gridCol w:w="1965"/>
        <w:gridCol w:w="1965"/>
        <w:tblGridChange w:id="0">
          <w:tblGrid>
            <w:gridCol w:w="495"/>
            <w:gridCol w:w="3105"/>
            <w:gridCol w:w="690"/>
            <w:gridCol w:w="870"/>
            <w:gridCol w:w="1965"/>
            <w:gridCol w:w="1965"/>
          </w:tblGrid>
        </w:tblGridChange>
      </w:tblGrid>
      <w:tr>
        <w:trPr>
          <w:cantSplit w:val="1"/>
          <w:tblHeader w:val="1"/>
        </w:trPr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A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B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B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B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EGS 18a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B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Anos de lacuna absoluta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0B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Anos de lacuna 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Cachoeira do Piriá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1,179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Porto de Moz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1,175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B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Monte Alegre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1,109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Aveiro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1,109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Alenquer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C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1,107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Arame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1,078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Acará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1,075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D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Mojuí dos Campos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1,068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Maués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1,036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Santa Maria das Barreiras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1,021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E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Itupiranga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1,015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Cumaru do Norte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Jacareacanga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0F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0,994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Medicilândia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0,988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São Domingos do Maranhão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0,984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0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Prainha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0,980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Santana do Araguaia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0,957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Autazes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D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E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0,947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1F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0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1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2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Oriximiná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3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4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0,944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5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6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7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8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Ipixuna do Pará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9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A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0,939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B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2C">
            <w:pPr>
              <w:spacing w:after="0" w:lineRule="auto" w:line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09"/>
        <w:rPr/>
      </w:pPr>
      <w:r w:rsidDel="00000000" w:rsidR="00000000" w:rsidRPr="00000000">
        <w:rPr>
          <w:rtl w:val="0"/>
        </w:rPr>
        <w:t xml:space="preserve">Todos os 20 têm pressão material em 18/18 anos. Empate aparente no top 3/4: Monte Alegre (1,10893) precede Aveiro (1,10870) pela média não-arredondada. As duas últimas colunas somam 18 em todo município e mostram o que a média agrega: São Domingos do Maranhão tem 15 dos 18 anos sem multa alguma, enquanto Prainha tem 15 dos 18 com resposta presente e ainda assim desproporcional. Os dois chegam a posições vizinhas por caminhos opostos.</w:t>
      </w:r>
    </w:p>
    <w:p w:rsidR="00000000" w:rsidDel="00000000" w:rsidP="00000000" w:rsidRDefault="00000000" w:rsidRPr="00000000" w14:paraId="00000130">
      <w:pPr>
        <w:ind w:firstLine="709"/>
        <w:rPr/>
      </w:pPr>
      <w:r w:rsidDel="00000000" w:rsidR="00000000" w:rsidRPr="00000000">
        <w:rPr>
          <w:rtl w:val="0"/>
        </w:rPr>
        <w:t xml:space="preserve">A figura 5 mostra o nível; esta mostra a direção, medida como avg_egs_3y menos avg_egs_18y, a mesma quantidade que a figura 8 põe de um lado e de outro da diagonal de identidade. EGS subindo é a lacuna alargando. Duas ressalvas de leitura. Os vinte destacados pelo contorno foram selecionados pela média histórica, e a cor mede a variação contra essa mesma média, o que os puxa mecanicamente para o verde (Spearman -0,173 entre nível e variação). E verde não é veredito: o EGS cai quando a resposta sobe ou quando o desmatamento para, e o índice não distingue os dois casos. O caso extremo saiu da escala de cor: os 381 municípios sem pressão material em 2023-2025 estão agora em cinza. Onde a pressão caiu sem zerar, a ambiguidade permanece, e esta figura deve ser lida contra a figura 2.</w:t>
      </w:r>
    </w:p>
    <w:p w:rsidR="00000000" w:rsidDel="00000000" w:rsidP="00000000" w:rsidRDefault="00000000" w:rsidRPr="00000000" w14:paraId="0000013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360420"/>
            <wp:effectExtent b="0" l="0" r="0" t="0"/>
            <wp:docPr descr="Figura 7. Variação do EGS recente (2023-2025) contra a média histórica; faixa estável para variações abaixo de 0,05; cinza = sem pressão em 2023-2025 (381 municípios, dos quais 161 tiveram pressão antes e deixaram de ter); contorno grosso = top 20 EGS. Três ressalvas pertencem à própria figura. A operacionalização concorrente da direção, a inclinação OLS da série anual, concorda em sinal com esta em 244 dos 390 classificados com variação não nula: um em cada três municípios coloridos mudaria de lado sob uma escolha igualmente defensável. A faixa estável tem meia-largura 0,05 contra mediana absoluta de 0,122 entre os 391, de modo que ela cobre menos da metade do movimento típico. E o cinza aqui não é o cinza das figuras 2 a 5: lá são os 220 sem pressão alguma em dezoito anos, aqui os 381 sem pressão nos três anos recentes." id="23" name="image6.png"/>
            <a:graphic>
              <a:graphicData uri="http://schemas.openxmlformats.org/drawingml/2006/picture">
                <pic:pic>
                  <pic:nvPicPr>
                    <pic:cNvPr descr="Figura 7. Variação do EGS recente (2023-2025) contra a média histórica; faixa estável para variações abaixo de 0,05; cinza = sem pressão em 2023-2025 (381 municípios, dos quais 161 tiveram pressão antes e deixaram de ter); contorno grosso = top 20 EGS. Três ressalvas pertencem à própria figura. A operacionalização concorrente da direção, a inclinação OLS da série anual, concorda em sinal com esta em 244 dos 390 classificados com variação não nula: um em cada três municípios coloridos mudaria de lado sob uma escolha igualmente defensável. A faixa estável tem meia-largura 0,05 contra mediana absoluta de 0,122 entre os 391, de modo que ela cobre menos da metade do movimento típico. E o cinza aqui não é o cinza das figuras 2 a 5: lá são os 220 sem pressão alguma em dezoito anos, aqui os 381 sem pressão nos três anos recentes." id="0" name="image6.png"/>
                    <pic:cNvPicPr preferRelativeResize="0"/>
                  </pic:nvPicPr>
                  <pic:blipFill>
                    <a:blip r:embed="rId14"/>
                    <a:srcRect b="15000" l="0" r="0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7. Variação do EGS recente (2023-2025) contra a média histórica; faixa estável para variações abaixo de 0,05; cinza = sem pressão em 2023-2025 (381 municípios, dos quais 161 tiveram pressão antes e deixaram de ter); contorno grosso = top 20 EGS.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09"/>
        <w:rPr/>
      </w:pPr>
      <w:r w:rsidDel="00000000" w:rsidR="00000000" w:rsidRPr="00000000">
        <w:rPr>
          <w:rtl w:val="0"/>
        </w:rPr>
        <w:t xml:space="preserve">O gráfico de quadrante a seguir cruza o EGS médio histórico (18 anos) com o EGS médio recente (2023-2025) para identificar quem está piorando ou melhorando agora, e não apenas ao longo de toda a série. As faixas de cor são as mesmas da Figura 7, que mapeia esta mesma grandeza: a distância até a diagonal de identidade é a diferença que aquele mapa classifica. O cinza reúne os 381 municípios sem pressão material em 2023-2025, para os quais não há direção a medir: 220 nunca tiveram pressão em dezoito anos e 161 tiveram e deixaram de ter.  </w:t>
      </w:r>
    </w:p>
    <w:p w:rsidR="00000000" w:rsidDel="00000000" w:rsidP="00000000" w:rsidRDefault="00000000" w:rsidRPr="00000000" w14:paraId="00000135">
      <w:pPr>
        <w:keepNext w:val="1"/>
        <w:ind w:firstLine="709"/>
        <w:rPr/>
      </w:pPr>
      <w:r w:rsidDel="00000000" w:rsidR="00000000" w:rsidRPr="00000000">
        <w:rPr/>
        <w:drawing>
          <wp:inline distB="0" distT="0" distL="114300" distR="114300">
            <wp:extent cx="5486400" cy="4114800"/>
            <wp:effectExtent b="0" l="0" r="0" t="0"/>
            <wp:docPr descr="Figura 8. Histórico × recente, nas faixas da Figura 7. Acima da diagonal = piorando; cinza = sem pressão em 2023-2025 (381, dos quais 161 tiveram pressão antes). Os dois eixos se sobrepõem por construção: a média histórica de dezoito anos contém os três anos recentes, o que introduz regressão à média e é quantificado na ressalva metodológica ao fim da seção 4.4. Os nomes destacados são os mesmos seis casos-âncora das figuras 1 e 9, de modo que o leitor segue os mesmos municípios nas três. Aveiro (PA), o mais alto do top 20, com média recente de 1,508 contra 1,109 histórica, é o caso corrente mais alarmante do top 20 e é discutido no texto." id="22" name="image12.png"/>
            <a:graphic>
              <a:graphicData uri="http://schemas.openxmlformats.org/drawingml/2006/picture">
                <pic:pic>
                  <pic:nvPicPr>
                    <pic:cNvPr descr="Figura 8. Histórico × recente, nas faixas da Figura 7. Acima da diagonal = piorando; cinza = sem pressão em 2023-2025 (381, dos quais 161 tiveram pressão antes). Os dois eixos se sobrepõem por construção: a média histórica de dezoito anos contém os três anos recentes, o que introduz regressão à média e é quantificado na ressalva metodológica ao fim da seção 4.4. Os nomes destacados são os mesmos seis casos-âncora das figuras 1 e 9, de modo que o leitor segue os mesmos municípios nas três. Aveiro (PA), o mais alto do top 20, com média recente de 1,508 contra 1,109 histórica, é o caso corrente mais alarmante do top 20 e é discutido no texto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8. Histórico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recente, nas faixas da Figura 7. Acima da diagonal = piorando; cinza = sem pressão em 2023-2025 (381, dos quais 161 tiveram pressão antes). Os nomes destacados são os mesmos seis casos-âncora das figuras 1 e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5.3 Casos-teste</w:t>
      </w:r>
    </w:p>
    <w:p w:rsidR="00000000" w:rsidDel="00000000" w:rsidP="00000000" w:rsidRDefault="00000000" w:rsidRPr="00000000" w14:paraId="00000139">
      <w:pPr>
        <w:ind w:firstLine="709"/>
        <w:rPr/>
      </w:pPr>
      <w:r w:rsidDel="00000000" w:rsidR="00000000" w:rsidRPr="00000000">
        <w:rPr>
          <w:rtl w:val="0"/>
        </w:rPr>
        <w:t xml:space="preserve">As séries anuais dos seis casos-âncora mostram a distinção que a média de dezoito anos agrega e que uma tabela não exibe. Cachoeira do Piriá é alta e contínua; Cumaru do Norte sobe ao longo da série, apesar dos 112 autos e dos R$ 761,9 milhões que recebeu; Nova Nazaré tem dois anos não nulos em dezoito; Governador Luiz Rocha declina devagar. Santo Afonso (MT) tem catorze anos consecutivos acima do limiar de materialidade, zero autos e zero reais nos dezoito, e então o desmatamento cessa e a série vai a zero. Nada melhorou: o desmatamento acabou e a resposta nunca veio. Apuí é a exceção instrutiva: sua série é plana entre 0,5 e 0,8, e o pico de 2009 é o ano de um auto único. A correção de 2023-2025 não aparece aqui porque ela está do lado da resposta, que este gráfico não plota. Persistência e episódio têm formas diferentes, e é essa diferença que o ranking pondera.</w:t>
      </w:r>
    </w:p>
    <w:p w:rsidR="00000000" w:rsidDel="00000000" w:rsidP="00000000" w:rsidRDefault="00000000" w:rsidRPr="00000000" w14:paraId="0000013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364992"/>
            <wp:effectExtent b="0" l="0" r="0" t="0"/>
            <wp:docPr descr="Figura 9. EGS anual dos seis casos-âncora (2008-2025). A linha tracejada é a média de dezoito anos, o critério de ordenação do ranking: a distância entre ela e os pontos recentes é o que as figuras 7 e 8 classificam. O ponto vazado marca EGS igual a zero, que é zero estrutural, ano abaixo do limiar de 1 km², e não resposta federal medida como nula: Nova Nazaré tem dezesseis deles e Santo Afonso, quatro no fim da série. Escalas iguais entre painéis; o eixo y é o EGS anual, não o rank. Os seis municípios são os mesmos das figuras 1 e 8." id="26" name="image7.png"/>
            <a:graphic>
              <a:graphicData uri="http://schemas.openxmlformats.org/drawingml/2006/picture">
                <pic:pic>
                  <pic:nvPicPr>
                    <pic:cNvPr descr="Figura 9. EGS anual dos seis casos-âncora (2008-2025). A linha tracejada é a média de dezoito anos, o critério de ordenação do ranking: a distância entre ela e os pontos recentes é o que as figuras 7 e 8 classificam. O ponto vazado marca EGS igual a zero, que é zero estrutural, ano abaixo do limiar de 1 km², e não resposta federal medida como nula: Nova Nazaré tem dezesseis deles e Santo Afonso, quatro no fim da série. Escalas iguais entre painéis; o eixo y é o EGS anual, não o rank. Os seis municípios são os mesmos das figuras 1 e 8.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9. EGS anual dos seis casos-âncora (2008-2025). A linha tracejada é a média de dezoito anos, o critério de ordenação do ranking: a distância entre ela e os pontos recentes é o que as figuras 7 e 8 classificam. O ponto vazado marca EGS igual a zero, que é zero estrutural, ano abaixo do limiar de 1 km², e não resposta federal medida como nula: Nova Nazaré tem dezesseis deles e Santo Afonso, quatro no fim da série. Escalas iguais entre painéis; o eixo y é o EGS anual, não o rank. Os seis municípios são os mesmos das figuras 1 e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5.4 Verificação externa</w:t>
      </w:r>
    </w:p>
    <w:p w:rsidR="00000000" w:rsidDel="00000000" w:rsidP="00000000" w:rsidRDefault="00000000" w:rsidRPr="00000000" w14:paraId="0000013E">
      <w:pPr>
        <w:ind w:firstLine="709"/>
        <w:rPr/>
      </w:pPr>
      <w:r w:rsidDel="00000000" w:rsidR="00000000" w:rsidRPr="00000000">
        <w:rPr>
          <w:rtl w:val="0"/>
        </w:rPr>
        <w:t xml:space="preserve">9/20 do topo constam do Anexo I da Portaria GM/MMA nº 1.202/2024 (81 municípios prioritários): Mojuí dos Campos (8º), Maués (9º), Santa Maria das Barreiras (10º), Itupiranga (11º), Cumaru do Norte (12º), Jacareacanga (13º), Medicilândia (14º), Prainha (16º) e Santana do Araguaia (17º). As coincidências se concentram nas posições 8-17 e nenhum dos sete primeiros consta da lista, que ordena por volume bruto; nenhum dos 20 aparece no Anexo II (“desmatamento monitorado e sob controle”). A lista foi atualizada pela Portaria GM/MMA nº 1.717/2026, que passa a 89 municípios em AC, AM, MA, MT, PA, RO e RR; o overlap contra essa versão não foi recomputado. A limitação aos autos federais é um problema que precisará ser resolvido: o balanço oficial de dois anos da Operação Curupira (SEMAS-PA, fev/2025) registra 1.792 fiscalizações, 471 autos e 521 mil ha embargados; a Operação Tamoiotatá 2025 (IPAAM-AM) aplicou R$ 144,7 milhões e interditou 16.176 ha, incluindo Maués (9º). Mesmo o caso nº 1 tem resposta federal que o índice não vê: em setembro de 2025 a Polícia Federal, com apoio do IBAMA, fechou cinco garimpos ilegais de ouro em Cachoeira do Piriá, inutilizando nove tratores e cerca de 45 motores. Os três autos do município em 2025 são todos de tipo “Qualidade Ambiental”, nenhum de desmatamento: o motor da supressão ali é garimpo, e a fiscalização que ele atrai não é lavrada como infração de desmatamento.</w:t>
      </w:r>
    </w:p>
    <w:p w:rsidR="00000000" w:rsidDel="00000000" w:rsidP="00000000" w:rsidRDefault="00000000" w:rsidRPr="00000000" w14:paraId="0000013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5.5 Responsividade ao longo do tempo</w:t>
      </w:r>
    </w:p>
    <w:p w:rsidR="00000000" w:rsidDel="00000000" w:rsidP="00000000" w:rsidRDefault="00000000" w:rsidRPr="00000000" w14:paraId="00000140">
      <w:pPr>
        <w:ind w:firstLine="709"/>
        <w:rPr/>
      </w:pPr>
      <w:r w:rsidDel="00000000" w:rsidR="00000000" w:rsidRPr="00000000">
        <w:rPr>
          <w:rtl w:val="0"/>
        </w:rPr>
        <w:t xml:space="preserve">Além da fórmula e do ranking, o painel foi usado para testar diretamente um mecanismo teórico: um aumento do desmatamento deveria, por essa lógica, elevar a fiscalização no período seguinte. O mecanismo foi testado em painel com efeitos fixos de município e de ano, erros-padrão clusterizados por município. Dentro do mesmo município, mais área desmatada no ano corrente e no anterior prevê mais autos e mais multa (p&lt;0,01 em ambos), o que confirma o piso mínimo que a hipótese assume.</w:t>
      </w:r>
    </w:p>
    <w:p w:rsidR="00000000" w:rsidDel="00000000" w:rsidP="00000000" w:rsidRDefault="00000000" w:rsidRPr="00000000" w14:paraId="00000141">
      <w:pPr>
        <w:ind w:firstLine="709"/>
        <w:rPr/>
      </w:pPr>
      <w:r w:rsidDel="00000000" w:rsidR="00000000" w:rsidRPr="00000000">
        <w:rPr>
          <w:rtl w:val="0"/>
        </w:rPr>
        <w:t xml:space="preserve">Entretanto, com corte estreito de um lag, isolando a variação anual (Δlog-área de t−1 para t) como preditor da resposta em t+1, controlando o nível contemporâneo, o sinal é o oposto do esperado: um aumento está associado a </w:t>
      </w:r>
      <w:r w:rsidDel="00000000" w:rsidR="00000000" w:rsidRPr="00000000">
        <w:rPr>
          <w:i w:val="1"/>
          <w:iCs w:val="1"/>
          <w:rtl w:val="0"/>
        </w:rPr>
        <w:t xml:space="preserve">menos </w:t>
      </w:r>
      <w:r w:rsidDel="00000000" w:rsidR="00000000" w:rsidRPr="00000000">
        <w:rPr>
          <w:rtl w:val="0"/>
        </w:rPr>
        <w:t xml:space="preserve">autos e </w:t>
      </w:r>
      <w:r w:rsidDel="00000000" w:rsidR="00000000" w:rsidRPr="00000000">
        <w:rPr>
          <w:i w:val="1"/>
          <w:iCs w:val="1"/>
          <w:rtl w:val="0"/>
        </w:rPr>
        <w:t xml:space="preserve">menos </w:t>
      </w:r>
      <w:r w:rsidDel="00000000" w:rsidR="00000000" w:rsidRPr="00000000">
        <w:rPr>
          <w:rtl w:val="0"/>
        </w:rPr>
        <w:t xml:space="preserve">multa no ano seguinte (autos: −0,057, p &lt; 0,01, modelo m2; multa: −0,399, p &lt; 0,001, modelo m2f), efeito que sobrevive ao controle por área em t+1 e persiste em t+2. “Associado”, e não “prevê”: o desenho é observacional, e o regressor de interesse é por construção função do nível de desmatamento que entra como controle. Separado em aumento (d_pos) e redução (d_neg), o efeito é específico do aumento (autos: −0,114, EP 0,032, p &lt; 0,001; queda: −0,005, n.s.), descartando reversão à média genérica como explicação mecânica. Essa assimetria vale para a contagem de autos e não para o valor: com a multa como desfecho, os dois lados se movem, aumento −0,501 (EP 0,211) e redução −0,274 (EP 0,159), este com intervalo que cruza zero por pouco (−0,586 a +0,038). Como d_neg é uma variável negativa, o coeficiente negativo significa que reduzir o desmatamento é seguido de mais dinheiro em multas, e não de menos, de modo que no valor o padrão é monótono nos dois sentidos, e não a assimetria que uma leitura de capacidade esgotada exigiria.</w:t>
      </w:r>
    </w:p>
    <w:p w:rsidR="00000000" w:rsidDel="00000000" w:rsidP="00000000" w:rsidRDefault="00000000" w:rsidRPr="00000000" w14:paraId="00000142">
      <w:pPr>
        <w:ind w:firstLine="709"/>
        <w:rPr/>
      </w:pPr>
      <w:r w:rsidDel="00000000" w:rsidR="00000000" w:rsidRPr="00000000">
        <w:rPr>
          <w:rtl w:val="0"/>
        </w:rPr>
        <w:t>Contudo, estimando simultaneamente leads e lags do aumento (tempo-evento -2 a +2, com coeficientes pré-evento em -2 e -1, que funcionam como placebo, mesmos efeitos fixos e cluster), o quadro muda. O corte de um lag isolado sugeriu uma resposta menor após aumento: o aumento do desmatamento deprimindo, não elevando, a resposta seguinte, o oposto do mecanismo previsto. O event study não confirma esse padrão com significância estatística. Tratado como indício frágil, não como achado, e como demonstração de que a especificação estreita, sozinha, teria sido enganosa.</w:t>
      </w:r>
    </w:p>
    <w:p w:rsidR="00000000" w:rsidDel="00000000" w:rsidP="00000000" w:rsidRDefault="00000000" w:rsidRPr="00000000" w14:paraId="0000014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Tabela 4. Event study: coeficientes por tempo de evento.</w:t>
      </w:r>
      <w:r w:rsidDel="00000000" w:rsidR="00000000" w:rsidRPr="00000000">
        <w:rPr>
          <w:rtl w:val="0"/>
        </w:rPr>
      </w:r>
    </w:p>
    <w:tbl>
      <w:tblPr>
        <w:tblStyle w:val="Table4"/>
        <w:tblW w:w="96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1"/>
          <w:tblHeader w:val="1"/>
        </w:trPr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145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Tempo-evento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146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log(1+autos)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147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log(1+multa, deflacionada)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8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-2 (pré-evento)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9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+0,036 (0,029) n.s.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A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+0,196 (0,195) n.s.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B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-1 (pré-evento)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C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−0,001 (0,030) n.s.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D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+0,071 (0,218) n.s.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E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0 (aumento)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4F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−0,063 (0,047) n.s.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0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−0,212 (0,273) n.s.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1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2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−0,034 (0,031) n.s.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3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0,000 (0,207) n.s.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4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5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−0,015 (0,024) n.s.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56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+0,144 (0,181) n.s.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09"/>
        <w:rPr/>
      </w:pPr>
      <w:r w:rsidDel="00000000" w:rsidR="00000000" w:rsidRPr="00000000">
        <w:rPr>
          <w:rtl w:val="0"/>
        </w:rPr>
        <w:t xml:space="preserve">O gráfico de coeficientes resume as especificações do modelo com efeitos fixos de município e de ano: cada ponto é uma estimativa com intervalo de confiança de 95%. Dentro do mesmo município, mais desmatamento no ano corrente está associado a mais autuações; já um aumento do desmatamento está associado a menos autuações no ano seguinte. É associação condicional num painel observacional, e um indício frágil, que o event study da figura seguinte não confirma.</w:t>
      </w:r>
    </w:p>
    <w:p w:rsidR="00000000" w:rsidDel="00000000" w:rsidP="00000000" w:rsidRDefault="00000000" w:rsidRPr="00000000" w14:paraId="0000015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descr="Figura 10. Cinco coeficientes de três especificações, todas com efeitos fixos de município e de ano e erros-padrão clusterizados por município. Ponto = estimativa; barra = intervalo de confiança de 95%; barra que cruza a linha tracejada do zero é compatível com ausência de associação. As duas primeiras linhas medem o nível de desmatamento; a terceira mede a variação anual em relação ao ano anterior; as duas últimas decompõem essa variação em aumento e redução. As três linhas de variação controlam o nível contemporâneo, e as de aumento e redução controlam também o nível em t+1. As multas são deflacionadas para a base de 2025." id="24" name="image1.png"/>
            <a:graphic>
              <a:graphicData uri="http://schemas.openxmlformats.org/drawingml/2006/picture">
                <pic:pic>
                  <pic:nvPicPr>
                    <pic:cNvPr descr="Figura 10. Cinco coeficientes de três especificações, todas com efeitos fixos de município e de ano e erros-padrão clusterizados por município. Ponto = estimativa; barra = intervalo de confiança de 95%; barra que cruza a linha tracejada do zero é compatível com ausência de associação. As duas primeiras linhas medem o nível de desmatamento; a terceira mede a variação anual em relação ao ano anterior; as duas últimas decompõem essa variação em aumento e redução. As três linhas de variação controlam o nível contemporâneo, e as de aumento e redução controlam também o nível em t+1. As multas são deflacionadas para a base de 2025.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10. Cinco coeficientes de três especificações, todas com efeitos fixos de município e de ano e erros-padrão clusterizados por município. Ponto = estimativa; barra = intervalo de confiança de 95%; barra que cruza a linha tracejada do zero é compatível com ausência de associação. As duas primeiras linhas medem o nível de desmatamento; a terceira mede a variação anual em relação ao ano anterior; as duas últimas decompõem essa variação em aumento e redução. As três linhas de variação controlam o nível contemporâneo, e as de aumento e redução controlam também o nível em t+1. As multas são deflacionadas para a base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firstLine="709"/>
        <w:rPr/>
      </w:pPr>
      <w:r w:rsidDel="00000000" w:rsidR="00000000" w:rsidRPr="00000000">
        <w:rPr>
          <w:rtl w:val="0"/>
        </w:rPr>
        <w:t xml:space="preserve">O event study examina essa anomalia de forma distribuída no tempo, mostrando a associação entre o aumento anual do desmatamento e os autos e multas numa janela de −2 a +2 anos, com dois coeficientes pré-evento, que funcionam como placebo; o padrão é direcionalmente consistente para autos, mas os intervalos de confiança cruzam zero, configurando um achado frágil, não confirmado.</w:t>
      </w:r>
    </w:p>
    <w:p w:rsidR="00000000" w:rsidDel="00000000" w:rsidP="00000000" w:rsidRDefault="00000000" w:rsidRPr="00000000" w14:paraId="0000015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descr="Figura 11. Event study da resposta menor após aumento: direcional (autos), frágil (ICs cruzam zero). O eixo horizontal é o tempo relativo ao aumento; os tempos -2 e -1 são coeficientes pré-evento e funcionam como placebo, porque a resposta de hoje não pode reagir a um aumento que ainda não ocorreu. Multas deflacionadas para a base de 2025." id="25" name="image5.png"/>
            <a:graphic>
              <a:graphicData uri="http://schemas.openxmlformats.org/drawingml/2006/picture">
                <pic:pic>
                  <pic:nvPicPr>
                    <pic:cNvPr descr="Figura 11. Event study da resposta menor após aumento: direcional (autos), frágil (ICs cruzam zero). O eixo horizontal é o tempo relativo ao aumento; os tempos -2 e -1 são coeficientes pré-evento e funcionam como placebo, porque a resposta de hoje não pode reagir a um aumento que ainda não ocorreu. Multas deflacionadas para a base de 2025.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Figura 11. Event study da resposta menor após aumento: direcional (autos), frágil (ICs cruzam zero). O eixo horizontal é o tempo relativo ao aumento; os tempos -2 e -1 são coeficientes pré-evento e funcionam como placebo, porque a resposta de hoje não pode reagir a um aumento que ainda não ocorreu. Multas deflacionadas para a base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jc w:val="left"/>
        <w:rPr/>
        <w:spacing w:line="240" w:lineRule="auto" w:after="0"/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6. Limitações sistêmicas</w:t>
      </w:r>
    </w:p>
    <w:p w:rsidR="00000000" w:rsidDel="00000000" w:rsidP="00000000" w:rsidRDefault="00000000" w:rsidRPr="00000000" w14:paraId="00000162">
      <w:pPr>
        <w:ind w:firstLine="709"/>
        <w:rPr/>
      </w:pPr>
      <w:r w:rsidDel="00000000" w:rsidR="00000000" w:rsidRPr="00000000">
        <w:rPr>
          <w:rtl w:val="0"/>
        </w:rPr>
        <w:t xml:space="preserve">(1) Lacuna federal exclusivamente. Três situações são indistinguíveis, portanto: ausência real, substituição estadual, e presença sem efeito; o viés é conservador numa direção só (onde há fiscalização estadual não capturada, a lacuna total é menor que a medida, nunca maior). Além disso, desmatamento autorizado infla o numerador, (cf. 2); e há presença federal em outros instrumentos. O índice conta autos de tipo desmatamento; nos vinte do topo, são 1.187 dos 3.052 lavrados, cerca de 39%, ou 1.345 dos 3.513 registrados, 38,3%, se a contagem incluir os 360 cancelados, os 95 sem status e os 6 substituídos ou excluídos. Ficam de fora fauna, pesca, controle ambiental, cadastro e unidade de conservação. Esta última é a limitação de (2) vista pelo lado do dado: em Jacareacanga, 26 dos 215 autos lavrados e não contados são de tipo “Unidade de Conservação”, e 152 dos 429 se a população for a ampla, e a resposta em território gerido pelo ICMBio não é lavrada pelo braço que este índice conta. Nos extremos, Cachoeira do Piriá conta 19% e Acará, 14%. </w:t>
      </w:r>
    </w:p>
    <w:p w:rsidR="00000000" w:rsidDel="00000000" w:rsidP="00000000" w:rsidRDefault="00000000" w:rsidRPr="00000000" w14:paraId="00000163">
      <w:pPr>
        <w:ind w:firstLine="709"/>
        <w:rPr/>
      </w:pPr>
      <w:r w:rsidDel="00000000" w:rsidR="00000000" w:rsidRPr="00000000">
        <w:rPr>
          <w:rtl w:val="0"/>
        </w:rPr>
        <w:t xml:space="preserve">(2) PRODES ≠ desmatamento ilegal (caso Barra do Bugres; nenhuma checagem sistemática de AUTEX/DOF no top 20). Buscas externas encontraram supressão licenciada em Oriximiná, 19º (Mineração Rio do Norte, 12.639 ha até 2022 na Flona Saracá-Taquera, sob licenciamento federal) em Autazes, 18º (projeto de potássio licenciado pelo IPAAM em abr/2024); e em Acará, 7º (cerca de 4.800 ha convertidos entre 2007 e 2018 para dendê, sobre 26.520 ha no painel, com autorização alegada pelas empresas e contestada por pesquisadores); e território sob regime especial em Porto de Moz, 2º (Resex federal Verde para Sempre, gerida pelo ICMBio) e Jacareacanga, 13º (TI Munduruku, cerca de 40% do território municipal, sob desintrusão federal). Nenhum invalida o índice; todos mostram que a mesma posição pode significar arranjos institucionais distintos. </w:t>
      </w:r>
    </w:p>
    <w:p w:rsidR="00000000" w:rsidDel="00000000" w:rsidP="00000000" w:rsidRDefault="00000000" w:rsidRPr="00000000" w14:paraId="00000164">
      <w:pPr>
        <w:ind w:firstLine="709"/>
        <w:rPr/>
      </w:pPr>
      <w:r w:rsidDel="00000000" w:rsidR="00000000" w:rsidRPr="00000000">
        <w:rPr>
          <w:rtl w:val="0"/>
        </w:rPr>
        <w:t xml:space="preserve">(3) Resposta = autos lavrados, não embargos/apreensões/arrecadação. </w:t>
      </w:r>
    </w:p>
    <w:p w:rsidR="00000000" w:rsidDel="00000000" w:rsidP="00000000" w:rsidRDefault="00000000" w:rsidRPr="00000000" w14:paraId="00000165">
      <w:pPr>
        <w:ind w:firstLine="709"/>
        <w:rPr/>
      </w:pPr>
      <w:r w:rsidDel="00000000" w:rsidR="00000000" w:rsidRPr="00000000">
        <w:rPr>
          <w:rtl w:val="0"/>
        </w:rPr>
        <w:t xml:space="preserve">(4) Amazônia Legal apenas; extensão exige join espacial. O pipeline lê COD_MUNICIPIO como o município do fato. O CSV bruto traz também NUM_LATITUDE_AUTO e NUM_LONGITUDE_AUTO, que nenhuma camada deste projeto usa; um teste de ponto em polígono contra a malha municipal do IBGE, sobre os 39.486 autos do painel com coordenada plausível, situa 93,5% deles dentro do polígono do município declarado. A taxa é a mesma nas capitais (Belém 92,7%, Manaus 94,5%) e nas fronteiras de desmatamento (Altamira 94,0%, Itaituba 93,7%), o que afasta a hipótese de que a coluna registre o local de lavratura do auto e não o do fato. Dos 6,2% discordantes, 37% estão a menos de 5 km da fronteira do município declarado, compatível com precisão de GPS e vintage de malha; cerca de 460 autos, ou 1% do total, estão a mais de 100 km e são erro de registro. Outros 4.606 autos (7,9% dos 58.242 que trazem coordenada) têm coordenada impossível, com latitude chegando a 86 graus: irrelevante aqui, porque nenhuma coluna geográfica do auto é lida, e incontornável em qualquer extensão para o grão de coordenada. </w:t>
      </w:r>
    </w:p>
    <w:p w:rsidR="00000000" w:rsidDel="00000000" w:rsidP="00000000" w:rsidRDefault="00000000" w:rsidRPr="00000000" w14:paraId="00000166">
      <w:pPr>
        <w:ind w:firstLine="709"/>
        <w:rPr/>
      </w:pPr>
      <w:r w:rsidDel="00000000" w:rsidR="00000000" w:rsidRPr="00000000">
        <w:rPr>
          <w:rtl w:val="0"/>
        </w:rPr>
        <w:t xml:space="preserve">(5) EGS ordinal: distâncias entre scores não se interpretam. </w:t>
      </w:r>
    </w:p>
    <w:p w:rsidR="00000000" w:rsidDel="00000000" w:rsidP="00000000" w:rsidRDefault="00000000" w:rsidRPr="00000000" w14:paraId="00000167">
      <w:pPr>
        <w:ind w:firstLine="709"/>
        <w:rPr/>
      </w:pPr>
      <w:r w:rsidDel="00000000" w:rsidR="00000000" w:rsidRPr="00000000">
        <w:rPr>
          <w:rtl w:val="0"/>
        </w:rPr>
        <w:t xml:space="preserve">(6) Calendário PRODES (ago-jul) vs. civil (IBAMA), sobreposição ~7/12 meses. </w:t>
      </w:r>
    </w:p>
    <w:p w:rsidR="00000000" w:rsidDel="00000000" w:rsidP="00000000" w:rsidRDefault="00000000" w:rsidRPr="00000000" w14:paraId="00000168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7. Registro de mudanças</w:t>
      </w:r>
    </w:p>
    <w:p w:rsidR="00000000" w:rsidDel="00000000" w:rsidP="00000000" w:rsidRDefault="00000000" w:rsidRPr="00000000" w14:paraId="00000169">
      <w:pPr>
        <w:ind w:firstLine="709"/>
        <w:rPr/>
      </w:pPr>
      <w:r w:rsidDel="00000000" w:rsidR="00000000" w:rsidRPr="00000000">
        <w:rPr>
          <w:rtl w:val="0"/>
        </w:rPr>
        <w:t xml:space="preserve">O histórico linha a linha de cada correção (sucessivas rodadas de revisão) foi mantido como registro de desenvolvimento interno, não incluído neste repositório; o resumo das mudanças que alteraram números publicados é a tabela abaixo:</w:t>
      </w:r>
    </w:p>
    <w:p w:rsidR="00000000" w:rsidDel="00000000" w:rsidP="00000000" w:rsidRDefault="00000000" w:rsidRPr="00000000" w14:paraId="0000016A">
      <w:pPr>
        <w:keepNext w:val="1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Tabela 5. Registro de mudanças que alteraram números publicados, por rodada.</w:t>
      </w:r>
      <w:r w:rsidDel="00000000" w:rsidR="00000000" w:rsidRPr="00000000">
        <w:rPr>
          <w:rtl w:val="0"/>
        </w:rPr>
      </w:r>
    </w:p>
    <w:tbl>
      <w:tblPr>
        <w:tblStyle w:val="Table5"/>
        <w:tblW w:w="97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0"/>
        <w:gridCol w:w="4100"/>
        <w:gridCol w:w="3850"/>
        <w:tblGridChange w:id="0">
          <w:tblGrid>
            <w:gridCol w:w="1750"/>
            <w:gridCol w:w="4100"/>
            <w:gridCol w:w="3850"/>
          </w:tblGrid>
        </w:tblGridChange>
      </w:tblGrid>
      <w:tr>
        <w:trPr>
          <w:cantSplit w:val="1"/>
          <w:tblHeader w:val="1"/>
        </w:trPr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16B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16C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 substantiva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00000" w:rsidDel="00000000" w:rsidP="00000000" w:rsidRDefault="00000000" w:rsidRPr="00000000" w14:paraId="0000016D">
            <w:pPr>
              <w:spacing w:after="0" w:lineRule="auto" w:line="24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 que a motivou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6E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Rodadas iniciais, v1 a v3 (abr-jul/2026)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6F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Filtro IBAMA em 3 casos; materialidade ≥1 km²; deflator IPCA; tradução EN; TRY_CAST em datas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0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27% dos autos sem código de área nos anos iniciais; instabilidade &gt;0 vs ≥1; drift documental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1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de redesenho, v4/v5 (20/07/2026)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2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Fórmula unificada com piso; ranking único 0-fill; fim de streaks e priority_score; camadas puras; áreas territoriais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3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S1 (incomensurabilidade), S10 (fronteira R$0,01), S7 (cegueira temporal), S12 (MAUP); cada decisão testada (§3)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4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2: S18 (20/07/2026)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5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ORDER BY pela média não-arredondada (o desempate arredondado invertia o top 3/4); nominal persistido; +4 checks; parquets re-exportados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6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réplica independente: drift protótipo→prosa (0,748/62/1,110); parquet stale em produção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7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3: S19 (20/07/2026)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8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3 guardas de falha silenciosa (magnitude PRODES, valor do deflator, staleness do export); resíduos do patch; prosa re-escopada (Aveiro, Apuí, Altamira); git commitado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9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replicação célula a célula; 51 esperados reproduzidos; HEAD ainda era v3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A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4: S20 (21/07/2026)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B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Rótulo do lag corrigido (59,2% = both; same-year total 63,9%); citação Curupira substituída pelo balanço oficial (471 autos/521 mil ha); citações antes sem fonte resolvidas; nota FP ampliada; .gitattributes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C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replicação integral 54/54; balanço oficial de 2 anos divergindo em ordem de grandeza; fontes localizadas (OC, LAUT, gov.br/ibama, ClimaInfo)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D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5 (26/07/2026)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E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Painel filtrado de 805 para 772 municípios (só a Amazônia Legal oficial); pseudônimo do IBAMA trocado de hash com salt publicado por substituto aleatório; rótulo “seizure” → “apreensão”; +1 check (out_of_scope_geocodes_prodes); LICENSE, LICENSE-DATA, CITATION.cff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7F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33 municípios de GO/PI/MS/BA, todos com desmatamento zero, inflavam a fatia “sem pressão” de 54,3% para 56,2% e apareciam num gráfico rotulado “Amazônia Legal”; demonstração empírica de que o hash com salt publicado era reversível por dicionário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0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6 (27/07/2026)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1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quote explícito no read_csv do IBAMA (o pipeline abortava em qualquer DuckDB ≥ 1.2); âncora de 2024 recomparada à taxa consolidada; overlap com a Portaria 1.202 recomputado (8→9/20); exploring_script.R migrado para 772; alegação de privacidade reescrita; +26 referências NBR; contagens do próprio processo corrigidas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2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sniffer de CSV falha em 86 linhas com “;” dentro de aspas; 6.288 km² era estimativa preliminar, não a taxa consolidada de 6.518; script R validava 805 enquanto o SQL validava 772; 74,3% das linhas do CSV público são religáveis à fonte com nome; coeficientes de painel reproduzidos em pyfixest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3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de visualização e camada (17-18/08/2026)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4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Suíte de 14 para 11 figuras, integradas ao corpo dos documentos; egs_trend, numerador_18y e denominador_18y passam a colunas de egs_ranking; grupo de comparação de 4.3.2 recomputado (35 → 33 municípios, mediana 42 → 46 autos); três agregados do denominador removidos por não terem código que os produzisse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5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classificação de direção duplicada em duas figuras com faixas discordantes; números de 4.3.2 anteriores à classificação sobre valor de 3 decimais e à contiguidade rainha; Spearman 0,993 vivia como guarda de viz/01_maps.R, cálculo analítico na camada de desenho</w:t>
            </w:r>
          </w:p>
        </w:tc>
      </w:tr>
      <w:tr>
        <w:trPr>
          <w:cantSplit w:val="0"/>
          <w:tblHeader w:val="0"/>
        </w:trPr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6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Rodada de revisão visual (19/08/2026)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7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Siglas dos nove estados nos cinco mapas; zeros estruturais vazados na figura 9; piso do denominador anotado na figura 1; o denominador nomeado como o que é (média geométrica dos logaritmos) no eixo da figura 1 e na legenda da figura 4; categorias fora da ordem da rampa nas legendas; OUTCOME_COLOURS invertido e o geom_line do event study removido; tabela do top 20 no resumo executivo; a concordância das duas operacionalizações de direção (244 dos 391) declarada na legenda da figura 7</w:t>
            </w:r>
          </w:p>
        </w:tc>
        <w:tc>
          <w:tcPr>
            <w:tcMar>
              <w:top w:w="40" w:type="dxa"/>
              <w:left w:w="90" w:type="dxa"/>
              <w:bottom w:w="40" w:type="dxa"/>
              <w:right w:w="90" w:type="dxa"/>
            </w:tcMar>
          </w:tcPr>
          <w:p w:rsidR="00000000" w:rsidDel="00000000" w:rsidP="00000000" w:rsidRDefault="00000000" w:rsidRPr="00000000" w14:paraId="00000188">
            <w:pPr>
              <w:spacing w:after="0" w:lineRule="auto" w:line="240"/>
              <w:rPr/>
            </w:pPr>
            <w:r w:rsidDel="00000000" w:rsidR="00000000" w:rsidRPr="00000000">
              <w:rPr>
                <w:rtl w:val="0"/>
              </w:rPr>
              <w:t xml:space="preserve">auditoria visual independente sobre as onze figuras; a linha do event study desenhava um V que os intervalos não sustentam; a série de autos, com os intervalos estreitos e o achado do texto, estava no azul mais claro da rampa, saliência inversa à precisão; o cinza da figura 7 e o das figuras 2 a 5 são conjuntos diferentes com a mesma tinta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jc w:val="left"/>
        <w:rPr/>
        <w:spacing w:line="240" w:lineRule="auto" w:after="0"/>
      </w:pPr>
      <w:r w:rsidDel="00000000" w:rsidR="00000000" w:rsidRPr="00000000">
        <w:rPr>
          <w:i w:val="0"/>
          <w:iCs w:val="0"/>
          <w:color w:val="000000"/>
          <w:rtl w:val="0"/>
        </w:rPr>
        <w:t xml:space="preserve">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09"/>
        <w:rPr/>
      </w:pPr>
      <w:r w:rsidDel="00000000" w:rsidR="00000000" w:rsidRPr="00000000">
        <w:rPr>
          <w:rtl w:val="0"/>
        </w:rPr>
        <w:t xml:space="preserve">Uma exceção de arquitetura é o cálculo dos modelos de painel da seção 5.5, que vive no mesmo script que desenha as figuras 10 e 11, e não numa camada a montante como todas as demais decisões metodológicas do projeto. O motivo é técnico, já que DuckDB não tem estimador de efeitos fixos.</w:t>
      </w:r>
    </w:p>
    <w:p w:rsidR="00000000" w:rsidDel="00000000" w:rsidP="00000000" w:rsidRDefault="00000000" w:rsidRPr="00000000" w14:paraId="0000018C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8. Princípios de codificação das figuras</w:t>
      </w:r>
    </w:p>
    <w:p w:rsidR="00000000" w:rsidDel="00000000" w:rsidP="00000000" w:rsidRDefault="00000000" w:rsidRPr="00000000" w14:paraId="0000018D">
      <w:pPr>
        <w:ind w:firstLine="709"/>
        <w:rPr/>
      </w:pPr>
      <w:r w:rsidDel="00000000" w:rsidR="00000000" w:rsidRPr="00000000">
        <w:rPr>
          <w:rtl w:val="0"/>
        </w:rPr>
        <w:t xml:space="preserve">(1) Cor é sempre quintil de rank, nunca valor bruto. EGS e percentual desmatado são ordinais, e as variáveis têm cauda longa: as multas vão de R$ 1.050 a R$ 3,75 bilhões, 926 vezes a mediana, e uma escala contínua colapsaria em meia dúzia de municípios escuros. </w:t>
      </w:r>
    </w:p>
    <w:p w:rsidR="00000000" w:rsidDel="00000000" w:rsidP="00000000" w:rsidRDefault="00000000" w:rsidRPr="00000000" w14:paraId="0000018E">
      <w:pPr>
        <w:ind w:firstLine="709"/>
        <w:rPr/>
      </w:pPr>
      <w:r w:rsidDel="00000000" w:rsidR="00000000" w:rsidRPr="00000000">
        <w:rPr>
          <w:rtl w:val="0"/>
        </w:rPr>
        <w:t xml:space="preserve">(2) Os quintis dos mapas de nível correm sobre a mesma população, os 552 municípios com pressão material, de modo que um quintil significa a mesma coisa em figuras vizinhas. A figura 4 é a exceção: os 66 municípios que tiveram pressão e nunca foram multados saem da rampa como categoria própria, porque são a lacuna absoluta e não um nível baixo de resposta, e o quintil corre sobre os 486 restantes. A figura 7 não quintila: classifica em faixas de direção. </w:t>
      </w:r>
    </w:p>
    <w:p w:rsidR="00000000" w:rsidDel="00000000" w:rsidP="00000000" w:rsidRDefault="00000000" w:rsidRPr="00000000" w14:paraId="0000018F">
      <w:pPr>
        <w:ind w:firstLine="709"/>
        <w:rPr/>
      </w:pPr>
      <w:r w:rsidDel="00000000" w:rsidR="00000000" w:rsidRPr="00000000">
        <w:rPr>
          <w:rtl w:val="0"/>
        </w:rPr>
        <w:t xml:space="preserve">(3) Zeros estruturais são categoria, não classe baixa. Os 220 municípios sem nenhum ano acima do limiar de materialidade ficam fora da rampa, em cinza, e também fora da ordem da rampa na legenda. O zero estrutural aparece em cinco recortes diferentes ao longo do relatório. Nos mapas de nível o cinza são os 220 sem pressão material em dezoito anos, porque um nível de lacuna crônica exige pressão em algum momento. Na figura de direção o cinza são os 381 sem pressão em 2023-2025, porque uma direção exige pressão nos dois extremos da janela, e 161 dos 381 tiveram pressão antes e deixaram de ter. A figura 1 deixa de fora os 133 sem desmatamento algum em dezoito anos, porque uma razão entre pressão e resposta não é definida onde não houve pressão. E os 106 que aparecem no piso do denominador, entre os 639 desenhados na figura 1, são municípios cuja resposta acumulada é tão baixa que a fórmula a trata como resposta mínima, e o piso os alinha numa reta horizontal que é um fato do índice, não do gráfico. A figura 9 mostra o quinto recorte no grão que os outros agregam: dentro de cada série anual o ponto vazado é o ano em que o município ficou abaixo do limiar, de modo que ali o zero estrutural aparece como evento, não como categoria.</w:t>
      </w:r>
    </w:p>
    <w:p w:rsidR="00000000" w:rsidDel="00000000" w:rsidP="00000000" w:rsidRDefault="00000000" w:rsidRPr="00000000" w14:paraId="00000190">
      <w:pPr>
        <w:ind w:firstLine="709"/>
        <w:rPr/>
      </w:pPr>
      <w:r w:rsidDel="00000000" w:rsidR="00000000" w:rsidRPr="00000000">
        <w:rPr>
          <w:rtl w:val="0"/>
        </w:rPr>
        <w:t xml:space="preserve">(4) Uma rampa de cor por quantidade: marrom para o desmatamento, azul para a resposta federal, ameixa para o EGS, e uma divergente vermelho-verde para a direção. </w:t>
      </w:r>
    </w:p>
    <w:p w:rsidR="00000000" w:rsidDel="00000000" w:rsidP="00000000" w:rsidRDefault="00000000" w:rsidRPr="00000000" w14:paraId="00000191">
      <w:pPr>
        <w:ind w:firstLine="709"/>
        <w:rPr/>
      </w:pPr>
      <w:r w:rsidDel="00000000" w:rsidR="00000000" w:rsidRPr="00000000">
        <w:rPr>
          <w:rtl w:val="0"/>
        </w:rPr>
        <w:t xml:space="preserve">(5) Toda transformação é declarada. O logaritmo aparece nos eixos da figura 1 e no cálculo do denominador da figura 4; nos mapas de uma variável só ele seria inócuo, porque rank é invariante a transformação monótona.</w:t>
      </w:r>
    </w:p>
    <w:p w:rsidR="00000000" w:rsidDel="00000000" w:rsidP="00000000" w:rsidRDefault="00000000" w:rsidRPr="00000000" w14:paraId="00000192">
      <w:pPr>
        <w:ind w:firstLine="709"/>
        <w:rPr/>
      </w:pPr>
      <w:r w:rsidDel="00000000" w:rsidR="00000000" w:rsidRPr="00000000">
        <w:rPr>
          <w:rtl w:val="0"/>
        </w:rPr>
        <w:t xml:space="preserve">(6) Nenhuma figura traz título ou subtítulo embutido: o título vive como seção numerada neste texto, o que evita duplicar a mesma frase em dois lugares e qualquer descompasso de fonte entre o gráfico e o documento.</w:t>
      </w:r>
    </w:p>
    <w:p w:rsidR="00000000" w:rsidDel="00000000" w:rsidP="00000000" w:rsidRDefault="00000000" w:rsidRPr="00000000" w14:paraId="00000193">
      <w:pPr>
        <w:ind w:firstLine="709"/>
        <w:rPr/>
      </w:pPr>
      <w:r w:rsidDel="00000000" w:rsidR="00000000" w:rsidRPr="00000000">
        <w:rPr>
          <w:rtl w:val="0"/>
        </w:rPr>
        <w:t xml:space="preserve">A literatura experimental de percepção gráfica (Cleveland e McGill, 1984; replicada por Heer e Bostock, 2010) ordena os canais visuais por acurácia e põe cor de preenchimento perto do fim, atrás de posição e comprimento. Cinco das onze figuras deste relatório são coropléticos, isto é, codificam quantidade exatamente nesse canal. A pergunta que elas respondem é espacial e nenhum gráfico de posição a responde, contudo, mas nenhuma afirmação do texto depende de o leitor distinguir quintis vizinhos no mapa.</w:t>
      </w:r>
    </w:p>
    <w:p w:rsidR="00000000" w:rsidDel="00000000" w:rsidP="00000000" w:rsidRDefault="00000000" w:rsidRPr="00000000" w14:paraId="00000194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95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AMAZONAS (Estado). Instituto de Proteção Ambiental do Amazonas (IPAAM). Operação Tamoiotatá 2025: Ipaam aplica R$ 144,7 milhões em multas por crimes ambientais no sul do Amazonas. Manaus: Agência Amazonas de Notícias, 2025. Disponível em: https://www.agenciaamazonas.am.gov.br/noticias/operacao-tamoiotata-2025-ipaam-aplica-r-1447-milhoes-em-multas-por-crimes-ambientais-no-sul-do-amazonas/. Acesso em: 27 jul. 2026.</w:t>
      </w:r>
    </w:p>
    <w:p w:rsidR="00000000" w:rsidDel="00000000" w:rsidP="00000000" w:rsidRDefault="00000000" w:rsidRPr="00000000" w14:paraId="00000196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Governo Federal. Governo Federal intensifica combate ao garimpo ilegal na Terra Indígena Munduruku. Brasília, DF: Agência Gov, dez. 2024. Disponível em: https://agenciagov.ebc.com.br/noticias/202412/governo-federal-intensifica-combate-ao-garimpo-ilegal-na-terra-indigena-munduruku. Acesso em: 27 jul. 2026.</w:t>
      </w:r>
    </w:p>
    <w:p w:rsidR="00000000" w:rsidDel="00000000" w:rsidP="00000000" w:rsidRDefault="00000000" w:rsidRPr="00000000" w14:paraId="00000197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Instituto Brasileiro do Meio Ambiente e dos Recursos Naturais Renováveis (IBAMA). Dados abertos: fiscalização, auto de infração. Brasília, DF: IBAMA. Disponível em: https://dadosabertos.ibama.gov.br/. Acesso em: 25 abr. 2026.</w:t>
      </w:r>
    </w:p>
    <w:p w:rsidR="00000000" w:rsidDel="00000000" w:rsidP="00000000" w:rsidRDefault="00000000" w:rsidRPr="00000000" w14:paraId="00000198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Instituto Chico Mendes de Conservação da Biodiversidade (ICMBio). Resex Verde para Sempre. Brasília, DF: ICMBio. Área de 1.289.362,78 ha, criada pelo Decreto s/nº de 8 de novembro de 2004. Disponível em: https://www.gov.br/icmbio/pt-br/assuntos/biodiversidade/unidade-de-conservacao/unidades-de-biomas/amazonia/lista-de-ucs/resex-verde-para-sempre. Acesso em: 3 ago. 2026.</w:t>
      </w:r>
    </w:p>
    <w:p w:rsidR="00000000" w:rsidDel="00000000" w:rsidP="00000000" w:rsidRDefault="00000000" w:rsidRPr="00000000" w14:paraId="00000199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Instituto Nacional de Pesquisas Espaciais (INPE). Novos dados do Prodes são atualizados pelo Programa BiomasBR. São José dos Campos: INPE, Programa BiomasBR, 10 mar. 2026. Disponível em: https://data.inpe.br/biomasbr/novos-dados-do-prodes-sao-atualizados-pelo-programa-biomasbr/. Acesso em: 28 jul. 2026.</w:t>
      </w:r>
    </w:p>
    <w:p w:rsidR="00000000" w:rsidDel="00000000" w:rsidP="00000000" w:rsidRDefault="00000000" w:rsidRPr="00000000" w14:paraId="0000019A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Instituto Nacional de Pesquisas Espaciais (INPE). PRODES: monitoramento do desmatamento da floresta amazônica brasileira por satélite. TerraBrasilis. São José dos Campos: INPE. Disponível em: https://terrabrasilis.dpi.inpe.br/. Acesso em: 25 abr. 2026.</w:t>
      </w:r>
    </w:p>
    <w:p w:rsidR="00000000" w:rsidDel="00000000" w:rsidP="00000000" w:rsidRDefault="00000000" w:rsidRPr="00000000" w14:paraId="0000019B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Instituto Nacional de Pesquisas Espaciais (INPE). Resultado consolidado do PRODES mostra redução de 29% no desmatamento na Amazônia em 2012. São José dos Campos: INPE, jun. 2013. Disponível em: http://www.inpe.br/noticias/noticia.php?Cod_Noticia=3301. Acesso em: 28 jul. 2026.</w:t>
      </w:r>
    </w:p>
    <w:p w:rsidR="00000000" w:rsidDel="00000000" w:rsidP="00000000" w:rsidRDefault="00000000" w:rsidRPr="00000000" w14:paraId="0000019C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Instituto Nacional de Pesquisas Espaciais (INPE). Sistema PRODES: metodologia. Coordenação-Geral de Observação da Terra. São José dos Campos: INPE. Disponível em: http://www.obt.inpe.br/OBT/assuntos/programas/amazonia/prodes. Acesso em: 28 jul. 2026.</w:t>
      </w:r>
    </w:p>
    <w:p w:rsidR="00000000" w:rsidDel="00000000" w:rsidP="00000000" w:rsidRDefault="00000000" w:rsidRPr="00000000" w14:paraId="0000019D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Ministério do Meio Ambiente e Mudança do Clima (MMA). Portaria GM/MMA nº 1.202, de 11 de novembro de 2024. Dispõe sobre a atualização da lista de municípios prioritários para ações de prevenção, controle e redução dos desmatamentos e degradação florestal, e da lista de municípios com desmatamento monitorado e sob controle. Brasília, DF: Diário Oficial da União, ed. 220, seção 1, p. 121, 13 nov. 2024. Disponível em: https://www.in.gov.br/web/dou/-/portaria-gm/mma-n-1.202-de-11-de-novembro-de-2024-595667200. Acesso em: 27 jul. 2026.</w:t>
      </w:r>
    </w:p>
    <w:p w:rsidR="00000000" w:rsidDel="00000000" w:rsidP="00000000" w:rsidRDefault="00000000" w:rsidRPr="00000000" w14:paraId="0000019E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Ministério do Meio Ambiente e Mudança do Clima (MMA). Portaria GM/MMA nº 1.717, de 2026. Atualiza a lista de municípios prioritários para ações de prevenção, controle e redução dos desmatamentos e degradação florestal. Brasília, DF: Diário Oficial da União, 2026. Disponível em: https://www.gov.br/mma/pt-br/assuntos/controle-ao-desmatamento-queimadas-e-ordenamento-ambiental-territorial/programa-uniao-com-municipios. Acesso em: 27 jul. 2026.</w:t>
      </w:r>
    </w:p>
    <w:p w:rsidR="00000000" w:rsidDel="00000000" w:rsidP="00000000" w:rsidRDefault="00000000" w:rsidRPr="00000000" w14:paraId="0000019F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BRASIL. Polícia Federal. PF fecha cinco garimpos ilegais de ouro no nordeste do Pará. Brasília, DF: Polícia Federal, set. 2025. Disponível em: https://www.gov.br/pf/pt-br/assuntos/noticias/2025/09/pf-fecha-cinco-garimpos-ilegais-de-ouro-no-nordeste-do-para. Acesso em: 3 ago. 2026.</w:t>
      </w:r>
    </w:p>
    <w:p w:rsidR="00000000" w:rsidDel="00000000" w:rsidP="00000000" w:rsidRDefault="00000000" w:rsidRPr="00000000" w14:paraId="000001A0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COMISSÃO PRÓ-ÍNDIO DE SÃO PAULO. Mineração em Oriximiná. São Paulo: CPI-SP. Disponível em: https://cpisp.org.br/quilombolas-em-oriximina/luta-pela-terra/mineracao/. Acesso em: 27 jul. 2026.</w:t>
      </w:r>
    </w:p>
    <w:p w:rsidR="00000000" w:rsidDel="00000000" w:rsidP="00000000" w:rsidRDefault="00000000" w:rsidRPr="00000000" w14:paraId="000001A1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INSTITUTO BRASILEIRO DE GEOGRAFIA E ESTATÍSTICA (IBGE). API de localidades. Rio de Janeiro: IBGE. Disponível em: https://servicodados.ibge.gov.br/api/v1/localidades/municipios. Acesso em: 12 jul. 2026.</w:t>
      </w:r>
    </w:p>
    <w:p w:rsidR="00000000" w:rsidDel="00000000" w:rsidP="00000000" w:rsidRDefault="00000000" w:rsidRPr="00000000" w14:paraId="000001A2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INSTITUTO BRASILEIRO DE GEOGRAFIA E ESTATÍSTICA (IBGE). Áreas territoriais: áreas dos municípios brasileiros, 2025. Rio de Janeiro: IBGE. Disponível em: https://www.ibge.gov.br/geociencias/organizacao-do-territorio/estrutura-territorial/15761-areas-dos-municipios.html. Acesso em: 20 jul. 2026.</w:t>
      </w:r>
    </w:p>
    <w:p w:rsidR="00000000" w:rsidDel="00000000" w:rsidP="00000000" w:rsidRDefault="00000000" w:rsidRPr="00000000" w14:paraId="000001A3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INSTITUTO BRASILEIRO DE GEOGRAFIA E ESTATÍSTICA (IBGE). Sistema IBGE de Recuperação Automática (SIDRA). Tabela 1737: Índice Nacional de Preços ao Consumidor Amplo (IPCA), variável 2266 (número-índice, dez. 1993=100). Rio de Janeiro: IBGE. Disponível em: https://sidra.ibge.gov.br/tabela/1737. Acesso em: 10 jul. 2026.</w:t>
      </w:r>
    </w:p>
    <w:p w:rsidR="00000000" w:rsidDel="00000000" w:rsidP="00000000" w:rsidRDefault="00000000" w:rsidRPr="00000000" w14:paraId="000001A4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MATO GROSSO (Estado). Procuradoria-Geral do Estado (PGE-MT). Proprietários têm regularizado na Sema abertura de áreas em imóveis rurais. Cuiabá: PGE-MT, 2022. Disponível em: https://www.pge.mt.gov.br/web/mt/w/21739934-proprietarios-tem-regularizado-na-sema-abertura-de-areas-em-imoveis-rurais. Acesso em: 27 jul. 2026.</w:t>
      </w:r>
    </w:p>
    <w:p w:rsidR="00000000" w:rsidDel="00000000" w:rsidP="00000000" w:rsidRDefault="00000000" w:rsidRPr="00000000" w14:paraId="000001A5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MONGABAY. Desmatamento e água contaminada: o lado obscuro do óleo de palma “sustentável” da Amazônia. mar. 2021. Disponível em: https://brasil.mongabay.com/2021/03/desmatamento-e-agua-contaminada-o-lado-obscuro-do-oleo-de-palma-sustentavel-da-amazonia/. Acesso em: 3 ago. 2026.</w:t>
      </w:r>
    </w:p>
    <w:p w:rsidR="00000000" w:rsidDel="00000000" w:rsidP="00000000" w:rsidRDefault="00000000" w:rsidRPr="00000000" w14:paraId="000001A6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NAGIN, Daniel S. Deterrence in the twenty-first century: a review of the evidence. Crime and Justice, Chicago, v. 42, n. 1, p. 199-263, 2013. DOI: 10.1086/670398.</w:t>
      </w:r>
    </w:p>
    <w:p w:rsidR="00000000" w:rsidDel="00000000" w:rsidP="00000000" w:rsidRDefault="00000000" w:rsidRPr="00000000" w14:paraId="000001A7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PARÁ (Estado). Secretaria de Estado de Meio Ambiente e Sustentabilidade (SEMAS). Em dois anos, Operação Curupira registra mais de 1,7 mil fiscalizações integradas. Belém: SEMAS, 9 fev. 2025. Disponível em: https://www.semas.pa.gov.br/2025/02/09/em-dois-anos-operacao-curupira-registra-mais-de-17-mil-fiscalizacoes-integradas/. Acesso em: 27 jul. 2026.</w:t>
      </w:r>
    </w:p>
    <w:p w:rsidR="00000000" w:rsidDel="00000000" w:rsidP="00000000" w:rsidRDefault="00000000" w:rsidRPr="00000000" w14:paraId="000001A8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VOCATIVO. MPF aponta irregularidades do Ipaam em licenças do Projeto Autazes. 2025. Disponível em: https://vocativo.com/2025/08/01/mpf-aponta-irregularidades-do-ipaam-em-licencas-do-projeto-autazes/. Acesso em: 27 jul. 2026.</w:t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8" w:w="11906" w:orient="portrait"/>
      <w:pgMar w:bottom="1134" w:top="1701" w:left="1701" w:right="1134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2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dRiEorHMFJ7ohrpbXgdHKMZ0g==">CgMxLjAaFAoBMBIPCg0IB0IJEgdHdW5nc3VoGhIKATESDQoLCAdCBxIFQ2FyZG8aFAoBMhIPCg0IB0IJEgdHdW5nc3VoGhQKATMSDwoNCAdCCRIHR3VuZ3N1aBoSCgE0Eg0KCwgHQgcSBUNhcmRv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MKAjE1Eg0KCwgHQgcSBUNhcmRvGhMKAjE2Eg0KCwgHQgcSBUNhcmRvGhUKAjE3Eg8KDQgHQgkSB0d1bmdzdWgaEwoCMTgSDQoLCAdCBxIFQ2FyZG8yDmgubXNzNHN3M21iY3JyMg5oLjV5OGd1NThiNnVxdTgAciExbGs2ZTZmQkgyNjNHZTRmRjM4M1pfdTVSMHJNV3lZd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2026-07-21T12:41:59.625Z</dcterms:created>
  <dc:creator>Diogo Grieco</dc:creator>
  <dc:title>EGMS: Relatório Técnico Estendido</dc:title>
  <dc:subject>Registro técnico do Enforcement Gap Monitoring System: construção das variáveis, decisões metodológicas e validações</dc:subject>
  <cp:lastModifiedBy>Diogo Grieco</cp:lastModifiedBy>
  <cp:keywords>desmatamento; Amazônia Legal; fiscalização ambiental; IBAMA; PRODES; INPE; enforcement gap; índice; DuckDB; R</cp:keywords>
  <cp:category>Relatório técnico</cp:category>
  <dc:language>pt-BR</dc:language>
  <dc:description>EGMS versão 1.2.0. Código, dados públicos e documentação: repositório do projeto.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