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68" w:after="0"/>
        <w:jc w:val="center"/>
      </w:pPr>
      <w:r>
        <w:rPr>
          <w:sz w:val="24"/>
          <w:szCs w:val="24"/>
        </w:rPr>
        <w:t xml:space="preserve">Diogo Grieco</w:t>
      </w:r>
    </w:p>
    <w:p>
      <w:pPr>
        <w:spacing w:before="1985" w:after="140"/>
        <w:jc w:val="center"/>
      </w:pPr>
      <w:r>
        <w:rPr>
          <w:b/>
          <w:bCs/>
          <w:color w:val="000000"/>
          <w:sz w:val="34"/>
          <w:szCs w:val="34"/>
        </w:rPr>
        <w:t xml:space="preserve">EGMS: Relatório Técnico Estendido</w:t>
      </w:r>
    </w:p>
    <w:p>
      <w:pPr>
        <w:spacing w:after="0"/>
        <w:jc w:val="center"/>
      </w:pPr>
      <w:r>
        <w:rPr>
          <w:i/>
          <w:iCs/>
          <w:color w:val="000000"/>
          <w:sz w:val="23"/>
          <w:szCs w:val="23"/>
        </w:rPr>
        <w:t xml:space="preserve">Detalhamento metodológico, testes empíricos das decisões e registro de mudanças para auditoria</w:t>
      </w:r>
    </w:p>
    <w:p>
      <w:pPr>
        <w:spacing w:before="4260" w:after="0"/>
        <w:jc w:val="center"/>
      </w:pPr>
      <w:r>
        <w:rPr>
          <w:color w:val="000000"/>
          <w:sz w:val="18"/>
          <w:szCs w:val="18"/>
        </w:rPr>
        <w:t xml:space="preserve">versão 1.1.0 (pipeline v5, documentação v8) · agosto de 2026</w:t>
      </w:r>
    </w:p>
    <w:p>
      <w:pPr/>
      <w:r>
        <w:br w:type="page"/>
      </w:r>
    </w:p>
    <w:p>
      <w:pPr>
        <w:ind w:firstLine="709"/>
      </w:pPr>
      <w:r>
        <w:t xml:space="preserve">Este documento é o registro técnico completo do Enforcement Gap Monitoring System, dirigido a um leitor especialista que queira auditar o trabalho: cada variável com sua construção, cada decisão metodológica com o teste empírico que a sustenta, as validações realizadas, e o resumo do registro de mudanças (change log) das sucessivas auditorias adversariais. Todos os números citados foram confirmados por replicação independente a partir dos dados brutos (última replicação: 2026-08-03; 56/56 verificações reproduzidas exatamente, coeficientes de painel reconstruídos em outro motor).</w:t>
      </w:r>
    </w:p>
    <w:p>
      <w:pPr>
        <w:pStyle w:val="Heading1"/>
      </w:pPr>
      <w:r>
        <w:t xml:space="preserve">1. Dados e arquitetura</w:t>
      </w:r>
    </w:p>
    <w:p>
      <w:pPr>
        <w:pStyle w:val="Heading2"/>
      </w:pPr>
      <w:r>
        <w:t xml:space="preserve">1.1 Fontes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100"/>
        <w:gridCol w:w="3600"/>
      </w:tblGrid>
      <w:tr>
        <w:trPr>
          <w:cantSplit/>
          <w:tblHeader/>
        </w:trPr>
        <w:tc>
          <w:tcPr>
            <w:tcW w:type="dxa" w:w="2100"/>
            <w:shd w:fill="DDE5DC" w:val="clear"/>
            <w:tcMar>
              <w:top w:type="dxa" w:w="50"/>
              <w:left w:type="dxa" w:w="90"/>
              <w:bottom w:type="dxa" w:w="50"/>
              <w:right w:type="dxa" w:w="90"/>
            </w:tcMar>
          </w:tcPr>
          <w:p>
            <w:pPr>
              <w:spacing w:after="0"/>
            </w:pPr>
            <w:r>
              <w:rPr>
                <w:b/>
                <w:bCs/>
                <w:sz w:val="17"/>
                <w:szCs w:val="17"/>
              </w:rPr>
              <w:t xml:space="preserve">Fonte</w:t>
            </w:r>
          </w:p>
        </w:tc>
        <w:tc>
          <w:tcPr>
            <w:tcW w:type="dxa" w:w="2900"/>
            <w:shd w:fill="DDE5DC" w:val="clear"/>
            <w:tcMar>
              <w:top w:type="dxa" w:w="50"/>
              <w:left w:type="dxa" w:w="90"/>
              <w:bottom w:type="dxa" w:w="50"/>
              <w:right w:type="dxa" w:w="90"/>
            </w:tcMar>
          </w:tcPr>
          <w:p>
            <w:pPr>
              <w:spacing w:after="0"/>
            </w:pPr>
            <w:r>
              <w:rPr>
                <w:b/>
                <w:bCs/>
                <w:sz w:val="17"/>
                <w:szCs w:val="17"/>
              </w:rPr>
              <w:t xml:space="preserve">Conteúdo</w:t>
            </w:r>
          </w:p>
        </w:tc>
        <w:tc>
          <w:tcPr>
            <w:tcW w:type="dxa" w:w="1100"/>
            <w:shd w:fill="DDE5DC" w:val="clear"/>
            <w:tcMar>
              <w:top w:type="dxa" w:w="50"/>
              <w:left w:type="dxa" w:w="90"/>
              <w:bottom w:type="dxa" w:w="50"/>
              <w:right w:type="dxa" w:w="90"/>
            </w:tcMar>
          </w:tcPr>
          <w:p>
            <w:pPr>
              <w:spacing w:after="0"/>
            </w:pPr>
            <w:r>
              <w:rPr>
                <w:b/>
                <w:bCs/>
                <w:sz w:val="17"/>
                <w:szCs w:val="17"/>
              </w:rPr>
              <w:t xml:space="preserve">Snapshot</w:t>
            </w:r>
          </w:p>
        </w:tc>
        <w:tc>
          <w:tcPr>
            <w:tcW w:type="dxa" w:w="3600"/>
            <w:shd w:fill="DDE5DC" w:val="clear"/>
            <w:tcMar>
              <w:top w:type="dxa" w:w="50"/>
              <w:left w:type="dxa" w:w="90"/>
              <w:bottom w:type="dxa" w:w="50"/>
              <w:right w:type="dxa" w:w="90"/>
            </w:tcMar>
          </w:tcPr>
          <w:p>
            <w:pPr>
              <w:spacing w:after="0"/>
            </w:pPr>
            <w:r>
              <w:rPr>
                <w:b/>
                <w:bCs/>
                <w:sz w:val="17"/>
                <w:szCs w:val="17"/>
              </w:rPr>
              <w:t xml:space="preserve">Observações</w:t>
            </w:r>
          </w:p>
        </w:tc>
      </w:tr>
      <w:tr>
        <w:tc>
          <w:tcPr>
            <w:tcW w:type="dxa" w:w="2100"/>
            <w:tcMar>
              <w:top w:type="dxa" w:w="40"/>
              <w:left w:type="dxa" w:w="90"/>
              <w:bottom w:type="dxa" w:w="40"/>
              <w:right w:type="dxa" w:w="90"/>
            </w:tcMar>
          </w:tcPr>
          <w:p>
            <w:pPr>
              <w:spacing w:after="0"/>
            </w:pPr>
            <w:r>
              <w:rPr>
                <w:sz w:val="17"/>
                <w:szCs w:val="17"/>
              </w:rPr>
              <w:t xml:space="preserve">PRODES/INPE (TerraBrasilis)</w:t>
            </w:r>
          </w:p>
        </w:tc>
        <w:tc>
          <w:tcPr>
            <w:tcW w:type="dxa" w:w="2900"/>
            <w:tcMar>
              <w:top w:type="dxa" w:w="40"/>
              <w:left w:type="dxa" w:w="90"/>
              <w:bottom w:type="dxa" w:w="40"/>
              <w:right w:type="dxa" w:w="90"/>
            </w:tcMar>
          </w:tcPr>
          <w:p>
            <w:pPr>
              <w:spacing w:after="0"/>
            </w:pPr>
            <w:r>
              <w:rPr>
                <w:sz w:val="17"/>
                <w:szCs w:val="17"/>
              </w:rPr>
              <w:t xml:space="preserve">Área desmatada anual por município, Amazônia Legal</w:t>
            </w:r>
          </w:p>
        </w:tc>
        <w:tc>
          <w:tcPr>
            <w:tcW w:type="dxa" w:w="1100"/>
            <w:tcMar>
              <w:top w:type="dxa" w:w="40"/>
              <w:left w:type="dxa" w:w="90"/>
              <w:bottom w:type="dxa" w:w="40"/>
              <w:right w:type="dxa" w:w="90"/>
            </w:tcMar>
          </w:tcPr>
          <w:p>
            <w:pPr>
              <w:spacing w:after="0"/>
            </w:pPr>
            <w:r>
              <w:rPr>
                <w:sz w:val="17"/>
                <w:szCs w:val="17"/>
              </w:rPr>
              <w:t xml:space="preserve">25/04/2026</w:t>
            </w:r>
          </w:p>
        </w:tc>
        <w:tc>
          <w:tcPr>
            <w:tcW w:type="dxa" w:w="3600"/>
            <w:tcMar>
              <w:top w:type="dxa" w:w="40"/>
              <w:left w:type="dxa" w:w="90"/>
              <w:bottom w:type="dxa" w:w="40"/>
              <w:right w:type="dxa" w:w="90"/>
            </w:tcMar>
          </w:tcPr>
          <w:p>
            <w:pPr>
              <w:spacing w:after="0"/>
            </w:pPr>
            <w:r>
              <w:rPr>
                <w:sz w:val="17"/>
                <w:szCs w:val="17"/>
              </w:rPr>
              <w:t xml:space="preserve">13.896 linhas; 772 geocodes × 18 anos; 2025 diverge -8,3% da taxa nacional consolidada</w:t>
            </w:r>
          </w:p>
        </w:tc>
      </w:tr>
      <w:tr>
        <w:tc>
          <w:tcPr>
            <w:tcW w:type="dxa" w:w="2100"/>
            <w:tcMar>
              <w:top w:type="dxa" w:w="40"/>
              <w:left w:type="dxa" w:w="90"/>
              <w:bottom w:type="dxa" w:w="40"/>
              <w:right w:type="dxa" w:w="90"/>
            </w:tcMar>
          </w:tcPr>
          <w:p>
            <w:pPr>
              <w:spacing w:after="0"/>
            </w:pPr>
            <w:r>
              <w:rPr>
                <w:sz w:val="17"/>
                <w:szCs w:val="17"/>
              </w:rPr>
              <w:t xml:space="preserve">IBAMA (dados abertos)</w:t>
            </w:r>
          </w:p>
        </w:tc>
        <w:tc>
          <w:tcPr>
            <w:tcW w:type="dxa" w:w="2900"/>
            <w:tcMar>
              <w:top w:type="dxa" w:w="40"/>
              <w:left w:type="dxa" w:w="90"/>
              <w:bottom w:type="dxa" w:w="40"/>
              <w:right w:type="dxa" w:w="90"/>
            </w:tcMar>
          </w:tcPr>
          <w:p>
            <w:pPr>
              <w:spacing w:after="0"/>
            </w:pPr>
            <w:r>
              <w:rPr>
                <w:sz w:val="17"/>
                <w:szCs w:val="17"/>
              </w:rPr>
              <w:t xml:space="preserve">Autos de infração ambiental, 1 CSV/ano</w:t>
            </w:r>
          </w:p>
        </w:tc>
        <w:tc>
          <w:tcPr>
            <w:tcW w:type="dxa" w:w="1100"/>
            <w:tcMar>
              <w:top w:type="dxa" w:w="40"/>
              <w:left w:type="dxa" w:w="90"/>
              <w:bottom w:type="dxa" w:w="40"/>
              <w:right w:type="dxa" w:w="90"/>
            </w:tcMar>
          </w:tcPr>
          <w:p>
            <w:pPr>
              <w:spacing w:after="0"/>
            </w:pPr>
            <w:r>
              <w:rPr>
                <w:sz w:val="17"/>
                <w:szCs w:val="17"/>
              </w:rPr>
              <w:t xml:space="preserve">25/04/2026</w:t>
            </w:r>
          </w:p>
        </w:tc>
        <w:tc>
          <w:tcPr>
            <w:tcW w:type="dxa" w:w="3600"/>
            <w:tcMar>
              <w:top w:type="dxa" w:w="40"/>
              <w:left w:type="dxa" w:w="90"/>
              <w:bottom w:type="dxa" w:w="40"/>
              <w:right w:type="dxa" w:w="90"/>
            </w:tcMar>
          </w:tcPr>
          <w:p>
            <w:pPr>
              <w:spacing w:after="0"/>
            </w:pPr>
            <w:r>
              <w:rPr>
                <w:sz w:val="17"/>
                <w:szCs w:val="17"/>
              </w:rPr>
              <w:t xml:space="preserve">309.116 linhas × 84 colunas brutas</w:t>
            </w:r>
          </w:p>
        </w:tc>
      </w:tr>
      <w:tr>
        <w:tc>
          <w:tcPr>
            <w:tcW w:type="dxa" w:w="2100"/>
            <w:tcMar>
              <w:top w:type="dxa" w:w="40"/>
              <w:left w:type="dxa" w:w="90"/>
              <w:bottom w:type="dxa" w:w="40"/>
              <w:right w:type="dxa" w:w="90"/>
            </w:tcMar>
          </w:tcPr>
          <w:p>
            <w:pPr>
              <w:spacing w:after="0"/>
            </w:pPr>
            <w:r>
              <w:rPr>
                <w:sz w:val="17"/>
                <w:szCs w:val="17"/>
              </w:rPr>
              <w:t xml:space="preserve">IBGE: API de localidades</w:t>
            </w:r>
          </w:p>
        </w:tc>
        <w:tc>
          <w:tcPr>
            <w:tcW w:type="dxa" w:w="2900"/>
            <w:tcMar>
              <w:top w:type="dxa" w:w="40"/>
              <w:left w:type="dxa" w:w="90"/>
              <w:bottom w:type="dxa" w:w="40"/>
              <w:right w:type="dxa" w:w="90"/>
            </w:tcMar>
          </w:tcPr>
          <w:p>
            <w:pPr>
              <w:spacing w:after="0"/>
            </w:pPr>
            <w:r>
              <w:rPr>
                <w:sz w:val="17"/>
                <w:szCs w:val="17"/>
              </w:rPr>
              <w:t xml:space="preserve">Referência município → UF (JSON)</w:t>
            </w:r>
          </w:p>
        </w:tc>
        <w:tc>
          <w:tcPr>
            <w:tcW w:type="dxa" w:w="1100"/>
            <w:tcMar>
              <w:top w:type="dxa" w:w="40"/>
              <w:left w:type="dxa" w:w="90"/>
              <w:bottom w:type="dxa" w:w="40"/>
              <w:right w:type="dxa" w:w="90"/>
            </w:tcMar>
          </w:tcPr>
          <w:p>
            <w:pPr>
              <w:spacing w:after="0"/>
            </w:pPr>
            <w:r>
              <w:rPr>
                <w:sz w:val="17"/>
                <w:szCs w:val="17"/>
              </w:rPr>
              <w:t xml:space="preserve">12/07/2026</w:t>
            </w:r>
          </w:p>
        </w:tc>
        <w:tc>
          <w:tcPr>
            <w:tcW w:type="dxa" w:w="3600"/>
            <w:tcMar>
              <w:top w:type="dxa" w:w="40"/>
              <w:left w:type="dxa" w:w="90"/>
              <w:bottom w:type="dxa" w:w="40"/>
              <w:right w:type="dxa" w:w="90"/>
            </w:tcMar>
          </w:tcPr>
          <w:p>
            <w:pPr>
              <w:spacing w:after="0"/>
            </w:pPr>
            <w:r>
              <w:rPr>
                <w:sz w:val="17"/>
                <w:szCs w:val="17"/>
              </w:rPr>
              <w:t xml:space="preserve">5.571 municípios; cobertura de UF 100%</w:t>
            </w:r>
          </w:p>
        </w:tc>
      </w:tr>
      <w:tr>
        <w:tc>
          <w:tcPr>
            <w:tcW w:type="dxa" w:w="2100"/>
            <w:tcMar>
              <w:top w:type="dxa" w:w="40"/>
              <w:left w:type="dxa" w:w="90"/>
              <w:bottom w:type="dxa" w:w="40"/>
              <w:right w:type="dxa" w:w="90"/>
            </w:tcMar>
          </w:tcPr>
          <w:p>
            <w:pPr>
              <w:spacing w:after="0"/>
            </w:pPr>
            <w:r>
              <w:rPr>
                <w:sz w:val="17"/>
                <w:szCs w:val="17"/>
              </w:rPr>
              <w:t xml:space="preserve">IBGE/Sidra t.1737 v.2266</w:t>
            </w:r>
          </w:p>
        </w:tc>
        <w:tc>
          <w:tcPr>
            <w:tcW w:type="dxa" w:w="2900"/>
            <w:tcMar>
              <w:top w:type="dxa" w:w="40"/>
              <w:left w:type="dxa" w:w="90"/>
              <w:bottom w:type="dxa" w:w="40"/>
              <w:right w:type="dxa" w:w="90"/>
            </w:tcMar>
          </w:tcPr>
          <w:p>
            <w:pPr>
              <w:spacing w:after="0"/>
            </w:pPr>
            <w:r>
              <w:rPr>
                <w:sz w:val="17"/>
                <w:szCs w:val="17"/>
              </w:rPr>
              <w:t xml:space="preserve">IPCA mensal (número-índice, dez/93=100)</w:t>
            </w:r>
          </w:p>
        </w:tc>
        <w:tc>
          <w:tcPr>
            <w:tcW w:type="dxa" w:w="1100"/>
            <w:tcMar>
              <w:top w:type="dxa" w:w="40"/>
              <w:left w:type="dxa" w:w="90"/>
              <w:bottom w:type="dxa" w:w="40"/>
              <w:right w:type="dxa" w:w="90"/>
            </w:tcMar>
          </w:tcPr>
          <w:p>
            <w:pPr>
              <w:spacing w:after="0"/>
            </w:pPr>
            <w:r>
              <w:rPr>
                <w:sz w:val="17"/>
                <w:szCs w:val="17"/>
              </w:rPr>
              <w:t xml:space="preserve">10/07/2026</w:t>
            </w:r>
          </w:p>
        </w:tc>
        <w:tc>
          <w:tcPr>
            <w:tcW w:type="dxa" w:w="3600"/>
            <w:tcMar>
              <w:top w:type="dxa" w:w="40"/>
              <w:left w:type="dxa" w:w="90"/>
              <w:bottom w:type="dxa" w:w="40"/>
              <w:right w:type="dxa" w:w="90"/>
            </w:tcMar>
          </w:tcPr>
          <w:p>
            <w:pPr>
              <w:spacing w:after="0"/>
            </w:pPr>
            <w:r>
              <w:rPr>
                <w:sz w:val="17"/>
                <w:szCs w:val="17"/>
              </w:rPr>
              <w:t xml:space="preserve">deflator; 12 meses × 18 anos verificados</w:t>
            </w:r>
          </w:p>
        </w:tc>
      </w:tr>
      <w:tr>
        <w:tc>
          <w:tcPr>
            <w:tcW w:type="dxa" w:w="2100"/>
            <w:tcMar>
              <w:top w:type="dxa" w:w="40"/>
              <w:left w:type="dxa" w:w="90"/>
              <w:bottom w:type="dxa" w:w="40"/>
              <w:right w:type="dxa" w:w="90"/>
            </w:tcMar>
          </w:tcPr>
          <w:p>
            <w:pPr>
              <w:spacing w:after="0"/>
            </w:pPr>
            <w:r>
              <w:rPr>
                <w:sz w:val="17"/>
                <w:szCs w:val="17"/>
              </w:rPr>
              <w:t xml:space="preserve">IBGE: Áreas Territoriais 2025</w:t>
            </w:r>
          </w:p>
        </w:tc>
        <w:tc>
          <w:tcPr>
            <w:tcW w:type="dxa" w:w="2900"/>
            <w:tcMar>
              <w:top w:type="dxa" w:w="40"/>
              <w:left w:type="dxa" w:w="90"/>
              <w:bottom w:type="dxa" w:w="40"/>
              <w:right w:type="dxa" w:w="90"/>
            </w:tcMar>
          </w:tcPr>
          <w:p>
            <w:pPr>
              <w:spacing w:after="0"/>
            </w:pPr>
            <w:r>
              <w:rPr>
                <w:sz w:val="17"/>
                <w:szCs w:val="17"/>
              </w:rPr>
              <w:t xml:space="preserve">Área territorial municipal (km²)</w:t>
            </w:r>
          </w:p>
        </w:tc>
        <w:tc>
          <w:tcPr>
            <w:tcW w:type="dxa" w:w="1100"/>
            <w:tcMar>
              <w:top w:type="dxa" w:w="40"/>
              <w:left w:type="dxa" w:w="90"/>
              <w:bottom w:type="dxa" w:w="40"/>
              <w:right w:type="dxa" w:w="90"/>
            </w:tcMar>
          </w:tcPr>
          <w:p>
            <w:pPr>
              <w:spacing w:after="0"/>
            </w:pPr>
            <w:r>
              <w:rPr>
                <w:sz w:val="17"/>
                <w:szCs w:val="17"/>
              </w:rPr>
              <w:t xml:space="preserve">20/07/2026</w:t>
            </w:r>
          </w:p>
        </w:tc>
        <w:tc>
          <w:tcPr>
            <w:tcW w:type="dxa" w:w="3600"/>
            <w:tcMar>
              <w:top w:type="dxa" w:w="40"/>
              <w:left w:type="dxa" w:w="90"/>
              <w:bottom w:type="dxa" w:w="40"/>
              <w:right w:type="dxa" w:w="90"/>
            </w:tcMar>
          </w:tcPr>
          <w:p>
            <w:pPr>
              <w:spacing w:after="0"/>
            </w:pPr>
            <w:r>
              <w:rPr>
                <w:sz w:val="17"/>
                <w:szCs w:val="17"/>
              </w:rPr>
              <w:t xml:space="preserve">5.573 municípios; 100% dos 772 do PRODES</w:t>
            </w:r>
          </w:p>
        </w:tc>
      </w:tr>
    </w:tbl>
    <w:p/>
    <w:p>
      <w:pPr>
        <w:ind w:firstLine="709"/>
      </w:pPr>
      <w:r>
        <w:t xml:space="preserve">Os valores esperados das verificações são fotografias desses snapshots: o IBAMA pode revisar retroativamente seus CSVs e o PRODES consolida o último ano meses depois da estimativa preliminar. Quem baixar os dados no futuro pode ver checks falhando sem que exista bug; o README documenta as datas exatamente por isso.</w:t>
      </w:r>
    </w:p>
    <w:p>
      <w:pPr>
        <w:ind w:firstLine="709"/>
      </w:pPr>
      <w:r>
        <w:t xml:space="preserve">O painel usa 772 municípios, não os 805 do arquivo do TerraBrasilis: 33 geocodes do export rotulado "legal_amazon" estão em estados fora da Amazônia Legal, todos com desmatamento zero em todos os 18 anos. O recorte é feito por prefixo de UF, o que herda do TerraBrasilis a definição de quais municípios do Maranhão pertencem à Amazônia Legal, já que o estado entra parcialmente.</w:t>
      </w:r>
    </w:p>
    <w:p>
      <w:pPr>
        <w:pStyle w:val="Heading2"/>
      </w:pPr>
      <w:r>
        <w:t xml:space="preserve">1.2 Camadas e pureza de camada</w:t>
      </w:r>
    </w:p>
    <w:p>
      <w:pPr>
        <w:ind w:firstLine="709"/>
      </w:pPr>
      <w:r>
        <w:t xml:space="preserve">O pipeline são quatro arquivos SQL sobre DuckDB, com um princípio auditável: cada arquivo declara no cabeçalho o que lhe pertence, e o código pode ser conferido contra a declaração. </w:t>
      </w:r>
      <w:r>
        <w:rPr>
          <w:b/>
          <w:bCs/>
        </w:rPr>
        <w:t xml:space="preserve">Staging</w:t>
      </w:r>
      <w:r>
        <w:t xml:space="preserve"> é ingestão bruta exclusivamente: cinco tabelas *_raw, tudo SELECT * com all_varchar = true, zero filtro, zero cast, zero coluna computada. </w:t>
      </w:r>
      <w:r>
        <w:rPr>
          <w:b/>
          <w:bCs/>
        </w:rPr>
        <w:t xml:space="preserve">Marts</w:t>
      </w:r>
      <w:r>
        <w:t xml:space="preserve"> filtra, tipa e padroniza: ibama_clean (o filtro de desmatamento em três casos), prodes_clean, municipality_ref (extração do caminho de UF no JSON aninhado), municipality_area (descarte das linhas de rodapé), ipca_annual (UNPIVOT do formato largo do Sidra + média anual). </w:t>
      </w:r>
      <w:r>
        <w:rPr>
          <w:b/>
          <w:bCs/>
        </w:rPr>
        <w:t xml:space="preserve">Analytics</w:t>
      </w:r>
      <w:r>
        <w:t xml:space="preserve"> computa índices derivados: o deflator (razão de rebase, base 2025), egs_base (o LEFT JOIN central que preserva as 13.896 linhas do painel mesmo sem auto correspondente: é o que permite a lacuna absoluta existir como observação), egs_final (fórmula e classificação), egs_ranking e annual_summary. A razão do deflator viveu em staging da v1 à v4, contradizendo o propósito declarado do próprio arquivo; a v5 dividiu a operação pelas três camadas segundo o tipo de computação: o caso que motivou a regra.</w:t>
      </w:r>
    </w:p>
    <w:p>
      <w:pPr>
        <w:pStyle w:val="Heading2"/>
      </w:pPr>
      <w:r>
        <w:t xml:space="preserve">1.3 As 56 verificações</w:t>
      </w:r>
    </w:p>
    <w:p>
      <w:pPr>
        <w:ind w:firstLine="709"/>
      </w:pPr>
      <w:r>
        <w:t xml:space="preserve">Cada arquivo termina numa única query consolidada (UNION ALL) que retorna check_name | actual | expected | status, com falhas ordenadas para o topo do grid: 8 checks em staging, 27 em marts, 20 em analytics e 1 pós-export: 56 no total, todos passando em produção. Além de contagens e invariantes estruturais, três guardas nasceram de modos de falha reais encontrados em auditoria: </w:t>
      </w:r>
      <w:r>
        <w:rPr>
          <w:i/>
          <w:iCs/>
        </w:rPr>
        <w:t xml:space="preserve">total_area_prodes_clean = 140.019</w:t>
      </w:r>
      <w:r>
        <w:t xml:space="preserve"> (único check de magnitude do lado PRODES: sem ele, um CSV trocado com a forma certa passaria com áreas erradas); </w:t>
      </w:r>
      <w:r>
        <w:rPr>
          <w:i/>
          <w:iCs/>
        </w:rPr>
        <w:t xml:space="preserve">deflator_2008 = 2,5826</w:t>
      </w:r>
      <w:r>
        <w:t xml:space="preserve"> (deflator_2025 = 1,0 vale por construção para qualquer série; este pina o valor real do Sidra); e </w:t>
      </w:r>
      <w:r>
        <w:rPr>
          <w:i/>
          <w:iCs/>
        </w:rPr>
        <w:t xml:space="preserve">export_ranking_stale = 0</w:t>
      </w:r>
      <w:r>
        <w:t xml:space="preserve"> (relê o parquet recém-escrito e compara a ordem física das 772 linhas com o ranking recomputado: o modo de falha “parquet gerado antes de uma correção de ordenação” aconteceu de verdade e nenhum check de contagem o pegaria). Uma quarta nasceu na sexta auditoria: missing_legal_amazon_munis = 1 compara o conjunto de geocodes contra a referência do IBGE nos oito estados integralmente contidos na Amazônia Legal, e registra que falta Boa Esperança do Norte/MT (5101837), desmembrado de Nova Ubiratã em 2025 e novo demais para a malha do PRODES. O painel são os 772 municípios que o PRODES mapeia; a contagem oficial da Amazônia Legal segue 772 e deve passar a 773 numa atualização futura. n_geocodes_prodes_clean fixa uma contagem, não um conjunto, e por isso não via a ausência.</w:t>
      </w:r>
    </w:p>
    <w:p>
      <w:pPr>
        <w:pStyle w:val="Heading1"/>
      </w:pPr>
      <w:r>
        <w:t xml:space="preserve">2. Construção das variáveis</w:t>
      </w:r>
    </w:p>
    <w:p>
      <w:pPr>
        <w:pStyle w:val="Heading2"/>
      </w:pPr>
      <w:r>
        <w:t xml:space="preserve">2.1 O filtro de desmatamento no IBAMA (60.707 autos)</w:t>
      </w:r>
    </w:p>
    <w:p>
      <w:pPr>
        <w:ind w:firstLine="709"/>
      </w:pPr>
      <w:r>
        <w:t xml:space="preserve">Dos 309.116 autos brutos, o recorte de desmatamento retém 60.707 (soma nominal de controle: R$ 26.814.492.927), pela união de três casos, com SIT_CANCELADO = 'N' e DES_STATUS_FORMULARIO = 'Lavrado': (1) TIPO_INFRACAO = 'Flora' com INFRACAO_AREA = 'Desmatamento': 58.051 autos; (2) 'Flora' com área nula e código de infração específico de desmatamento (seis códigos, ex.: destruir/danificar florestas nativas; concentrados em 2008–2012, quando o campo de área não era obrigatório): 2.129; (3) tipo nulo com área 'Desmatamento': 527. A data usada é DAT_HORA_AUTO_INFRACAO (0% de NA), não DT_FATO_INFRACIONAL (71% de NA na base filtrada): decisão documentada com sua validação de lag (§4.2). Categorias excluídas: o IBAMA também classifica autos como INFRACAO_AREA = “Desmatamento e Queimada”, 2.051 lavrados e R$ 1,88 bilhão, deixados de fora porque o registro não separa a supressão da queima. A exclusão subestima a resposta federal, nunca o contrário. O custo foi medido: incluindo essa categoria e o código 409906 no caso (2), a base vai de 60.707 para 63.213 autos e o ranking praticamente não se move, com Spearman 0,9999 entre os rankings completos dos 772 municípios, os mesmos 20 no topo e 49 dos 50 primeiros. A maior troca de posição é Maués, de 9º para 16º. A decisão de recorte não sustenta o resultado. Também fica de fora o código 409999, o mais frequente da base (77.872 autos): é rótulo genérico, e os autos de desmatamento que o carregam já entram pelos casos 1 e 3, via INFRACAO_AREA. Os 14.710 restantes têm tipo e área nulos, sem sinal que permita classificá-los.</w:t>
      </w:r>
    </w:p>
    <w:p>
      <w:pPr>
        <w:pStyle w:val="Heading2"/>
      </w:pPr>
      <w:r>
        <w:t xml:space="preserve">2.2 O deflator IPCA</w:t>
      </w:r>
    </w:p>
    <w:p>
      <w:pPr>
        <w:ind w:firstLine="709"/>
      </w:pPr>
      <w:r>
        <w:t xml:space="preserve">Série mensal real do Sidra (tabela 1737, variável 2266, número-índice base dez/1993 = 100), agregada por média anual: os autos são lavrados o ano inteiro, com 21,4% dos autos concentrados em setembro e outubro (setembro é o pico mensal, 11,1%), então a base 2025 é a média dos 12 índices mensais do ano, não um mês de referência. O deflator de cada ano é média(2025)/média(ano): 1,0 em 2025 por construção; 2,5826 em 2008, reproduzido identicamente em Python, R e DuckDB. Um check dedicado garante 12 meses em cada um dos 18 anos: o modo de falha silenciosa (um mês malformado descartado pelo parser, encolhendo a média sem alarme) tinha proteção no R e não tinha no SQL até a segunda auditoria.</w:t>
      </w:r>
    </w:p>
    <w:p>
      <w:pPr>
        <w:pStyle w:val="Heading2"/>
      </w:pPr>
      <w:r>
        <w:t xml:space="preserve">2.3 Normalização territorial</w:t>
      </w:r>
    </w:p>
    <w:p>
      <w:pPr>
        <w:ind w:firstLine="709"/>
      </w:pPr>
      <w:r>
        <w:t xml:space="preserve">A coluna pct_desmatado (total desmatado no painel ÷ área territorial do município, IBGE 2025) responde à crítica clássica de unidade de área (MAUP): municípios amazônicos variam de centenas a &gt;150.000 km². É coluna de contexto, não critério de ordenação, e o teste mostrou que captura eixo distinto: o máximo do painel é Cujubim (RO), com 29,79% do território desmatado em 18 anos e EGS médio de apenas 0,578 (bem abaixo do top 15). Distribuição: mediana 1,10%, p75 3,38%. Uma exceção conhecida: Nova Ubiratã (MT) teve Boa Esperança do Norte desmembrada de seu território em 2025, e as duas fontes registram o desmembramento em tempos diferentes. O PRODES ainda agrega a área pré-desmembramento; o arquivo de áreas do IBGE 2025 já a separa. Seu pct_desmatado divide, portanto, um numerador antigo por um denominador novo (8,93%; sobre os 13.425 km² pré-desmembramento seriam 5,80%). É o único município do painel nessa situação, não afeta a ordenação nem os quantis acima, e está registrado no check missing_legal_amazon_munis.</w:t>
      </w:r>
    </w:p>
    <w:p>
      <w:pPr>
        <w:pStyle w:val="Heading1"/>
      </w:pPr>
      <w:r>
        <w:t xml:space="preserve">3. A fórmula e o teste empírico de cada decisão</w:t>
      </w:r>
    </w:p>
    <w:p>
      <w:pPr>
        <w:shd w:fill="F2F4F1" w:val="clear"/>
        <w:spacing w:after="40" w:before="40"/>
        <w:ind w:left="360"/>
      </w:pPr>
      <w:r>
        <w:rPr>
          <w:rFonts w:ascii="Times New Roman" w:cs="Times New Roman" w:eastAsia="Consolas" w:hAnsi="Times New Roman"/>
          <w:sz w:val="18"/>
          <w:szCs w:val="18"/>
        </w:rPr>
        <w:t xml:space="preserve">EGS = 0                                                        se área &lt; 1 km²</w:t>
      </w:r>
    </w:p>
    <w:p>
      <w:pPr>
        <w:shd w:fill="F2F4F1" w:val="clear"/>
        <w:spacing w:after="40" w:before="40"/>
        <w:ind w:left="360"/>
      </w:pPr>
      <w:r>
        <w:rPr>
          <w:rFonts w:ascii="Times New Roman" w:cs="Times New Roman" w:eastAsia="Consolas" w:hAnsi="Times New Roman"/>
          <w:sz w:val="18"/>
          <w:szCs w:val="18"/>
        </w:rPr>
        <w:t xml:space="preserve">EGS = log10(1 + área) / max(1, √(log10(1 + n_autos) × log10(1 + multas_reais)))   caso contrário</w:t>
      </w:r>
    </w:p>
    <w:p>
      <w:pPr>
        <w:ind w:firstLine="709"/>
      </w:pPr>
      <w:r>
        <w:t xml:space="preserve">O denominador combina as duas dimensões da resposta federal por média geométrica, não por soma nem por média aritmética. A escolha decorre de uma propriedade: a média geométrica se anula quando qualquer um dos fatores é zero, enquanto a soma permite que um fator alto compense a ausência do outro. Autuação sem valor e valor sem autuação são tratados como resposta ausente, não como resposta parcial. A média geométrica também penaliza o desequilíbrio: para uma mesma soma dos fatores, ela é máxima quando os dois se igualam, de modo que muitos autos de valor irrisório, ou um auto isolado de valor alto, produzem denominador menor que uma combinação equilibrada, e portanto EGS maior.</w:t>
      </w:r>
    </w:p>
    <w:p>
      <w:pPr>
        <w:ind w:firstLine="709"/>
      </w:pPr>
      <w:r>
        <w:t xml:space="preserve">Os pesos são iguais, o que corresponde à raiz quadrada do produto. Uma generalização ponderada é possível, na forma autos^w × multas^(1-w), e a literatura de dissuasão oferece argumento para w &gt; 0,5: a revisão de Nagin (2013) conclui que a certeza da punição tem efeito dissuasório mais consistente que sua severidade. A adaptação não foi adotada por duas razões. O número de autos registra resposta institucional, não probabilidade de apreensão, de modo que a correspondência com a certeza da literatura é analógica. E qualquer valor específico de w exigiria calibração que este trabalho não realiza. Fica registrada como extensão possível, sem teste de sensibilidade nesta versão.</w:t>
      </w:r>
    </w:p>
    <w:p>
      <w:pPr>
        <w:pStyle w:val="Heading2"/>
      </w:pPr>
      <w:r>
        <w:t xml:space="preserve">3.1 Piso no denominador (max(1, ·))</w:t>
      </w:r>
    </w:p>
    <w:p>
      <w:pPr>
        <w:ind w:firstLine="709"/>
      </w:pPr>
      <w:r>
        <w:t xml:space="preserve">Substitui as três fórmulas por categoria da v3 (que tornavam os scores incomensuráveis entre categorias) e elimina a instabilidade na fronteira de R$ 0,01, onde denominadores minúsculos explodiam o score exatamente nos casos menos informativos. </w:t>
      </w:r>
      <w:r>
        <w:rPr>
          <w:b/>
          <w:bCs/>
        </w:rPr>
        <w:t xml:space="preserve">Teste: </w:t>
      </w:r>
      <w:r>
        <w:t xml:space="preserve">com multas deflacionadas, o piso reproduz a fórmula antiga em 100% dos ex-absolute_gap e em 3.257/3.285 (99,1%) dos ex-measured_gap; os 28 divergentes (0,9%; 61 com valores nominais: ambos fixados por checks) são precisamente os casos de fronteira, tornados mais conservadores. Distribuição do denominador bruto no measured_gap: mediana 2,07, p25 1,56, máximo 4,56, mínimo 0,796. O piso é inerte para a massa dos dados. Propriedade que dele decorre: como o denominador nunca é inferior a 1, o EGS de qualquer ano é no máximo log10(1 + área). Esse teto é o valor da lacuna absoluta, de modo que nenhuma resposta ínfima pode pontuar acima de resposta nenhuma.</w:t>
      </w:r>
    </w:p>
    <w:p>
      <w:pPr>
        <w:pStyle w:val="Heading2"/>
      </w:pPr>
      <w:r>
        <w:t xml:space="preserve">3.2 Limiar de materialidade (1 km²)</w:t>
      </w:r>
    </w:p>
    <w:p>
      <w:pPr>
        <w:ind w:firstLine="709"/>
      </w:pPr>
      <w:r>
        <w:t xml:space="preserve">Uma ordem de grandeza acima da unidade mínima de mapeamento real do PRODES (6,25 ha, valor herdado da escala 1:250.000 da fase analógica do PRODES e mantido desde então para preservar a harmonia da série histórica, corrigindo a suposição original de que 1 km² fosse o piso do satélite). </w:t>
      </w:r>
      <w:r>
        <w:rPr>
          <w:b/>
          <w:bCs/>
        </w:rPr>
        <w:t xml:space="preserve">Custo de remover: </w:t>
      </w:r>
      <w:r>
        <w:t xml:space="preserve">3.392 município-anos (24,4% do painel) com 0 &lt; área &lt; 1 km² ganhariam EGS entre 0 e 0,301: injeção de ruído comparável ao 5º percentil dos EGS reais. </w:t>
      </w:r>
      <w:r>
        <w:rPr>
          <w:b/>
          <w:bCs/>
        </w:rPr>
        <w:t xml:space="preserve">Sensibilidade: </w:t>
      </w:r>
      <w:r>
        <w:t xml:space="preserve">com limiar de 1 km², 6,25 ha ou nenhum, os top 10/20/50 do ranking são idênticos; Spearman 0,987 entre os rankings completos (772 municípios, empates por posto médio). São 0,9868 para 1 km² contra 6,25 ha e 0,9866 para 1 km² contra nenhum limiar. O limiar move apenas a estatística descritiva (os 54,3% sem pressão), não a ordenação: resultado de robustez citável. Complemento descritivo. Sob o limiar de 6,25 ha, 135 municípios, e não 220, não registram nenhum ano de pressão. Destes, 105 têm desmatamento acumulado igual a zero no PRODES e, ainda assim, R$ 473 milhões em 1.746 autos de desmatamento do IBAMA, concentrados em Tocantins (67), Maranhão (25) e Mato Grosso (13). A divergência não decorre de erro de atribuição municipal (92,9% dos autos com coordenada caem no próprio município, contra 93,5% no painel; cf. seção 6, item 8) nem de fatos anteriores ao período (nenhum dos 378 autos com data de fato é anterior a 2008). Esses autos são, em média, menores (29,9% abaixo de 6,25 ha, contra 11,3% no restante) e o campo CLASSIFICACAO_AREA do IBAMA os associa predominantemente a propriedade particular (35,5%, contra 4,0%) e reserva legal (10,1%, contra 4,4%), e raramente a floresta nativa (4,8%, contra 22,8%). Registra-se a divergência sem hipótese sobre sua causa.</w:t>
      </w:r>
    </w:p>
    <w:p>
      <w:pPr>
        <w:pStyle w:val="Heading2"/>
      </w:pPr>
      <w:r>
        <w:t xml:space="preserve">3.3 Média 0-fill como ordenação principal</w:t>
      </w:r>
    </w:p>
    <w:p>
      <w:pPr>
        <w:ind w:firstLine="709"/>
      </w:pPr>
      <w:r>
        <w:t xml:space="preserve">EGS = 0 (não NULL) nos anos sem pressão; a ordenação do ranking é a média simples dos 18 anos. </w:t>
      </w:r>
      <w:r>
        <w:rPr>
          <w:b/>
          <w:bCs/>
        </w:rPr>
        <w:t xml:space="preserve">Identidade algébrica verificada nos dados</w:t>
      </w:r>
      <w:r>
        <w:t xml:space="preserve"> (desvio máximo ~1e-16; check com tolerância 0,01 sobre a coluna arredondada): média_0fill = severidade média nos anos com pressão × fração de anos com pressão. </w:t>
      </w:r>
      <w:r>
        <w:rPr>
          <w:b/>
          <w:bCs/>
        </w:rPr>
        <w:t xml:space="preserve">Testes de adoção: </w:t>
      </w:r>
      <w:r>
        <w:t xml:space="preserve">severidade e frequência correlacionam fortemente nos 552 municípios qualificados (Pearson 0,621; Spearman ~0,695); sobreposição 9/10 entre o top 10 por severidade pura e por 0-fill; o único divergente, Nova Nazaré (MT), maior severidade do dataset (1,384) com 2/18 anos de pressão (11 km² em 2008; 63 km² em 2017), cai a 0,154 e sai do topo: a decisão editorial documentada de um monitor de lacunas persistentes. O 0-fill também dispensa filtro arbitrário de N mínimo de anos (filtro ≥3 anos + severidade dá sobreposição 10/10 com o 0-fill).</w:t>
      </w:r>
    </w:p>
    <w:p>
      <w:pPr>
        <w:pStyle w:val="Heading2"/>
      </w:pPr>
      <w:r>
        <w:t xml:space="preserve">3.4 Colunas de situação recente</w:t>
      </w:r>
    </w:p>
    <w:p>
      <w:pPr>
        <w:ind w:firstLine="709"/>
      </w:pPr>
      <w:r>
        <w:t xml:space="preserve">Média 2023–2025 e slope OLS (computado manualmente como COVAR_POP/VAR_POP, espelhando cov/var do R; REGR_SLOPE nativo evitado por comportamento não verificado). </w:t>
      </w:r>
      <w:r>
        <w:rPr>
          <w:b/>
          <w:bCs/>
        </w:rPr>
        <w:t xml:space="preserve">Fragilidade validada com casos extremos: </w:t>
      </w:r>
      <w:r>
        <w:t xml:space="preserve">evento único em 2024 → slope +0,005 (Palmeiras do Tocantins); dois eventos 2008/2017 → −0,017 (Nova Nazaré): a distinção “problema novo vs. antigo” mora na segunda casa decimal quando há poucos pontos. Por isso o slope nunca é lido sozinho: acompanha a média recente e n_years_pressure como indicador de confiabilidade. A janela de 3 anos inclui 2025, cujo total no painel diverge -8,3% da taxa nacional consolidada, o maior dos quatro desvios de âncora (§4.1), e que segue sujeito a revisão em atualizações posteriores do PRODES.</w:t>
      </w:r>
    </w:p>
    <w:p>
      <w:pPr>
        <w:pStyle w:val="Heading2"/>
      </w:pPr>
      <w:r>
        <w:t xml:space="preserve">3.5 Deflação e escala</w:t>
      </w:r>
    </w:p>
    <w:p>
      <w:pPr>
        <w:ind w:firstLine="709"/>
      </w:pPr>
      <w:r>
        <w:t xml:space="preserve">Multiplicar o deflator após o SUM é equivalente a deflacionar auto a auto (o deflator é constante dentro do ano). Efeito no ranking: sobreposição 9/10 no top 10 nominal vs. deflacionado, Spearman ≈ 1,0: a deflação corrige magnitudes, quase não move posições. LOG é base 10 tanto no DuckDB quanto no R (log10() explícito nas duas pontas, não o log() natural do R), sincronizado deliberadamente: o piso (GREATEST/pmax) compara o denominador com uma constante fixa que não escala com a base logarítmica, então bases diferentes fariam o piso disparar em casos distintos em cada implementação.</w:t>
      </w:r>
    </w:p>
    <w:p>
      <w:pPr>
        <w:ind w:firstLine="709"/>
      </w:pPr>
      <w:r>
        <w:t>Os eixos são os dois termos da fórmula, e não grandezas escolhidas por conveniência: no eixo horizontal o numerador, log10(1 + km² desmatados); no vertical o denominador, a média geométrica de autos e multas deflacionadas, com o mesmo piso de 1 que o pipeline aplica. Como o EGS é a razão entre os dois, as linhas de EGS constante são retas que passam pela origem, com inclinação 1/EGS, e as três tracejadas marcam EGS 0,25, 0,5 e 1. A figura é um nomograma do índice, não uma dispersão com uma referência escolhida à mão: a versão anterior cruzava desmatamento com o valor das multas contra uma diagonal fixa de R$ 100 mil por km², que a sexta auditoria já havia registrado como não sendo o lugar geométrico de EGS = 1. Três leituras dependem disso. O piso do denominador é uma linha visível, e os 106 municípios que repousam sobre ela, entre os 639 desenhados, são aqueles cuja resposta federal a fórmula trata como ausente; Governador Luiz Rocha, o caso-âncora de lacuna absoluta, está entre eles. Os 133 municípios sem desmatamento algum no período não aparecem, porque uma razão entre pressão e resposta não tem o que dizer onde não houve pressão. E o gráfico aplica a fórmula aos totais de dezoito anos, enquanto o índice publicado é a média das razões anuais com 0-fill: entre os 639 desenhados as duas ordenações concordam a um Spearman de 0,503, o que é fraco. A figura desenha a fórmula, não reproduz o ranking, e a diferença mede quanto a escolha de agregação pesa neste índice. A cor indica o tipo de lacuna dominante e os nomes destacam os cinco casos-âncora discutidos no texto.</w:t>
      </w:r>
    </w:p>
    <w:p>
      <w:pPr>
        <w:jc w:val="center"/>
      </w:pPr>
      <w:r>
        <w:drawing>
          <wp:inline xmlns:a="http://schemas.openxmlformats.org/drawingml/2006/main" xmlns:pic="http://schemas.openxmlformats.org/drawingml/2006/picture">
            <wp:extent cx="5486400" cy="4114800"/>
            <wp:docPr id="1" name="07_loglog_scatter.png"/>
            <wp:cNvGraphicFramePr>
              <a:graphicFrameLocks noChangeAspect="1"/>
            </wp:cNvGraphicFramePr>
            <a:graphic>
              <a:graphicData uri="http://schemas.openxmlformats.org/drawingml/2006/picture">
                <pic:pic>
                  <pic:nvPicPr>
                    <pic:cNvPr id="0" name="01_deforestation_abs.png"/>
                    <pic:cNvPicPr/>
                  </pic:nvPicPr>
                  <pic:blipFill>
                    <a:blip r:embed="rId12"/>
                    <a:stretch>
                      <a:fillRect/>
                    </a:stretch>
                  </pic:blipFill>
                  <pic:spPr>
                    <a:xfrm>
                      <a:off x="0" y="0"/>
                      <a:ext cx="5486400" cy="4114800"/>
                    </a:xfrm>
                    <a:prstGeom prst="rect"/>
                  </pic:spPr>
                </pic:pic>
              </a:graphicData>
            </a:graphic>
          </wp:inline>
        </w:drawing>
      </w:r>
    </w:p>
    <w:p>
      <w:pPr>
        <w:jc w:val="center"/>
      </w:pPr>
      <w:r>
        <w:rPr>
          <w:i/>
          <w:color w:val="000000"/>
          <w:sz w:val="18"/>
        </w:rPr>
        <w:t>Figura 1. A fórmula do EGS desenhada: numerador contra denominador, com as retas de EGS constante. Abaixo de uma reta = EGS acima daquele valor.</w:t>
      </w:r>
    </w:p>
    <w:p>
      <w:pPr>
        <w:pStyle w:val="Heading1"/>
      </w:pPr>
      <w:r>
        <w:t xml:space="preserve">4. Validações</w:t>
      </w:r>
    </w:p>
    <w:p>
      <w:pPr>
        <w:pStyle w:val="Heading2"/>
      </w:pPr>
      <w:r>
        <w:t xml:space="preserve">4.1 Âncoras estruturais do PRODES</w:t>
      </w:r>
    </w:p>
    <w:p>
      <w:pPr>
        <w:ind w:firstLine="709"/>
      </w:pPr>
      <w:r>
        <w:t xml:space="preserve">Painel balanceado confirmado (772 × 18, sem lacunas); trajetória anual cruzada com a taxa oficial do INPE em quatro anos-âncora: 2008 +2,9% (13.289 aqui vs. 12.911 oficial), 2012 −3,2% (4.427 vs. 4.571 consolidado), 2024 −3,9% (6.263 vs. 6.518 consolidado), 2025 −8,3% (5.258 vs. 5.731 consolidado). Os quatro desvios são reportados individualmente, sem limiar de aprovação: o painel soma o export municipal do TerraBrasilis e a taxa oficial é apurada por estado sobre as cenas. São objetos distintos, e a comparação é um teste de ordem de grandeza, não de identidade. O desvio de 2025 é o maior. O export municipal usado aqui foi baixado em 25/04/2026, depois da consolidação de março de 2026; somas municipais e taxa estadual divergem por construção, e o ano mais recente segue sujeito a revisão em atualizações posteriores do PRODES: é a razão da nota “último ano sujeito a revisão”, mantida. Três correções de versões anteriores: (i) a afirmação “&lt;5%” para os quatro âncoras era falsa para 2025, já retirada; (ii) o âncora de 2024 vinha sendo comparado à estimativa preliminar de 6.288 km², divulgada em novembro de 2024 e superada pela taxa consolidada de 6.518 km² que o próprio INPE usa como base em sua nota técnica de 2025, e o desvio correto é −3,9%, não −0,4%; (iii) o âncora de 2025 vinha sendo comparado à estimativa preliminar de 5.796 km², de outubro de 2025, superada pela taxa consolidada de 5.731 km² divulgada pelo INPE em março de 2026, e o desvio correto é −8,3%, não −9,3%.</w:t>
      </w:r>
    </w:p>
    <w:p>
      <w:pPr>
        <w:pStyle w:val="Heading2"/>
      </w:pPr>
      <w:r>
        <w:t xml:space="preserve">4.2 Validação do same-year join</w:t>
      </w:r>
    </w:p>
    <w:p>
      <w:pPr>
        <w:ind w:firstLine="709"/>
      </w:pPr>
      <w:r>
        <w:t xml:space="preserve">As categorias do R são mutuamente exclusivas, sobre os 60.707 autos (a unidade é o auto, não o município-ano): 59,2% casam com pressão material no ano do auto </w:t>
      </w:r>
      <w:r>
        <w:rPr>
          <w:i/>
          <w:iCs/>
        </w:rPr>
        <w:t xml:space="preserve">e</w:t>
      </w:r>
      <w:r>
        <w:t xml:space="preserve"> no anterior; 4,7% só no mesmo ano; 1,0% só com defasagem de um ano; 35,1% nunca (parcela inflada por geocodes fora da Amazônia Legal). Match same-year total: 63,9%. O rótulo dessas categorias foi corrigido duas vezes em auditoria: a última (quarta auditoria) porque a prosa chamava de “same-year” a categoria both, subestimando a própria validação. Ressalva estrutural documentada: o “ano” PRODES vai de agosto a julho; o ano IBAMA é civil, então as janelas se sobrepõem em ~7 de 12 meses, e a validação de lag foi feita na base de ano civil. Parte do “lag” pode ser esse descompasso de calendário.</w:t>
      </w:r>
    </w:p>
    <w:p>
      <w:pPr>
        <w:ind w:firstLine="709"/>
      </w:pPr>
      <w:r>
        <w:t xml:space="preserve">A evidência que de fato discrimina entre as duas janelas é estreita: 59,2% dos autos casam com pressão material nos dois anos e 35,1% em nenhum, de modo que apenas 5,7% (4,7 contra 1,0) separam uma hipótese da outra. A distribuição mensal dos autos, com pico em setembro e outubro, não decide: a estação seca facilita tanto a supressão quanto a operação de campo do IBAMA, e as duas leituras preveem o mesmo padrão. O custo da escolha foi medido: atribuindo o auto do ano seguinte ao desmatamento do ano anterior, 724 dos 3.063 município-anos de lacuna absoluta (23,6%) deixariam essa categoria. O teste documenta a sensibilidade da janela adotada, não a justifica. As quatro proporções são invariantes ao filtro de escopo: os 33 municípios descartados têm área zero em todos os anos e nunca casaram em nenhuma das duas janelas.</w:t>
      </w:r>
    </w:p>
    <w:p>
      <w:pPr>
        <w:pStyle w:val="Heading2"/>
      </w:pPr>
      <w:r>
        <w:t xml:space="preserve">4.3 Replicações independentes</w:t>
      </w:r>
    </w:p>
    <w:p>
      <w:pPr>
        <w:ind w:firstLine="709"/>
      </w:pPr>
      <w:r>
        <w:t xml:space="preserve">O checkpoint de classificação (3.063 absolute_gap) reproduz em R e SQL: com a nota honesta de que as duas operacionalizações diferem (teste por registro individual nominal no R vs. soma deflacionada por município-ano no SQL); a concordância é empírica, sobre a população resultante. Auditorias externas sucessivas replicaram o pipeline inteiro a partir dos CSVs brutos em ambientes isolados; a mais recente (2026-08-03) reproduziu os 56 valores esperados exatamente, confirmou a ordem física dos parquets de produção, recomputou todos os números de caso citados em prosa e reconstruiu os coeficientes de painel e o event study em pyfixest, fora do R. Nota de reprodutibilidade: somas em ponto flutuante não são bit-reproduzíveis entre motores/threads. O total_desmatado_km2 pode divergir em ±0,1 em ~10 municípios, e egs/fine_values no último bit (~1e-16); a ordem física das linhas de egs_final também não é determinística entre execuções, embora os valores sejam idênticos linha a linha. Comparações exigem tolerância, e a do egs_ranking, cuja ordem é o próprio ranking, está fixada pelo check export_ranking_stale. A sexta auditoria acionou essa ressalva na prática: entre duas execuções do mesmo pipeline no mesmo ambiente, 7 municípios divergiram em ±0,1 km² em total_desmatado_km2, sem que nenhum avg_egs_18y ou posição do ranking mudasse.</w:t>
      </w:r>
    </w:p>
    <w:p>
      <w:pPr>
        <w:pStyle w:val="Heading2"/>
      </w:pPr>
      <w:r>
        <w:t xml:space="preserve">4.4 O que o índice acrescenta ao numerador</w:t>
      </w:r>
    </w:p>
    <w:p>
      <w:r>
        <w:t xml:space="preserve">Validação de construto, não resultado substantivo: as três verificações abaixo testam se o EGS mede algo que seus componentes não medem. As três são descritivas e usam apenas o painel publicado.</w:t>
      </w:r>
    </w:p>
    <w:p>
      <w:pPr>
        <w:pStyle w:val="Heading3"/>
      </w:pPr>
      <w:r>
        <w:t xml:space="preserve">4.4.1 Divergência do numerador</w:t>
      </w:r>
    </w:p>
    <w:p>
      <w:r>
        <w:t xml:space="preserve">O desmatamento acumulado correlaciona 0,967 com o EGS médio de 18 anos (Spearman, sobre os 772; sobre os 552 com pressão é 0,940, e o Pearson dos valores brutos é 0,417, porque a relação é monótona e não linear), e a leitura corrente dessa correlação é de redundância. Ela descreve o miolo, não as caudas. Entre os 552 municípios com pressão, o deslocamento mediano entre a posição no desmatamento e a posição no EGS é de 24 posições, o percentil 90 é 97, e 51 municípios (9%) se deslocam mais de 100 posições. Nos extremos: Novo Progresso (PA) é o 7º em desmatamento e o 205º em lacuna, com 1.148 autos e R$ 2,22 bilhões em multas; Lábrea (AM) é o 4º e o 201º, com 1.576 autos e R$ 2,28 bilhões; Porto Velho (RO) é o 3º e o 199º, com 2.938 autos e R$ 1,37 bilhão. Na direção oposta, Governador Luiz Rocha (MA) é o 200º em desmatamento e o 54º em lacuna, com zero autos e zero reais em dezoito anos, e Fortuna (MA) é o 197º e o 59º, com um auto. Um mapa de desmatamento aponta para o Pará; o índice aponta para o Maranhão.</w:t>
      </w:r>
    </w:p>
    <w:p>
      <w:pPr>
        <w:ind w:firstLine="709"/>
      </w:pPr>
      <w:r>
        <w:t>Desmatamento acumulado em km² absolutos por município, em quintis: o numerador bruto da fórmula do EGS. Correlaciona 0,967 com o índice, e essa correlação descreve o miolo, não as caudas: entre este mapa e a figura 5 o município mediano se desloca 24 posições e 51 se deslocam mais de cem (cf. 4.4.1). Duas advertências de leitura. A variável é extensiva, então o mapa desenha tamanho de município tanto quanto desmatamento, e é a figura 3 que corrige isso. E o quintil iguala a contagem de municípios, não a área: os quintis 4 e 5 reúnem 40% dos municípios e 74% do território desenhado, o que faz o mapa parecer mais escuro do que a classificação promete.</w:t>
      </w:r>
    </w:p>
    <w:p>
      <w:pPr>
        <w:jc w:val="center"/>
      </w:pPr>
      <w:r>
        <w:drawing>
          <wp:inline xmlns:a="http://schemas.openxmlformats.org/drawingml/2006/main" xmlns:pic="http://schemas.openxmlformats.org/drawingml/2006/picture">
            <wp:extent cx="5486400" cy="4800600"/>
            <wp:docPr id="1" name="01_deforestation_abs.png"/>
            <wp:cNvGraphicFramePr>
              <a:graphicFrameLocks noChangeAspect="1"/>
            </wp:cNvGraphicFramePr>
            <a:graphic>
              <a:graphicData uri="http://schemas.openxmlformats.org/drawingml/2006/picture">
                <pic:pic>
                  <pic:nvPicPr>
                    <pic:cNvPr id="0" name="01_deforestation_abs.png"/>
                    <pic:cNvPicPr/>
                  </pic:nvPicPr>
                  <pic:blipFill>
                    <a:blip r:embed="rId8"/>
                    <a:stretch>
                      <a:fillRect/>
                    </a:stretch>
                  </pic:blipFill>
                  <pic:spPr>
                    <a:xfrm>
                      <a:off x="0" y="0"/>
                      <a:ext cx="5486400" cy="4800600"/>
                    </a:xfrm>
                    <a:prstGeom prst="rect"/>
                  </pic:spPr>
                </pic:pic>
              </a:graphicData>
            </a:graphic>
          </wp:inline>
        </w:drawing>
      </w:r>
    </w:p>
    <w:p>
      <w:pPr>
        <w:jc w:val="center"/>
      </w:pPr>
      <w:r>
        <w:rPr>
          <w:i/>
          <w:color w:val="000000"/>
          <w:sz w:val="18"/>
        </w:rPr>
        <w:t>Figura 2. Desmatamento acumulado absoluto (km²) por quintil, entre os 552 municípios com pressão; cinza = sem pressão; contorno grosso = top 20 EGS.</w:t>
      </w:r>
    </w:p>
    <w:p>
      <w:r>
        <w:t>O mesmo numerador da figura 2, normalizado pela área do município. É a resposta ao problema da unidade areal modificável: o desmatamento absoluto correlaciona 0,58 com a área territorial do próprio município, e o percentual, 0,16. A comparação entre as duas figuras é o argumento: o quintil mediano do Amazonas cai de 3,0 para 1,0 e o do Maranhão sobe de 2,0 para 4,0, porque a primeira infla municípios grandes e afunda municípios pequenos.</w:t>
      </w:r>
    </w:p>
    <w:p>
      <w:pPr>
        <w:jc w:val="center"/>
      </w:pPr>
      <w:r>
        <w:drawing>
          <wp:inline xmlns:a="http://schemas.openxmlformats.org/drawingml/2006/main" xmlns:pic="http://schemas.openxmlformats.org/drawingml/2006/picture">
            <wp:extent cx="5486400" cy="4800600"/>
            <wp:docPr id="1" name="02_deforestation_pct.png"/>
            <wp:cNvGraphicFramePr>
              <a:graphicFrameLocks noChangeAspect="1"/>
            </wp:cNvGraphicFramePr>
            <a:graphic>
              <a:graphicData uri="http://schemas.openxmlformats.org/drawingml/2006/picture">
                <pic:pic>
                  <pic:nvPicPr>
                    <pic:cNvPr id="0" name="01_deforestation_abs.png"/>
                    <pic:cNvPicPr/>
                  </pic:nvPicPr>
                  <pic:blipFill>
                    <a:blip r:embed="rId10"/>
                    <a:stretch>
                      <a:fillRect/>
                    </a:stretch>
                  </pic:blipFill>
                  <pic:spPr>
                    <a:xfrm>
                      <a:off x="0" y="0"/>
                      <a:ext cx="5486400" cy="4800600"/>
                    </a:xfrm>
                    <a:prstGeom prst="rect"/>
                  </pic:spPr>
                </pic:pic>
              </a:graphicData>
            </a:graphic>
          </wp:inline>
        </w:drawing>
      </w:r>
    </w:p>
    <w:p>
      <w:pPr>
        <w:jc w:val="center"/>
      </w:pPr>
      <w:r>
        <w:rPr>
          <w:i/>
          <w:color w:val="000000"/>
          <w:sz w:val="18"/>
        </w:rPr>
        <w:t>Figura 3. Percentual do território municipal desmatado (2008-2025), por quintil; cinza = sem pressão; contorno grosso = top 20 EGS.</w:t>
      </w:r>
    </w:p>
    <w:p>
      <w:pPr>
        <w:pStyle w:val="Heading3"/>
      </w:pPr>
      <w:r>
        <w:t xml:space="preserve">4.4.2 O índice não é um proxy invertido de volume de fiscalização</w:t>
      </w:r>
    </w:p>
    <w:p>
      <w:r>
        <w:t>A objeção mais forte ao EGS é que ele apenas inverta a presença federal. A predição falseável é direta: se fosse esse o caso, os municípios que mais recebem fiscalização não poderiam estar piorando. Entre os 107 municípios cuja média recente de EGS supera a histórica em 0,05 ou mais, a maior mancha contígua reúne 35 no norte do Mato Grosso, com mediana de 79 autos e R$ 157,7 milhões em multas. O grupo de comparação sai da mesma regra, invertida e vizinha: os 33 municípios que melhoram em 0,05 ou mais e tocam essa mancha, distribuídos por MT (21), RO (6), PA (3), AM (2) e TO (1), com mediana de 46 autos e R$ 38,1 milhões. Os que pioram recebem quase o dobro dos autos e mais de quatro vezes as multas dos vizinhos imediatos que melhoram, e pioram assim mesmo. O índice está medindo proporção entre pressão e resposta, não volume de resposta.</w:t>
      </w:r>
    </w:p>
    <w:p>
      <w:r>
        <w:t xml:space="preserve">O denominador do índice tal como a fórmula o define: a média geométrica dos dois componentes da resposta, raiz de log(1+autos) vezes log(1+multas), calculada no grão municipal sobre os totais de dezoito anos. Mapear apenas o valor das multas contradiria o índice justamente nos casos que a seção 3 usa para justificar a média geométrica: Piçarra (PA) tem um único auto de R$ 123 milhões, que por valor seria resposta máxima e no denominador cai para o primeiro quintil, porque a média colapsa quando um dos fatores é pequeno. Quintil de rank pelo mesmo motivo das demais figuras. Duas categorias ficam fora da rampa: os 220 sem pressão medida, no mesmo cinza das outras figuras, e os 66 que tiveram pressão material e nunca foram multados, que são a lacuna absoluta no grão municipal. O piso GREATEST(1, .) da fórmula não é aplicado aqui: é um dispositivo anual, e sobre totais de dezoito anos ele seria inerte pelo mesmo motivo que a seção 3.1 mede no grão anual.</w:t>
      </w:r>
    </w:p>
    <w:p>
      <w:pPr>
        <w:jc w:val="center"/>
      </w:pPr>
      <w:r>
        <w:drawing>
          <wp:inline xmlns:a="http://schemas.openxmlformats.org/drawingml/2006/main" xmlns:pic="http://schemas.openxmlformats.org/drawingml/2006/picture">
            <wp:extent cx="5486400" cy="4800600"/>
            <wp:docPr id="1" name="03_fines_map.png"/>
            <wp:cNvGraphicFramePr>
              <a:graphicFrameLocks noChangeAspect="1"/>
            </wp:cNvGraphicFramePr>
            <a:graphic>
              <a:graphicData uri="http://schemas.openxmlformats.org/drawingml/2006/picture">
                <pic:pic>
                  <pic:nvPicPr>
                    <pic:cNvPr id="0" name="01_deforestation_abs.png"/>
                    <pic:cNvPicPr/>
                  </pic:nvPicPr>
                  <pic:blipFill>
                    <a:blip r:embed="rId90"/>
                    <a:stretch>
                      <a:fillRect/>
                    </a:stretch>
                  </pic:blipFill>
                  <pic:spPr>
                    <a:xfrm>
                      <a:off x="0" y="0"/>
                      <a:ext cx="5486400" cy="4800600"/>
                    </a:xfrm>
                    <a:prstGeom prst="rect"/>
                  </pic:spPr>
                </pic:pic>
              </a:graphicData>
            </a:graphic>
          </wp:inline>
        </w:drawing>
      </w:r>
    </w:p>
    <w:p>
      <w:pPr>
        <w:jc w:val="center"/>
      </w:pPr>
      <w:r>
        <w:rPr>
          <w:i/>
          <w:color w:val="000000"/>
          <w:sz w:val="18"/>
        </w:rPr>
        <w:t>Figura 4. Resposta federal (média geométrica de autos e multas deflacionadas), por quintil, entre os 486 municípios com pressão e com multa; vermelho = pressão sem multa (66); cinza = sem pressão (220).</w:t>
      </w:r>
    </w:p>
    <w:p>
      <w:pPr>
        <w:pStyle w:val="Heading3"/>
      </w:pPr>
      <w:r>
        <w:t xml:space="preserve">4.4.3 Os casos que nenhum componente encontra sozinho</w:t>
      </w:r>
    </w:p>
    <w:p>
      <w:r>
        <w:t xml:space="preserve">Os 107 municípios em piora formam 29 manchas contíguas, das quais duas concentram 59 deles e são regimes opostos. A primeira, 35 municípios no norte do Mato Grosso (34 em MT, 1 em RO), está no quintil 5 de desmatamento e no 4 de percentual desmatado, com mediana de 79 autos, nenhum município sem multa e R$ 7,14 bilhões acumulados. A segunda, 24 municípios no Solimões e no centro do Amazonas (23 em AM, 1 em RR), está no quintil 2,5 de desmatamento e no quintil 1 de percentual desmatado, com mediana de dois autos, um quarto nunca multado e R$ 116 milhões no total. A segunda mancha ocupa 583 mil km², mais território que a primeira, com um onze avos do desmatamento e um sessenta e dois avos das multas; a razão entre as multas medianas das duas é de 1 para 1.677. Nenhum mapa de pressão apontaria a segunda, porque em termos de desmatamento ela é irrelevante, e nenhum mapa de resposta a apontaria, porque fiscalização baixa em área sem pressão é o comportamento esperado. Apenas a razão entre os dois a encontra.</w:t>
      </w:r>
    </w:p>
    <w:p>
      <w:r>
        <w:t>Ressalva metodológica sobre 4.4.2 e 4.4.3: a medida de tendência é avg_egs_3y menos avg_egs_18y, e os três anos recentes integram a média de dezoito, o que introduz regressão à média. Entre os 552 com pressão em algum ano, o Spearman entre o nível histórico e a variação é -0,173, isto é, existe e é fraco, e a operacionalização concorrente, o coeficiente angular de 18 anos (slope_egs), concorda em sinal com esta em 71% (a comparação exclui o único município cuja variação é exatamente zero, onde não há sinal a comparar). Duas advertências sobre esses dois números. Eles descrevem os 552, e as figuras 7 e 8 classificam em faixas apenas os 391 com pressão material em 2023-2025: restrito a esses, o Spearman vai a -0,276 e a concordância com slope_egs cai a 63%. E o lado da melhora é o frágil: dos 401 municípios cuja média recente é menor que a histórica, 161, ou 40%, têm média recente exatamente zero, ou seja pressão que cessou e não lacuna que fechou. O lado da piora não sofre disso: nenhum dos 107 de 4.4.2 tem pressão recente zerada.</w:t>
      </w:r>
    </w:p>
    <w:p>
      <w:pPr>
        <w:pStyle w:val="Heading1"/>
      </w:pPr>
      <w:r>
        <w:t xml:space="preserve">5. Resultados</w:t>
      </w:r>
    </w:p>
    <w:p>
      <w:pPr>
        <w:pStyle w:val="Heading2"/>
      </w:pPr>
      <w:r>
        <w:t xml:space="preserve">5.1 Classificação (13.896 município-anos)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6100"/>
      </w:tblGrid>
      <w:tr>
        <w:trPr>
          <w:cantSplit/>
          <w:tblHeader/>
        </w:trPr>
        <w:tc>
          <w:tcPr>
            <w:tcW w:type="dxa" w:w="1700"/>
            <w:shd w:fill="DDE5DC" w:val="clear"/>
            <w:tcMar>
              <w:top w:type="dxa" w:w="50"/>
              <w:left w:type="dxa" w:w="90"/>
              <w:bottom w:type="dxa" w:w="50"/>
              <w:right w:type="dxa" w:w="90"/>
            </w:tcMar>
          </w:tcPr>
          <w:p>
            <w:pPr>
              <w:spacing w:after="0"/>
            </w:pPr>
            <w:r>
              <w:rPr>
                <w:b/>
                <w:bCs/>
                <w:sz w:val="17"/>
                <w:szCs w:val="17"/>
              </w:rPr>
              <w:t xml:space="preserve">Categoria</w:t>
            </w:r>
          </w:p>
        </w:tc>
        <w:tc>
          <w:tcPr>
            <w:tcW w:type="dxa" w:w="900"/>
            <w:shd w:fill="DDE5DC" w:val="clear"/>
            <w:tcMar>
              <w:top w:type="dxa" w:w="50"/>
              <w:left w:type="dxa" w:w="90"/>
              <w:bottom w:type="dxa" w:w="50"/>
              <w:right w:type="dxa" w:w="90"/>
            </w:tcMar>
          </w:tcPr>
          <w:p>
            <w:pPr>
              <w:spacing w:after="0"/>
            </w:pPr>
            <w:r>
              <w:rPr>
                <w:b/>
                <w:bCs/>
                <w:sz w:val="17"/>
                <w:szCs w:val="17"/>
              </w:rPr>
              <w:t xml:space="preserve">n</w:t>
            </w:r>
          </w:p>
        </w:tc>
        <w:tc>
          <w:tcPr>
            <w:tcW w:type="dxa" w:w="900"/>
            <w:shd w:fill="DDE5DC" w:val="clear"/>
            <w:tcMar>
              <w:top w:type="dxa" w:w="50"/>
              <w:left w:type="dxa" w:w="90"/>
              <w:bottom w:type="dxa" w:w="50"/>
              <w:right w:type="dxa" w:w="90"/>
            </w:tcMar>
          </w:tcPr>
          <w:p>
            <w:pPr>
              <w:spacing w:after="0"/>
            </w:pPr>
            <w:r>
              <w:rPr>
                <w:b/>
                <w:bCs/>
                <w:sz w:val="17"/>
                <w:szCs w:val="17"/>
              </w:rPr>
              <w:t xml:space="preserve">%</w:t>
            </w:r>
          </w:p>
        </w:tc>
        <w:tc>
          <w:tcPr>
            <w:tcW w:type="dxa" w:w="6100"/>
            <w:shd w:fill="DDE5DC" w:val="clear"/>
            <w:tcMar>
              <w:top w:type="dxa" w:w="50"/>
              <w:left w:type="dxa" w:w="90"/>
              <w:bottom w:type="dxa" w:w="50"/>
              <w:right w:type="dxa" w:w="90"/>
            </w:tcMar>
          </w:tcPr>
          <w:p>
            <w:pPr>
              <w:spacing w:after="0"/>
            </w:pPr>
            <w:r>
              <w:rPr>
                <w:b/>
                <w:bCs/>
                <w:sz w:val="17"/>
                <w:szCs w:val="17"/>
              </w:rPr>
              <w:t xml:space="preserve">Definição</w:t>
            </w:r>
          </w:p>
        </w:tc>
      </w:tr>
      <w:tr>
        <w:tc>
          <w:tcPr>
            <w:tcW w:type="dxa" w:w="1700"/>
            <w:tcMar>
              <w:top w:type="dxa" w:w="40"/>
              <w:left w:type="dxa" w:w="90"/>
              <w:bottom w:type="dxa" w:w="40"/>
              <w:right w:type="dxa" w:w="90"/>
            </w:tcMar>
          </w:tcPr>
          <w:p>
            <w:pPr>
              <w:spacing w:after="0"/>
            </w:pPr>
            <w:r>
              <w:rPr>
                <w:sz w:val="17"/>
                <w:szCs w:val="17"/>
              </w:rPr>
              <w:t xml:space="preserve">no_pressure</w:t>
            </w:r>
          </w:p>
        </w:tc>
        <w:tc>
          <w:tcPr>
            <w:tcW w:type="dxa" w:w="900"/>
            <w:tcMar>
              <w:top w:type="dxa" w:w="40"/>
              <w:left w:type="dxa" w:w="90"/>
              <w:bottom w:type="dxa" w:w="40"/>
              <w:right w:type="dxa" w:w="90"/>
            </w:tcMar>
          </w:tcPr>
          <w:p>
            <w:pPr>
              <w:spacing w:after="0"/>
            </w:pPr>
            <w:r>
              <w:rPr>
                <w:sz w:val="17"/>
                <w:szCs w:val="17"/>
              </w:rPr>
              <w:t xml:space="preserve">7.548</w:t>
            </w:r>
          </w:p>
        </w:tc>
        <w:tc>
          <w:tcPr>
            <w:tcW w:type="dxa" w:w="900"/>
            <w:tcMar>
              <w:top w:type="dxa" w:w="40"/>
              <w:left w:type="dxa" w:w="90"/>
              <w:bottom w:type="dxa" w:w="40"/>
              <w:right w:type="dxa" w:w="90"/>
            </w:tcMar>
          </w:tcPr>
          <w:p>
            <w:pPr>
              <w:spacing w:after="0"/>
            </w:pPr>
            <w:r>
              <w:rPr>
                <w:sz w:val="17"/>
                <w:szCs w:val="17"/>
              </w:rPr>
              <w:t xml:space="preserve">54,3%</w:t>
            </w:r>
          </w:p>
        </w:tc>
        <w:tc>
          <w:tcPr>
            <w:tcW w:type="dxa" w:w="6100"/>
            <w:tcMar>
              <w:top w:type="dxa" w:w="40"/>
              <w:left w:type="dxa" w:w="90"/>
              <w:bottom w:type="dxa" w:w="40"/>
              <w:right w:type="dxa" w:w="90"/>
            </w:tcMar>
          </w:tcPr>
          <w:p>
            <w:pPr>
              <w:spacing w:after="0"/>
            </w:pPr>
            <w:r>
              <w:rPr>
                <w:sz w:val="17"/>
                <w:szCs w:val="17"/>
              </w:rPr>
              <w:t xml:space="preserve">área do ano &lt; 1 km²</w:t>
            </w:r>
          </w:p>
        </w:tc>
      </w:tr>
      <w:tr>
        <w:tc>
          <w:tcPr>
            <w:tcW w:type="dxa" w:w="1700"/>
            <w:tcMar>
              <w:top w:type="dxa" w:w="40"/>
              <w:left w:type="dxa" w:w="90"/>
              <w:bottom w:type="dxa" w:w="40"/>
              <w:right w:type="dxa" w:w="90"/>
            </w:tcMar>
          </w:tcPr>
          <w:p>
            <w:pPr>
              <w:spacing w:after="0"/>
            </w:pPr>
            <w:r>
              <w:rPr>
                <w:sz w:val="17"/>
                <w:szCs w:val="17"/>
              </w:rPr>
              <w:t xml:space="preserve">absolute_gap</w:t>
            </w:r>
          </w:p>
        </w:tc>
        <w:tc>
          <w:tcPr>
            <w:tcW w:type="dxa" w:w="900"/>
            <w:tcMar>
              <w:top w:type="dxa" w:w="40"/>
              <w:left w:type="dxa" w:w="90"/>
              <w:bottom w:type="dxa" w:w="40"/>
              <w:right w:type="dxa" w:w="90"/>
            </w:tcMar>
          </w:tcPr>
          <w:p>
            <w:pPr>
              <w:spacing w:after="0"/>
            </w:pPr>
            <w:r>
              <w:rPr>
                <w:sz w:val="17"/>
                <w:szCs w:val="17"/>
              </w:rPr>
              <w:t xml:space="preserve">3.063</w:t>
            </w:r>
          </w:p>
        </w:tc>
        <w:tc>
          <w:tcPr>
            <w:tcW w:type="dxa" w:w="900"/>
            <w:tcMar>
              <w:top w:type="dxa" w:w="40"/>
              <w:left w:type="dxa" w:w="90"/>
              <w:bottom w:type="dxa" w:w="40"/>
              <w:right w:type="dxa" w:w="90"/>
            </w:tcMar>
          </w:tcPr>
          <w:p>
            <w:pPr>
              <w:spacing w:after="0"/>
            </w:pPr>
            <w:r>
              <w:rPr>
                <w:sz w:val="17"/>
                <w:szCs w:val="17"/>
              </w:rPr>
              <w:t xml:space="preserve">22,0%</w:t>
            </w:r>
          </w:p>
        </w:tc>
        <w:tc>
          <w:tcPr>
            <w:tcW w:type="dxa" w:w="6100"/>
            <w:tcMar>
              <w:top w:type="dxa" w:w="40"/>
              <w:left w:type="dxa" w:w="90"/>
              <w:bottom w:type="dxa" w:w="40"/>
              <w:right w:type="dxa" w:w="90"/>
            </w:tcMar>
          </w:tcPr>
          <w:p>
            <w:pPr>
              <w:spacing w:after="0"/>
            </w:pPr>
            <w:r>
              <w:rPr>
                <w:sz w:val="17"/>
                <w:szCs w:val="17"/>
              </w:rPr>
              <w:t xml:space="preserve">pressão material; multas do ano &lt; R$ 0,01</w:t>
            </w:r>
          </w:p>
        </w:tc>
      </w:tr>
      <w:tr>
        <w:tc>
          <w:tcPr>
            <w:tcW w:type="dxa" w:w="1700"/>
            <w:tcMar>
              <w:top w:type="dxa" w:w="40"/>
              <w:left w:type="dxa" w:w="90"/>
              <w:bottom w:type="dxa" w:w="40"/>
              <w:right w:type="dxa" w:w="90"/>
            </w:tcMar>
          </w:tcPr>
          <w:p>
            <w:pPr>
              <w:spacing w:after="0"/>
            </w:pPr>
            <w:r>
              <w:rPr>
                <w:sz w:val="17"/>
                <w:szCs w:val="17"/>
              </w:rPr>
              <w:t xml:space="preserve">measured_gap</w:t>
            </w:r>
          </w:p>
        </w:tc>
        <w:tc>
          <w:tcPr>
            <w:tcW w:type="dxa" w:w="900"/>
            <w:tcMar>
              <w:top w:type="dxa" w:w="40"/>
              <w:left w:type="dxa" w:w="90"/>
              <w:bottom w:type="dxa" w:w="40"/>
              <w:right w:type="dxa" w:w="90"/>
            </w:tcMar>
          </w:tcPr>
          <w:p>
            <w:pPr>
              <w:spacing w:after="0"/>
            </w:pPr>
            <w:r>
              <w:rPr>
                <w:sz w:val="17"/>
                <w:szCs w:val="17"/>
              </w:rPr>
              <w:t xml:space="preserve">3.285</w:t>
            </w:r>
          </w:p>
        </w:tc>
        <w:tc>
          <w:tcPr>
            <w:tcW w:type="dxa" w:w="900"/>
            <w:tcMar>
              <w:top w:type="dxa" w:w="40"/>
              <w:left w:type="dxa" w:w="90"/>
              <w:bottom w:type="dxa" w:w="40"/>
              <w:right w:type="dxa" w:w="90"/>
            </w:tcMar>
          </w:tcPr>
          <w:p>
            <w:pPr>
              <w:spacing w:after="0"/>
            </w:pPr>
            <w:r>
              <w:rPr>
                <w:sz w:val="17"/>
                <w:szCs w:val="17"/>
              </w:rPr>
              <w:t xml:space="preserve">23,6%</w:t>
            </w:r>
          </w:p>
        </w:tc>
        <w:tc>
          <w:tcPr>
            <w:tcW w:type="dxa" w:w="6100"/>
            <w:tcMar>
              <w:top w:type="dxa" w:w="40"/>
              <w:left w:type="dxa" w:w="90"/>
              <w:bottom w:type="dxa" w:w="40"/>
              <w:right w:type="dxa" w:w="90"/>
            </w:tcMar>
          </w:tcPr>
          <w:p>
            <w:pPr>
              <w:spacing w:after="0"/>
            </w:pPr>
            <w:r>
              <w:rPr>
                <w:sz w:val="17"/>
                <w:szCs w:val="17"/>
              </w:rPr>
              <w:t xml:space="preserve">pressão e resposta presentes; o EGS quantifica a desproporção</w:t>
            </w:r>
          </w:p>
        </w:tc>
      </w:tr>
    </w:tbl>
    <w:p/>
    <w:p>
      <w:pPr>
        <w:ind w:firstLine="709"/>
      </w:pPr>
      <w:r>
        <w:t xml:space="preserve">552 dos 772 municípios têm ao menos um ano de pressão. Assimetria documentada: anos absolute_gap pontuam mais alto em média que measured_gap (0,723 vs. 0,582): o piso nunca os desconta, coerente com a leitura declarada de que resposta zero é lacuna mais grave que resposta desproporcional. A categoria absolute_gap agrega dois casos tratados de forma idêntica pela fórmula: ausência total de autuação e autuação lavrada com multa nula ou próxima de zero.</w:t>
      </w:r>
    </w:p>
    <w:p>
      <w:pPr>
        <w:ind w:firstLine="709"/>
      </w:pPr>
      <w:r>
        <w:t xml:space="preserve">O limiar de R$ 0,01 que separa absolute_gap de measured_gap não é um parâmetro calibrado: é o menor valor monetário representável, escolhido para que a categoria signifique ausência de resposta com valor, e não resposta de valor baixo. A fronteira é o zero, e o centavo apenas o operacionaliza em aritmética de ponto flutuante. Isso explica o segundo caso da categoria: autos com valor de multa ausente na fonte (356 dos 60.707, ou 0,6%) contam em n_autos mas somam zero em multas, e o município-ano cai em absolute_gap mesmo tendo autuação registrada. A classificação usa o valor deflacionado, não o nominal, o que afasta do limiar os valores mais antigos.</w:t>
      </w:r>
    </w:p>
    <w:p>
      <w:pPr>
        <w:ind w:firstLine="709"/>
      </w:pPr>
      <w:r>
        <w:t xml:space="preserve">O mapa classifica os 772 municípios por quintil do EGS médio ao longo de 18 anos (2008–2025), o indicador central do sistema; quanto mais escura a cor, maior a lacuna crônica entre desmatamento e resposta fiscal.</w:t>
      </w:r>
    </w:p>
    <w:p>
      <w:pPr>
        <w:jc w:val="center"/>
      </w:pPr>
      <w:r>
        <w:drawing>
          <wp:inline xmlns:a="http://schemas.openxmlformats.org/drawingml/2006/main" xmlns:pic="http://schemas.openxmlformats.org/drawingml/2006/picture">
            <wp:extent cx="5486400" cy="4800600"/>
            <wp:docPr id="1" name="04_egs_mean18y.png"/>
            <wp:cNvGraphicFramePr>
              <a:graphicFrameLocks noChangeAspect="1"/>
            </wp:cNvGraphicFramePr>
            <a:graphic>
              <a:graphicData uri="http://schemas.openxmlformats.org/drawingml/2006/picture">
                <pic:pic>
                  <pic:nvPicPr>
                    <pic:cNvPr id="0" name="01_deforestation_abs.png"/>
                    <pic:cNvPicPr/>
                  </pic:nvPicPr>
                  <pic:blipFill>
                    <a:blip r:embed="rId9"/>
                    <a:stretch>
                      <a:fillRect/>
                    </a:stretch>
                  </pic:blipFill>
                  <pic:spPr>
                    <a:xfrm>
                      <a:off x="0" y="0"/>
                      <a:ext cx="5486400" cy="4800600"/>
                    </a:xfrm>
                    <a:prstGeom prst="rect"/>
                  </pic:spPr>
                </pic:pic>
              </a:graphicData>
            </a:graphic>
          </wp:inline>
        </w:drawing>
      </w:r>
    </w:p>
    <w:p>
      <w:pPr>
        <w:jc w:val="center"/>
      </w:pPr>
      <w:r>
        <w:rPr>
          <w:i/>
          <w:color w:val="000000"/>
          <w:sz w:val="18"/>
        </w:rPr>
        <w:t>Figura 5. EGS médio de 18 anos por quintil (ordinal), entre os 552 com pressão; cinza = sem pressão; contorno grosso = top 20 EGS.</w:t>
      </w:r>
    </w:p>
    <w:p>
      <w:pPr>
        <w:ind w:firstLine="709"/>
      </w:pPr>
      <w:r>
        <w:t>A série mostra, ano a ano, a situação anual dos 772 municípios (lacuna absoluta, lacuna medida ou sem pressão) e a área total desmatada, em dois painéis sobre o mesmo eixo de anos; revela o choque de capacidade fiscalizatória entre 2019 e 2022, com a inversão entre lacuna absoluta e lacuna medida em 2020, 2021 e 2022.</w:t>
      </w:r>
    </w:p>
    <w:p>
      <w:pPr>
        <w:jc w:val="center"/>
      </w:pPr>
      <w:r>
        <w:drawing>
          <wp:inline xmlns:a="http://schemas.openxmlformats.org/drawingml/2006/main" xmlns:pic="http://schemas.openxmlformats.org/drawingml/2006/picture">
            <wp:extent cx="5486400" cy="4114800"/>
            <wp:docPr id="1" name="06_annual_series.png"/>
            <wp:cNvGraphicFramePr>
              <a:graphicFrameLocks noChangeAspect="1"/>
            </wp:cNvGraphicFramePr>
            <a:graphic>
              <a:graphicData uri="http://schemas.openxmlformats.org/drawingml/2006/picture">
                <pic:pic>
                  <pic:nvPicPr>
                    <pic:cNvPr id="0" name="01_deforestation_abs.png"/>
                    <pic:cNvPicPr/>
                  </pic:nvPicPr>
                  <pic:blipFill>
                    <a:blip r:embed="rId11"/>
                    <a:stretch>
                      <a:fillRect/>
                    </a:stretch>
                  </pic:blipFill>
                  <pic:spPr>
                    <a:xfrm>
                      <a:off x="0" y="0"/>
                      <a:ext cx="5486400" cy="4114800"/>
                    </a:xfrm>
                    <a:prstGeom prst="rect"/>
                  </pic:spPr>
                </pic:pic>
              </a:graphicData>
            </a:graphic>
          </wp:inline>
        </w:drawing>
      </w:r>
    </w:p>
    <w:p>
      <w:pPr>
        <w:jc w:val="center"/>
      </w:pPr>
      <w:r>
        <w:rPr>
          <w:i/>
          <w:color w:val="000000"/>
          <w:sz w:val="18"/>
        </w:rPr>
        <w:t>Figura 6. Série anual: situação dos 772 municípios e área desmatada, em painéis separados sobre o mesmo eixo de anos. A faixa marca 2020-2022, os anos em que a lacuna absoluta supera a medida.</w:t>
      </w:r>
    </w:p>
    <w:p>
      <w:pPr>
        <w:pStyle w:val="Heading2"/>
      </w:pPr>
      <w:r>
        <w:t xml:space="preserve">5.2 Top 20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450"/>
        <w:gridCol w:w="2500"/>
        <w:gridCol w:w="550"/>
        <w:gridCol w:w="1000"/>
        <w:gridCol w:w="1100"/>
        <w:gridCol w:w="1100"/>
      </w:tblGrid>
      <w:tr>
        <w:trPr>
          <w:cantSplit/>
          <w:tblHeader/>
        </w:trPr>
        <w:tc>
          <w:tcPr>
            <w:tcW w:type="dxa" w:w="450"/>
            <w:shd w:fill="DDE5DC" w:val="clear"/>
            <w:tcMar>
              <w:top w:type="dxa" w:w="50"/>
              <w:left w:type="dxa" w:w="90"/>
              <w:bottom w:type="dxa" w:w="50"/>
              <w:right w:type="dxa" w:w="90"/>
            </w:tcMar>
          </w:tcPr>
          <w:p>
            <w:pPr>
              <w:spacing w:after="0"/>
            </w:pPr>
            <w:r>
              <w:rPr>
                <w:b/>
                <w:bCs/>
                <w:sz w:val="17"/>
                <w:szCs w:val="17"/>
              </w:rPr>
              <w:t xml:space="preserve">#</w:t>
            </w:r>
          </w:p>
        </w:tc>
        <w:tc>
          <w:tcPr>
            <w:tcW w:type="dxa" w:w="2500"/>
            <w:shd w:fill="DDE5DC" w:val="clear"/>
            <w:tcMar>
              <w:top w:type="dxa" w:w="50"/>
              <w:left w:type="dxa" w:w="90"/>
              <w:bottom w:type="dxa" w:w="50"/>
              <w:right w:type="dxa" w:w="90"/>
            </w:tcMar>
          </w:tcPr>
          <w:p>
            <w:pPr>
              <w:spacing w:after="0"/>
            </w:pPr>
            <w:r>
              <w:rPr>
                <w:b/>
                <w:bCs/>
                <w:sz w:val="17"/>
                <w:szCs w:val="17"/>
              </w:rPr>
              <w:t xml:space="preserve">Município</w:t>
            </w:r>
          </w:p>
        </w:tc>
        <w:tc>
          <w:tcPr>
            <w:tcW w:type="dxa" w:w="550"/>
            <w:shd w:fill="DDE5DC" w:val="clear"/>
            <w:tcMar>
              <w:top w:type="dxa" w:w="50"/>
              <w:left w:type="dxa" w:w="90"/>
              <w:bottom w:type="dxa" w:w="50"/>
              <w:right w:type="dxa" w:w="90"/>
            </w:tcMar>
          </w:tcPr>
          <w:p>
            <w:pPr>
              <w:spacing w:after="0"/>
            </w:pPr>
            <w:r>
              <w:rPr>
                <w:b/>
                <w:bCs/>
                <w:sz w:val="17"/>
                <w:szCs w:val="17"/>
              </w:rPr>
              <w:t xml:space="preserve">UF</w:t>
            </w:r>
          </w:p>
        </w:tc>
        <w:tc>
          <w:tcPr>
            <w:tcW w:type="dxa" w:w="1000"/>
            <w:shd w:fill="DDE5DC" w:val="clear"/>
            <w:tcMar>
              <w:top w:type="dxa" w:w="50"/>
              <w:left w:type="dxa" w:w="90"/>
              <w:bottom w:type="dxa" w:w="50"/>
              <w:right w:type="dxa" w:w="90"/>
            </w:tcMar>
          </w:tcPr>
          <w:p>
            <w:pPr>
              <w:spacing w:after="0"/>
            </w:pPr>
            <w:r>
              <w:rPr>
                <w:b/>
                <w:bCs/>
                <w:sz w:val="17"/>
                <w:szCs w:val="17"/>
              </w:rPr>
              <w:t xml:space="preserve">EGS 18a</w:t>
            </w:r>
          </w:p>
        </w:tc>
        <w:tc>
          <w:tcPr>
            <w:tcW w:type="dxa" w:w="1100"/>
            <w:shd w:fill="DDE5DC" w:val="clear"/>
            <w:tcMar>
              <w:top w:type="dxa" w:w="50"/>
              <w:left w:type="dxa" w:w="90"/>
              <w:bottom w:type="dxa" w:w="50"/>
              <w:right w:type="dxa" w:w="90"/>
            </w:tcMar>
          </w:tcPr>
          <w:p>
            <w:pPr>
              <w:spacing w:after="0"/>
            </w:pPr>
            <w:r>
              <w:rPr>
                <w:b/>
                <w:bCs/>
                <w:sz w:val="17"/>
                <w:szCs w:val="17"/>
              </w:rPr>
              <w:t xml:space="preserve">Anos de lacuna absoluta</w:t>
            </w:r>
          </w:p>
        </w:tc>
        <w:tc>
          <w:tcPr>
            <w:tcW w:type="dxa" w:w="1100"/>
            <w:shd w:fill="DDE5DC" w:val="clear"/>
            <w:tcMar>
              <w:top w:type="dxa" w:w="50"/>
              <w:left w:type="dxa" w:w="90"/>
              <w:bottom w:type="dxa" w:w="50"/>
              <w:right w:type="dxa" w:w="90"/>
            </w:tcMar>
          </w:tcPr>
          <w:p>
            <w:pPr>
              <w:spacing w:after="0"/>
            </w:pPr>
            <w:r>
              <w:rPr>
                <w:b/>
                <w:bCs/>
                <w:sz w:val="17"/>
                <w:szCs w:val="17"/>
              </w:rPr>
              <w:t xml:space="preserve">Anos de lacuna medida</w:t>
            </w:r>
          </w:p>
        </w:tc>
      </w:tr>
      <w:tr>
        <w:tc>
          <w:tcPr>
            <w:tcW w:type="dxa" w:w="450"/>
            <w:tcMar>
              <w:top w:type="dxa" w:w="40"/>
              <w:left w:type="dxa" w:w="90"/>
              <w:bottom w:type="dxa" w:w="40"/>
              <w:right w:type="dxa" w:w="90"/>
            </w:tcMar>
          </w:tcPr>
          <w:p>
            <w:pPr>
              <w:spacing w:after="0"/>
            </w:pPr>
            <w:r>
              <w:rPr>
                <w:sz w:val="17"/>
                <w:szCs w:val="17"/>
              </w:rPr>
              <w:t xml:space="preserve">1</w:t>
            </w:r>
          </w:p>
        </w:tc>
        <w:tc>
          <w:tcPr>
            <w:tcW w:type="dxa" w:w="2500"/>
            <w:tcMar>
              <w:top w:type="dxa" w:w="40"/>
              <w:left w:type="dxa" w:w="90"/>
              <w:bottom w:type="dxa" w:w="40"/>
              <w:right w:type="dxa" w:w="90"/>
            </w:tcMar>
          </w:tcPr>
          <w:p>
            <w:pPr>
              <w:spacing w:after="0"/>
            </w:pPr>
            <w:r>
              <w:rPr>
                <w:sz w:val="17"/>
                <w:szCs w:val="17"/>
              </w:rPr>
              <w:t xml:space="preserve">Cachoeira do Piriá</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1,179</w:t>
            </w:r>
          </w:p>
        </w:tc>
        <w:tc>
          <w:tcPr>
            <w:tcW w:type="dxa" w:w="1100"/>
            <w:tcMar>
              <w:top w:type="dxa" w:w="40"/>
              <w:left w:type="dxa" w:w="90"/>
              <w:bottom w:type="dxa" w:w="40"/>
              <w:right w:type="dxa" w:w="90"/>
            </w:tcMar>
          </w:tcPr>
          <w:p>
            <w:pPr>
              <w:spacing w:after="0"/>
            </w:pPr>
            <w:r>
              <w:rPr>
                <w:sz w:val="17"/>
                <w:szCs w:val="17"/>
              </w:rPr>
              <w:t xml:space="preserve">13</w:t>
            </w:r>
          </w:p>
        </w:tc>
        <w:tc>
          <w:tcPr>
            <w:tcW w:type="dxa" w:w="1100"/>
            <w:tcMar>
              <w:top w:type="dxa" w:w="40"/>
              <w:left w:type="dxa" w:w="90"/>
              <w:bottom w:type="dxa" w:w="40"/>
              <w:right w:type="dxa" w:w="90"/>
            </w:tcMar>
          </w:tcPr>
          <w:p>
            <w:pPr>
              <w:spacing w:after="0"/>
            </w:pPr>
            <w:r>
              <w:rPr>
                <w:sz w:val="17"/>
                <w:szCs w:val="17"/>
              </w:rPr>
              <w:t xml:space="preserve">5</w:t>
            </w:r>
          </w:p>
        </w:tc>
      </w:tr>
      <w:tr>
        <w:tc>
          <w:tcPr>
            <w:tcW w:type="dxa" w:w="450"/>
            <w:tcMar>
              <w:top w:type="dxa" w:w="40"/>
              <w:left w:type="dxa" w:w="90"/>
              <w:bottom w:type="dxa" w:w="40"/>
              <w:right w:type="dxa" w:w="90"/>
            </w:tcMar>
          </w:tcPr>
          <w:p>
            <w:pPr>
              <w:spacing w:after="0"/>
            </w:pPr>
            <w:r>
              <w:rPr>
                <w:sz w:val="17"/>
                <w:szCs w:val="17"/>
              </w:rPr>
              <w:t xml:space="preserve">2</w:t>
            </w:r>
          </w:p>
        </w:tc>
        <w:tc>
          <w:tcPr>
            <w:tcW w:type="dxa" w:w="2500"/>
            <w:tcMar>
              <w:top w:type="dxa" w:w="40"/>
              <w:left w:type="dxa" w:w="90"/>
              <w:bottom w:type="dxa" w:w="40"/>
              <w:right w:type="dxa" w:w="90"/>
            </w:tcMar>
          </w:tcPr>
          <w:p>
            <w:pPr>
              <w:spacing w:after="0"/>
            </w:pPr>
            <w:r>
              <w:rPr>
                <w:sz w:val="17"/>
                <w:szCs w:val="17"/>
              </w:rPr>
              <w:t xml:space="preserve">Porto de Moz</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1,175</w:t>
            </w:r>
          </w:p>
        </w:tc>
        <w:tc>
          <w:tcPr>
            <w:tcW w:type="dxa" w:w="1100"/>
            <w:tcMar>
              <w:top w:type="dxa" w:w="40"/>
              <w:left w:type="dxa" w:w="90"/>
              <w:bottom w:type="dxa" w:w="40"/>
              <w:right w:type="dxa" w:w="90"/>
            </w:tcMar>
          </w:tcPr>
          <w:p>
            <w:pPr>
              <w:spacing w:after="0"/>
            </w:pPr>
            <w:r>
              <w:rPr>
                <w:sz w:val="17"/>
                <w:szCs w:val="17"/>
              </w:rPr>
              <w:t xml:space="preserve">9</w:t>
            </w:r>
          </w:p>
        </w:tc>
        <w:tc>
          <w:tcPr>
            <w:tcW w:type="dxa" w:w="1100"/>
            <w:tcMar>
              <w:top w:type="dxa" w:w="40"/>
              <w:left w:type="dxa" w:w="90"/>
              <w:bottom w:type="dxa" w:w="40"/>
              <w:right w:type="dxa" w:w="90"/>
            </w:tcMar>
          </w:tcPr>
          <w:p>
            <w:pPr>
              <w:spacing w:after="0"/>
            </w:pPr>
            <w:r>
              <w:rPr>
                <w:sz w:val="17"/>
                <w:szCs w:val="17"/>
              </w:rPr>
              <w:t xml:space="preserve">9</w:t>
            </w:r>
          </w:p>
        </w:tc>
      </w:tr>
      <w:tr>
        <w:tc>
          <w:tcPr>
            <w:tcW w:type="dxa" w:w="450"/>
            <w:tcMar>
              <w:top w:type="dxa" w:w="40"/>
              <w:left w:type="dxa" w:w="90"/>
              <w:bottom w:type="dxa" w:w="40"/>
              <w:right w:type="dxa" w:w="90"/>
            </w:tcMar>
          </w:tcPr>
          <w:p>
            <w:pPr>
              <w:spacing w:after="0"/>
            </w:pPr>
            <w:r>
              <w:rPr>
                <w:sz w:val="17"/>
                <w:szCs w:val="17"/>
              </w:rPr>
              <w:t xml:space="preserve">3</w:t>
            </w:r>
          </w:p>
        </w:tc>
        <w:tc>
          <w:tcPr>
            <w:tcW w:type="dxa" w:w="2500"/>
            <w:tcMar>
              <w:top w:type="dxa" w:w="40"/>
              <w:left w:type="dxa" w:w="90"/>
              <w:bottom w:type="dxa" w:w="40"/>
              <w:right w:type="dxa" w:w="90"/>
            </w:tcMar>
          </w:tcPr>
          <w:p>
            <w:pPr>
              <w:spacing w:after="0"/>
            </w:pPr>
            <w:r>
              <w:rPr>
                <w:sz w:val="17"/>
                <w:szCs w:val="17"/>
              </w:rPr>
              <w:t xml:space="preserve">Monte Alegre</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1,109</w:t>
            </w:r>
          </w:p>
        </w:tc>
        <w:tc>
          <w:tcPr>
            <w:tcW w:type="dxa" w:w="1100"/>
            <w:tcMar>
              <w:top w:type="dxa" w:w="40"/>
              <w:left w:type="dxa" w:w="90"/>
              <w:bottom w:type="dxa" w:w="40"/>
              <w:right w:type="dxa" w:w="90"/>
            </w:tcMar>
          </w:tcPr>
          <w:p>
            <w:pPr>
              <w:spacing w:after="0"/>
            </w:pPr>
            <w:r>
              <w:rPr>
                <w:sz w:val="17"/>
                <w:szCs w:val="17"/>
              </w:rPr>
              <w:t xml:space="preserve">11</w:t>
            </w:r>
          </w:p>
        </w:tc>
        <w:tc>
          <w:tcPr>
            <w:tcW w:type="dxa" w:w="1100"/>
            <w:tcMar>
              <w:top w:type="dxa" w:w="40"/>
              <w:left w:type="dxa" w:w="90"/>
              <w:bottom w:type="dxa" w:w="40"/>
              <w:right w:type="dxa" w:w="90"/>
            </w:tcMar>
          </w:tcPr>
          <w:p>
            <w:pPr>
              <w:spacing w:after="0"/>
            </w:pPr>
            <w:r>
              <w:rPr>
                <w:sz w:val="17"/>
                <w:szCs w:val="17"/>
              </w:rPr>
              <w:t xml:space="preserve">7</w:t>
            </w:r>
          </w:p>
        </w:tc>
      </w:tr>
      <w:tr>
        <w:tc>
          <w:tcPr>
            <w:tcW w:type="dxa" w:w="450"/>
            <w:tcMar>
              <w:top w:type="dxa" w:w="40"/>
              <w:left w:type="dxa" w:w="90"/>
              <w:bottom w:type="dxa" w:w="40"/>
              <w:right w:type="dxa" w:w="90"/>
            </w:tcMar>
          </w:tcPr>
          <w:p>
            <w:pPr>
              <w:spacing w:after="0"/>
            </w:pPr>
            <w:r>
              <w:rPr>
                <w:sz w:val="17"/>
                <w:szCs w:val="17"/>
              </w:rPr>
              <w:t xml:space="preserve">4</w:t>
            </w:r>
          </w:p>
        </w:tc>
        <w:tc>
          <w:tcPr>
            <w:tcW w:type="dxa" w:w="2500"/>
            <w:tcMar>
              <w:top w:type="dxa" w:w="40"/>
              <w:left w:type="dxa" w:w="90"/>
              <w:bottom w:type="dxa" w:w="40"/>
              <w:right w:type="dxa" w:w="90"/>
            </w:tcMar>
          </w:tcPr>
          <w:p>
            <w:pPr>
              <w:spacing w:after="0"/>
            </w:pPr>
            <w:r>
              <w:rPr>
                <w:sz w:val="17"/>
                <w:szCs w:val="17"/>
              </w:rPr>
              <w:t xml:space="preserve">Aveiro</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1,109</w:t>
            </w:r>
          </w:p>
        </w:tc>
        <w:tc>
          <w:tcPr>
            <w:tcW w:type="dxa" w:w="1100"/>
            <w:tcMar>
              <w:top w:type="dxa" w:w="40"/>
              <w:left w:type="dxa" w:w="90"/>
              <w:bottom w:type="dxa" w:w="40"/>
              <w:right w:type="dxa" w:w="90"/>
            </w:tcMar>
          </w:tcPr>
          <w:p>
            <w:pPr>
              <w:spacing w:after="0"/>
            </w:pPr>
            <w:r>
              <w:rPr>
                <w:sz w:val="17"/>
                <w:szCs w:val="17"/>
              </w:rPr>
              <w:t xml:space="preserve">8</w:t>
            </w:r>
          </w:p>
        </w:tc>
        <w:tc>
          <w:tcPr>
            <w:tcW w:type="dxa" w:w="1100"/>
            <w:tcMar>
              <w:top w:type="dxa" w:w="40"/>
              <w:left w:type="dxa" w:w="90"/>
              <w:bottom w:type="dxa" w:w="40"/>
              <w:right w:type="dxa" w:w="90"/>
            </w:tcMar>
          </w:tcPr>
          <w:p>
            <w:pPr>
              <w:spacing w:after="0"/>
            </w:pPr>
            <w:r>
              <w:rPr>
                <w:sz w:val="17"/>
                <w:szCs w:val="17"/>
              </w:rPr>
              <w:t xml:space="preserve">10</w:t>
            </w:r>
          </w:p>
        </w:tc>
      </w:tr>
      <w:tr>
        <w:tc>
          <w:tcPr>
            <w:tcW w:type="dxa" w:w="450"/>
            <w:tcMar>
              <w:top w:type="dxa" w:w="40"/>
              <w:left w:type="dxa" w:w="90"/>
              <w:bottom w:type="dxa" w:w="40"/>
              <w:right w:type="dxa" w:w="90"/>
            </w:tcMar>
          </w:tcPr>
          <w:p>
            <w:pPr>
              <w:spacing w:after="0"/>
            </w:pPr>
            <w:r>
              <w:rPr>
                <w:sz w:val="17"/>
                <w:szCs w:val="17"/>
              </w:rPr>
              <w:t xml:space="preserve">5</w:t>
            </w:r>
          </w:p>
        </w:tc>
        <w:tc>
          <w:tcPr>
            <w:tcW w:type="dxa" w:w="2500"/>
            <w:tcMar>
              <w:top w:type="dxa" w:w="40"/>
              <w:left w:type="dxa" w:w="90"/>
              <w:bottom w:type="dxa" w:w="40"/>
              <w:right w:type="dxa" w:w="90"/>
            </w:tcMar>
          </w:tcPr>
          <w:p>
            <w:pPr>
              <w:spacing w:after="0"/>
            </w:pPr>
            <w:r>
              <w:rPr>
                <w:sz w:val="17"/>
                <w:szCs w:val="17"/>
              </w:rPr>
              <w:t xml:space="preserve">Alenquer</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1,107</w:t>
            </w:r>
          </w:p>
        </w:tc>
        <w:tc>
          <w:tcPr>
            <w:tcW w:type="dxa" w:w="1100"/>
            <w:tcMar>
              <w:top w:type="dxa" w:w="40"/>
              <w:left w:type="dxa" w:w="90"/>
              <w:bottom w:type="dxa" w:w="40"/>
              <w:right w:type="dxa" w:w="90"/>
            </w:tcMar>
          </w:tcPr>
          <w:p>
            <w:pPr>
              <w:spacing w:after="0"/>
            </w:pPr>
            <w:r>
              <w:rPr>
                <w:sz w:val="17"/>
                <w:szCs w:val="17"/>
              </w:rPr>
              <w:t xml:space="preserve">9</w:t>
            </w:r>
          </w:p>
        </w:tc>
        <w:tc>
          <w:tcPr>
            <w:tcW w:type="dxa" w:w="1100"/>
            <w:tcMar>
              <w:top w:type="dxa" w:w="40"/>
              <w:left w:type="dxa" w:w="90"/>
              <w:bottom w:type="dxa" w:w="40"/>
              <w:right w:type="dxa" w:w="90"/>
            </w:tcMar>
          </w:tcPr>
          <w:p>
            <w:pPr>
              <w:spacing w:after="0"/>
            </w:pPr>
            <w:r>
              <w:rPr>
                <w:sz w:val="17"/>
                <w:szCs w:val="17"/>
              </w:rPr>
              <w:t xml:space="preserve">9</w:t>
            </w:r>
          </w:p>
        </w:tc>
      </w:tr>
      <w:tr>
        <w:tc>
          <w:tcPr>
            <w:tcW w:type="dxa" w:w="450"/>
            <w:tcMar>
              <w:top w:type="dxa" w:w="40"/>
              <w:left w:type="dxa" w:w="90"/>
              <w:bottom w:type="dxa" w:w="40"/>
              <w:right w:type="dxa" w:w="90"/>
            </w:tcMar>
          </w:tcPr>
          <w:p>
            <w:pPr>
              <w:spacing w:after="0"/>
            </w:pPr>
            <w:r>
              <w:rPr>
                <w:sz w:val="17"/>
                <w:szCs w:val="17"/>
              </w:rPr>
              <w:t xml:space="preserve">6</w:t>
            </w:r>
          </w:p>
        </w:tc>
        <w:tc>
          <w:tcPr>
            <w:tcW w:type="dxa" w:w="2500"/>
            <w:tcMar>
              <w:top w:type="dxa" w:w="40"/>
              <w:left w:type="dxa" w:w="90"/>
              <w:bottom w:type="dxa" w:w="40"/>
              <w:right w:type="dxa" w:w="90"/>
            </w:tcMar>
          </w:tcPr>
          <w:p>
            <w:pPr>
              <w:spacing w:after="0"/>
            </w:pPr>
            <w:r>
              <w:rPr>
                <w:sz w:val="17"/>
                <w:szCs w:val="17"/>
              </w:rPr>
              <w:t xml:space="preserve">Arame</w:t>
            </w:r>
          </w:p>
        </w:tc>
        <w:tc>
          <w:tcPr>
            <w:tcW w:type="dxa" w:w="550"/>
            <w:tcMar>
              <w:top w:type="dxa" w:w="40"/>
              <w:left w:type="dxa" w:w="90"/>
              <w:bottom w:type="dxa" w:w="40"/>
              <w:right w:type="dxa" w:w="90"/>
            </w:tcMar>
          </w:tcPr>
          <w:p>
            <w:pPr>
              <w:spacing w:after="0"/>
            </w:pPr>
            <w:r>
              <w:rPr>
                <w:sz w:val="17"/>
                <w:szCs w:val="17"/>
              </w:rPr>
              <w:t xml:space="preserve">MA</w:t>
            </w:r>
          </w:p>
        </w:tc>
        <w:tc>
          <w:tcPr>
            <w:tcW w:type="dxa" w:w="1000"/>
            <w:tcMar>
              <w:top w:type="dxa" w:w="40"/>
              <w:left w:type="dxa" w:w="90"/>
              <w:bottom w:type="dxa" w:w="40"/>
              <w:right w:type="dxa" w:w="90"/>
            </w:tcMar>
          </w:tcPr>
          <w:p>
            <w:pPr>
              <w:spacing w:after="0"/>
            </w:pPr>
            <w:r>
              <w:rPr>
                <w:sz w:val="17"/>
                <w:szCs w:val="17"/>
              </w:rPr>
              <w:t xml:space="preserve">1,078</w:t>
            </w:r>
          </w:p>
        </w:tc>
        <w:tc>
          <w:tcPr>
            <w:tcW w:type="dxa" w:w="1100"/>
            <w:tcMar>
              <w:top w:type="dxa" w:w="40"/>
              <w:left w:type="dxa" w:w="90"/>
              <w:bottom w:type="dxa" w:w="40"/>
              <w:right w:type="dxa" w:w="90"/>
            </w:tcMar>
          </w:tcPr>
          <w:p>
            <w:pPr>
              <w:spacing w:after="0"/>
            </w:pPr>
            <w:r>
              <w:rPr>
                <w:sz w:val="17"/>
                <w:szCs w:val="17"/>
              </w:rPr>
              <w:t xml:space="preserve">11</w:t>
            </w:r>
          </w:p>
        </w:tc>
        <w:tc>
          <w:tcPr>
            <w:tcW w:type="dxa" w:w="1100"/>
            <w:tcMar>
              <w:top w:type="dxa" w:w="40"/>
              <w:left w:type="dxa" w:w="90"/>
              <w:bottom w:type="dxa" w:w="40"/>
              <w:right w:type="dxa" w:w="90"/>
            </w:tcMar>
          </w:tcPr>
          <w:p>
            <w:pPr>
              <w:spacing w:after="0"/>
            </w:pPr>
            <w:r>
              <w:rPr>
                <w:sz w:val="17"/>
                <w:szCs w:val="17"/>
              </w:rPr>
              <w:t xml:space="preserve">7</w:t>
            </w:r>
          </w:p>
        </w:tc>
      </w:tr>
      <w:tr>
        <w:tc>
          <w:tcPr>
            <w:tcW w:type="dxa" w:w="450"/>
            <w:tcMar>
              <w:top w:type="dxa" w:w="40"/>
              <w:left w:type="dxa" w:w="90"/>
              <w:bottom w:type="dxa" w:w="40"/>
              <w:right w:type="dxa" w:w="90"/>
            </w:tcMar>
          </w:tcPr>
          <w:p>
            <w:pPr>
              <w:spacing w:after="0"/>
            </w:pPr>
            <w:r>
              <w:rPr>
                <w:sz w:val="17"/>
                <w:szCs w:val="17"/>
              </w:rPr>
              <w:t xml:space="preserve">7</w:t>
            </w:r>
          </w:p>
        </w:tc>
        <w:tc>
          <w:tcPr>
            <w:tcW w:type="dxa" w:w="2500"/>
            <w:tcMar>
              <w:top w:type="dxa" w:w="40"/>
              <w:left w:type="dxa" w:w="90"/>
              <w:bottom w:type="dxa" w:w="40"/>
              <w:right w:type="dxa" w:w="90"/>
            </w:tcMar>
          </w:tcPr>
          <w:p>
            <w:pPr>
              <w:spacing w:after="0"/>
            </w:pPr>
            <w:r>
              <w:rPr>
                <w:sz w:val="17"/>
                <w:szCs w:val="17"/>
              </w:rPr>
              <w:t xml:space="preserve">Acará</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1,075</w:t>
            </w:r>
          </w:p>
        </w:tc>
        <w:tc>
          <w:tcPr>
            <w:tcW w:type="dxa" w:w="1100"/>
            <w:tcMar>
              <w:top w:type="dxa" w:w="40"/>
              <w:left w:type="dxa" w:w="90"/>
              <w:bottom w:type="dxa" w:w="40"/>
              <w:right w:type="dxa" w:w="90"/>
            </w:tcMar>
          </w:tcPr>
          <w:p>
            <w:pPr>
              <w:spacing w:after="0"/>
            </w:pPr>
            <w:r>
              <w:rPr>
                <w:sz w:val="17"/>
                <w:szCs w:val="17"/>
              </w:rPr>
              <w:t xml:space="preserve">13</w:t>
            </w:r>
          </w:p>
        </w:tc>
        <w:tc>
          <w:tcPr>
            <w:tcW w:type="dxa" w:w="1100"/>
            <w:tcMar>
              <w:top w:type="dxa" w:w="40"/>
              <w:left w:type="dxa" w:w="90"/>
              <w:bottom w:type="dxa" w:w="40"/>
              <w:right w:type="dxa" w:w="90"/>
            </w:tcMar>
          </w:tcPr>
          <w:p>
            <w:pPr>
              <w:spacing w:after="0"/>
            </w:pPr>
            <w:r>
              <w:rPr>
                <w:sz w:val="17"/>
                <w:szCs w:val="17"/>
              </w:rPr>
              <w:t xml:space="preserve">5</w:t>
            </w:r>
          </w:p>
        </w:tc>
      </w:tr>
      <w:tr>
        <w:tc>
          <w:tcPr>
            <w:tcW w:type="dxa" w:w="450"/>
            <w:tcMar>
              <w:top w:type="dxa" w:w="40"/>
              <w:left w:type="dxa" w:w="90"/>
              <w:bottom w:type="dxa" w:w="40"/>
              <w:right w:type="dxa" w:w="90"/>
            </w:tcMar>
          </w:tcPr>
          <w:p>
            <w:pPr>
              <w:spacing w:after="0"/>
            </w:pPr>
            <w:r>
              <w:rPr>
                <w:sz w:val="17"/>
                <w:szCs w:val="17"/>
              </w:rPr>
              <w:t xml:space="preserve">8</w:t>
            </w:r>
          </w:p>
        </w:tc>
        <w:tc>
          <w:tcPr>
            <w:tcW w:type="dxa" w:w="2500"/>
            <w:tcMar>
              <w:top w:type="dxa" w:w="40"/>
              <w:left w:type="dxa" w:w="90"/>
              <w:bottom w:type="dxa" w:w="40"/>
              <w:right w:type="dxa" w:w="90"/>
            </w:tcMar>
          </w:tcPr>
          <w:p>
            <w:pPr>
              <w:spacing w:after="0"/>
            </w:pPr>
            <w:r>
              <w:rPr>
                <w:sz w:val="17"/>
                <w:szCs w:val="17"/>
              </w:rPr>
              <w:t xml:space="preserve">Mojuí dos Campos</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1,068</w:t>
            </w:r>
          </w:p>
        </w:tc>
        <w:tc>
          <w:tcPr>
            <w:tcW w:type="dxa" w:w="1100"/>
            <w:tcMar>
              <w:top w:type="dxa" w:w="40"/>
              <w:left w:type="dxa" w:w="90"/>
              <w:bottom w:type="dxa" w:w="40"/>
              <w:right w:type="dxa" w:w="90"/>
            </w:tcMar>
          </w:tcPr>
          <w:p>
            <w:pPr>
              <w:spacing w:after="0"/>
            </w:pPr>
            <w:r>
              <w:rPr>
                <w:sz w:val="17"/>
                <w:szCs w:val="17"/>
              </w:rPr>
              <w:t xml:space="preserve">11</w:t>
            </w:r>
          </w:p>
        </w:tc>
        <w:tc>
          <w:tcPr>
            <w:tcW w:type="dxa" w:w="1100"/>
            <w:tcMar>
              <w:top w:type="dxa" w:w="40"/>
              <w:left w:type="dxa" w:w="90"/>
              <w:bottom w:type="dxa" w:w="40"/>
              <w:right w:type="dxa" w:w="90"/>
            </w:tcMar>
          </w:tcPr>
          <w:p>
            <w:pPr>
              <w:spacing w:after="0"/>
            </w:pPr>
            <w:r>
              <w:rPr>
                <w:sz w:val="17"/>
                <w:szCs w:val="17"/>
              </w:rPr>
              <w:t xml:space="preserve">7</w:t>
            </w:r>
          </w:p>
        </w:tc>
      </w:tr>
      <w:tr>
        <w:tc>
          <w:tcPr>
            <w:tcW w:type="dxa" w:w="450"/>
            <w:tcMar>
              <w:top w:type="dxa" w:w="40"/>
              <w:left w:type="dxa" w:w="90"/>
              <w:bottom w:type="dxa" w:w="40"/>
              <w:right w:type="dxa" w:w="90"/>
            </w:tcMar>
          </w:tcPr>
          <w:p>
            <w:pPr>
              <w:spacing w:after="0"/>
            </w:pPr>
            <w:r>
              <w:rPr>
                <w:sz w:val="17"/>
                <w:szCs w:val="17"/>
              </w:rPr>
              <w:t xml:space="preserve">9</w:t>
            </w:r>
          </w:p>
        </w:tc>
        <w:tc>
          <w:tcPr>
            <w:tcW w:type="dxa" w:w="2500"/>
            <w:tcMar>
              <w:top w:type="dxa" w:w="40"/>
              <w:left w:type="dxa" w:w="90"/>
              <w:bottom w:type="dxa" w:w="40"/>
              <w:right w:type="dxa" w:w="90"/>
            </w:tcMar>
          </w:tcPr>
          <w:p>
            <w:pPr>
              <w:spacing w:after="0"/>
            </w:pPr>
            <w:r>
              <w:rPr>
                <w:sz w:val="17"/>
                <w:szCs w:val="17"/>
              </w:rPr>
              <w:t xml:space="preserve">Maués</w:t>
            </w:r>
          </w:p>
        </w:tc>
        <w:tc>
          <w:tcPr>
            <w:tcW w:type="dxa" w:w="550"/>
            <w:tcMar>
              <w:top w:type="dxa" w:w="40"/>
              <w:left w:type="dxa" w:w="90"/>
              <w:bottom w:type="dxa" w:w="40"/>
              <w:right w:type="dxa" w:w="90"/>
            </w:tcMar>
          </w:tcPr>
          <w:p>
            <w:pPr>
              <w:spacing w:after="0"/>
            </w:pPr>
            <w:r>
              <w:rPr>
                <w:sz w:val="17"/>
                <w:szCs w:val="17"/>
              </w:rPr>
              <w:t xml:space="preserve">AM</w:t>
            </w:r>
          </w:p>
        </w:tc>
        <w:tc>
          <w:tcPr>
            <w:tcW w:type="dxa" w:w="1000"/>
            <w:tcMar>
              <w:top w:type="dxa" w:w="40"/>
              <w:left w:type="dxa" w:w="90"/>
              <w:bottom w:type="dxa" w:w="40"/>
              <w:right w:type="dxa" w:w="90"/>
            </w:tcMar>
          </w:tcPr>
          <w:p>
            <w:pPr>
              <w:spacing w:after="0"/>
            </w:pPr>
            <w:r>
              <w:rPr>
                <w:sz w:val="17"/>
                <w:szCs w:val="17"/>
              </w:rPr>
              <w:t xml:space="preserve">1,036</w:t>
            </w:r>
          </w:p>
        </w:tc>
        <w:tc>
          <w:tcPr>
            <w:tcW w:type="dxa" w:w="1100"/>
            <w:tcMar>
              <w:top w:type="dxa" w:w="40"/>
              <w:left w:type="dxa" w:w="90"/>
              <w:bottom w:type="dxa" w:w="40"/>
              <w:right w:type="dxa" w:w="90"/>
            </w:tcMar>
          </w:tcPr>
          <w:p>
            <w:pPr>
              <w:spacing w:after="0"/>
            </w:pPr>
            <w:r>
              <w:rPr>
                <w:sz w:val="17"/>
                <w:szCs w:val="17"/>
              </w:rPr>
              <w:t xml:space="preserve">8</w:t>
            </w:r>
          </w:p>
        </w:tc>
        <w:tc>
          <w:tcPr>
            <w:tcW w:type="dxa" w:w="1100"/>
            <w:tcMar>
              <w:top w:type="dxa" w:w="40"/>
              <w:left w:type="dxa" w:w="90"/>
              <w:bottom w:type="dxa" w:w="40"/>
              <w:right w:type="dxa" w:w="90"/>
            </w:tcMar>
          </w:tcPr>
          <w:p>
            <w:pPr>
              <w:spacing w:after="0"/>
            </w:pPr>
            <w:r>
              <w:rPr>
                <w:sz w:val="17"/>
                <w:szCs w:val="17"/>
              </w:rPr>
              <w:t xml:space="preserve">10</w:t>
            </w:r>
          </w:p>
        </w:tc>
      </w:tr>
      <w:tr>
        <w:tc>
          <w:tcPr>
            <w:tcW w:type="dxa" w:w="450"/>
            <w:tcMar>
              <w:top w:type="dxa" w:w="40"/>
              <w:left w:type="dxa" w:w="90"/>
              <w:bottom w:type="dxa" w:w="40"/>
              <w:right w:type="dxa" w:w="90"/>
            </w:tcMar>
          </w:tcPr>
          <w:p>
            <w:pPr>
              <w:spacing w:after="0"/>
            </w:pPr>
            <w:r>
              <w:rPr>
                <w:sz w:val="17"/>
                <w:szCs w:val="17"/>
              </w:rPr>
              <w:t xml:space="preserve">10</w:t>
            </w:r>
          </w:p>
        </w:tc>
        <w:tc>
          <w:tcPr>
            <w:tcW w:type="dxa" w:w="2500"/>
            <w:tcMar>
              <w:top w:type="dxa" w:w="40"/>
              <w:left w:type="dxa" w:w="90"/>
              <w:bottom w:type="dxa" w:w="40"/>
              <w:right w:type="dxa" w:w="90"/>
            </w:tcMar>
          </w:tcPr>
          <w:p>
            <w:pPr>
              <w:spacing w:after="0"/>
            </w:pPr>
            <w:r>
              <w:rPr>
                <w:sz w:val="17"/>
                <w:szCs w:val="17"/>
              </w:rPr>
              <w:t xml:space="preserve">Santa Maria das Barreiras</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1,021</w:t>
            </w:r>
          </w:p>
        </w:tc>
        <w:tc>
          <w:tcPr>
            <w:tcW w:type="dxa" w:w="1100"/>
            <w:tcMar>
              <w:top w:type="dxa" w:w="40"/>
              <w:left w:type="dxa" w:w="90"/>
              <w:bottom w:type="dxa" w:w="40"/>
              <w:right w:type="dxa" w:w="90"/>
            </w:tcMar>
          </w:tcPr>
          <w:p>
            <w:pPr>
              <w:spacing w:after="0"/>
            </w:pPr>
            <w:r>
              <w:rPr>
                <w:sz w:val="17"/>
                <w:szCs w:val="17"/>
              </w:rPr>
              <w:t xml:space="preserve">11</w:t>
            </w:r>
          </w:p>
        </w:tc>
        <w:tc>
          <w:tcPr>
            <w:tcW w:type="dxa" w:w="1100"/>
            <w:tcMar>
              <w:top w:type="dxa" w:w="40"/>
              <w:left w:type="dxa" w:w="90"/>
              <w:bottom w:type="dxa" w:w="40"/>
              <w:right w:type="dxa" w:w="90"/>
            </w:tcMar>
          </w:tcPr>
          <w:p>
            <w:pPr>
              <w:spacing w:after="0"/>
            </w:pPr>
            <w:r>
              <w:rPr>
                <w:sz w:val="17"/>
                <w:szCs w:val="17"/>
              </w:rPr>
              <w:t xml:space="preserve">7</w:t>
            </w:r>
          </w:p>
        </w:tc>
      </w:tr>
      <w:tr>
        <w:tc>
          <w:tcPr>
            <w:tcW w:type="dxa" w:w="450"/>
            <w:tcMar>
              <w:top w:type="dxa" w:w="40"/>
              <w:left w:type="dxa" w:w="90"/>
              <w:bottom w:type="dxa" w:w="40"/>
              <w:right w:type="dxa" w:w="90"/>
            </w:tcMar>
          </w:tcPr>
          <w:p>
            <w:pPr>
              <w:spacing w:after="0"/>
            </w:pPr>
            <w:r>
              <w:rPr>
                <w:sz w:val="17"/>
                <w:szCs w:val="17"/>
              </w:rPr>
              <w:t xml:space="preserve">11</w:t>
            </w:r>
          </w:p>
        </w:tc>
        <w:tc>
          <w:tcPr>
            <w:tcW w:type="dxa" w:w="2500"/>
            <w:tcMar>
              <w:top w:type="dxa" w:w="40"/>
              <w:left w:type="dxa" w:w="90"/>
              <w:bottom w:type="dxa" w:w="40"/>
              <w:right w:type="dxa" w:w="90"/>
            </w:tcMar>
          </w:tcPr>
          <w:p>
            <w:pPr>
              <w:spacing w:after="0"/>
            </w:pPr>
            <w:r>
              <w:rPr>
                <w:sz w:val="17"/>
                <w:szCs w:val="17"/>
              </w:rPr>
              <w:t xml:space="preserve">Itupiranga</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1,015</w:t>
            </w:r>
          </w:p>
        </w:tc>
        <w:tc>
          <w:tcPr>
            <w:tcW w:type="dxa" w:w="1100"/>
            <w:tcMar>
              <w:top w:type="dxa" w:w="40"/>
              <w:left w:type="dxa" w:w="90"/>
              <w:bottom w:type="dxa" w:w="40"/>
              <w:right w:type="dxa" w:w="90"/>
            </w:tcMar>
          </w:tcPr>
          <w:p>
            <w:pPr>
              <w:spacing w:after="0"/>
            </w:pPr>
            <w:r>
              <w:rPr>
                <w:sz w:val="17"/>
                <w:szCs w:val="17"/>
              </w:rPr>
              <w:t xml:space="preserve">5</w:t>
            </w:r>
          </w:p>
        </w:tc>
        <w:tc>
          <w:tcPr>
            <w:tcW w:type="dxa" w:w="1100"/>
            <w:tcMar>
              <w:top w:type="dxa" w:w="40"/>
              <w:left w:type="dxa" w:w="90"/>
              <w:bottom w:type="dxa" w:w="40"/>
              <w:right w:type="dxa" w:w="90"/>
            </w:tcMar>
          </w:tcPr>
          <w:p>
            <w:pPr>
              <w:spacing w:after="0"/>
            </w:pPr>
            <w:r>
              <w:rPr>
                <w:sz w:val="17"/>
                <w:szCs w:val="17"/>
              </w:rPr>
              <w:t xml:space="preserve">13</w:t>
            </w:r>
          </w:p>
        </w:tc>
      </w:tr>
      <w:tr>
        <w:tc>
          <w:tcPr>
            <w:tcW w:type="dxa" w:w="450"/>
            <w:tcMar>
              <w:top w:type="dxa" w:w="40"/>
              <w:left w:type="dxa" w:w="90"/>
              <w:bottom w:type="dxa" w:w="40"/>
              <w:right w:type="dxa" w:w="90"/>
            </w:tcMar>
          </w:tcPr>
          <w:p>
            <w:pPr>
              <w:spacing w:after="0"/>
            </w:pPr>
            <w:r>
              <w:rPr>
                <w:sz w:val="17"/>
                <w:szCs w:val="17"/>
              </w:rPr>
              <w:t xml:space="preserve">12</w:t>
            </w:r>
          </w:p>
        </w:tc>
        <w:tc>
          <w:tcPr>
            <w:tcW w:type="dxa" w:w="2500"/>
            <w:tcMar>
              <w:top w:type="dxa" w:w="40"/>
              <w:left w:type="dxa" w:w="90"/>
              <w:bottom w:type="dxa" w:w="40"/>
              <w:right w:type="dxa" w:w="90"/>
            </w:tcMar>
          </w:tcPr>
          <w:p>
            <w:pPr>
              <w:spacing w:after="0"/>
            </w:pPr>
            <w:r>
              <w:rPr>
                <w:sz w:val="17"/>
                <w:szCs w:val="17"/>
              </w:rPr>
              <w:t xml:space="preserve">Cumaru do Norte</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1,000</w:t>
            </w:r>
          </w:p>
        </w:tc>
        <w:tc>
          <w:tcPr>
            <w:tcW w:type="dxa" w:w="1100"/>
            <w:tcMar>
              <w:top w:type="dxa" w:w="40"/>
              <w:left w:type="dxa" w:w="90"/>
              <w:bottom w:type="dxa" w:w="40"/>
              <w:right w:type="dxa" w:w="90"/>
            </w:tcMar>
          </w:tcPr>
          <w:p>
            <w:pPr>
              <w:spacing w:after="0"/>
            </w:pPr>
            <w:r>
              <w:rPr>
                <w:sz w:val="17"/>
                <w:szCs w:val="17"/>
              </w:rPr>
              <w:t xml:space="preserve">6</w:t>
            </w:r>
          </w:p>
        </w:tc>
        <w:tc>
          <w:tcPr>
            <w:tcW w:type="dxa" w:w="1100"/>
            <w:tcMar>
              <w:top w:type="dxa" w:w="40"/>
              <w:left w:type="dxa" w:w="90"/>
              <w:bottom w:type="dxa" w:w="40"/>
              <w:right w:type="dxa" w:w="90"/>
            </w:tcMar>
          </w:tcPr>
          <w:p>
            <w:pPr>
              <w:spacing w:after="0"/>
            </w:pPr>
            <w:r>
              <w:rPr>
                <w:sz w:val="17"/>
                <w:szCs w:val="17"/>
              </w:rPr>
              <w:t xml:space="preserve">12</w:t>
            </w:r>
          </w:p>
        </w:tc>
      </w:tr>
      <w:tr>
        <w:tc>
          <w:tcPr>
            <w:tcW w:type="dxa" w:w="450"/>
            <w:tcMar>
              <w:top w:type="dxa" w:w="40"/>
              <w:left w:type="dxa" w:w="90"/>
              <w:bottom w:type="dxa" w:w="40"/>
              <w:right w:type="dxa" w:w="90"/>
            </w:tcMar>
          </w:tcPr>
          <w:p>
            <w:pPr>
              <w:spacing w:after="0"/>
            </w:pPr>
            <w:r>
              <w:rPr>
                <w:sz w:val="17"/>
                <w:szCs w:val="17"/>
              </w:rPr>
              <w:t xml:space="preserve">13</w:t>
            </w:r>
          </w:p>
        </w:tc>
        <w:tc>
          <w:tcPr>
            <w:tcW w:type="dxa" w:w="2500"/>
            <w:tcMar>
              <w:top w:type="dxa" w:w="40"/>
              <w:left w:type="dxa" w:w="90"/>
              <w:bottom w:type="dxa" w:w="40"/>
              <w:right w:type="dxa" w:w="90"/>
            </w:tcMar>
          </w:tcPr>
          <w:p>
            <w:pPr>
              <w:spacing w:after="0"/>
            </w:pPr>
            <w:r>
              <w:rPr>
                <w:sz w:val="17"/>
                <w:szCs w:val="17"/>
              </w:rPr>
              <w:t xml:space="preserve">Jacareacanga</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0,994</w:t>
            </w:r>
          </w:p>
        </w:tc>
        <w:tc>
          <w:tcPr>
            <w:tcW w:type="dxa" w:w="1100"/>
            <w:tcMar>
              <w:top w:type="dxa" w:w="40"/>
              <w:left w:type="dxa" w:w="90"/>
              <w:bottom w:type="dxa" w:w="40"/>
              <w:right w:type="dxa" w:w="90"/>
            </w:tcMar>
          </w:tcPr>
          <w:p>
            <w:pPr>
              <w:spacing w:after="0"/>
            </w:pPr>
            <w:r>
              <w:rPr>
                <w:sz w:val="17"/>
                <w:szCs w:val="17"/>
              </w:rPr>
              <w:t xml:space="preserve">4</w:t>
            </w:r>
          </w:p>
        </w:tc>
        <w:tc>
          <w:tcPr>
            <w:tcW w:type="dxa" w:w="1100"/>
            <w:tcMar>
              <w:top w:type="dxa" w:w="40"/>
              <w:left w:type="dxa" w:w="90"/>
              <w:bottom w:type="dxa" w:w="40"/>
              <w:right w:type="dxa" w:w="90"/>
            </w:tcMar>
          </w:tcPr>
          <w:p>
            <w:pPr>
              <w:spacing w:after="0"/>
            </w:pPr>
            <w:r>
              <w:rPr>
                <w:sz w:val="17"/>
                <w:szCs w:val="17"/>
              </w:rPr>
              <w:t xml:space="preserve">14</w:t>
            </w:r>
          </w:p>
        </w:tc>
      </w:tr>
      <w:tr>
        <w:tc>
          <w:tcPr>
            <w:tcW w:type="dxa" w:w="450"/>
            <w:tcMar>
              <w:top w:type="dxa" w:w="40"/>
              <w:left w:type="dxa" w:w="90"/>
              <w:bottom w:type="dxa" w:w="40"/>
              <w:right w:type="dxa" w:w="90"/>
            </w:tcMar>
          </w:tcPr>
          <w:p>
            <w:pPr>
              <w:spacing w:after="0"/>
            </w:pPr>
            <w:r>
              <w:rPr>
                <w:sz w:val="17"/>
                <w:szCs w:val="17"/>
              </w:rPr>
              <w:t xml:space="preserve">14</w:t>
            </w:r>
          </w:p>
        </w:tc>
        <w:tc>
          <w:tcPr>
            <w:tcW w:type="dxa" w:w="2500"/>
            <w:tcMar>
              <w:top w:type="dxa" w:w="40"/>
              <w:left w:type="dxa" w:w="90"/>
              <w:bottom w:type="dxa" w:w="40"/>
              <w:right w:type="dxa" w:w="90"/>
            </w:tcMar>
          </w:tcPr>
          <w:p>
            <w:pPr>
              <w:spacing w:after="0"/>
            </w:pPr>
            <w:r>
              <w:rPr>
                <w:sz w:val="17"/>
                <w:szCs w:val="17"/>
              </w:rPr>
              <w:t xml:space="preserve">Medicilândia</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0,988</w:t>
            </w:r>
          </w:p>
        </w:tc>
        <w:tc>
          <w:tcPr>
            <w:tcW w:type="dxa" w:w="1100"/>
            <w:tcMar>
              <w:top w:type="dxa" w:w="40"/>
              <w:left w:type="dxa" w:w="90"/>
              <w:bottom w:type="dxa" w:w="40"/>
              <w:right w:type="dxa" w:w="90"/>
            </w:tcMar>
          </w:tcPr>
          <w:p>
            <w:pPr>
              <w:spacing w:after="0"/>
            </w:pPr>
            <w:r>
              <w:rPr>
                <w:sz w:val="17"/>
                <w:szCs w:val="17"/>
              </w:rPr>
              <w:t xml:space="preserve">4</w:t>
            </w:r>
          </w:p>
        </w:tc>
        <w:tc>
          <w:tcPr>
            <w:tcW w:type="dxa" w:w="1100"/>
            <w:tcMar>
              <w:top w:type="dxa" w:w="40"/>
              <w:left w:type="dxa" w:w="90"/>
              <w:bottom w:type="dxa" w:w="40"/>
              <w:right w:type="dxa" w:w="90"/>
            </w:tcMar>
          </w:tcPr>
          <w:p>
            <w:pPr>
              <w:spacing w:after="0"/>
            </w:pPr>
            <w:r>
              <w:rPr>
                <w:sz w:val="17"/>
                <w:szCs w:val="17"/>
              </w:rPr>
              <w:t xml:space="preserve">14</w:t>
            </w:r>
          </w:p>
        </w:tc>
      </w:tr>
      <w:tr>
        <w:tc>
          <w:tcPr>
            <w:tcW w:type="dxa" w:w="450"/>
            <w:tcMar>
              <w:top w:type="dxa" w:w="40"/>
              <w:left w:type="dxa" w:w="90"/>
              <w:bottom w:type="dxa" w:w="40"/>
              <w:right w:type="dxa" w:w="90"/>
            </w:tcMar>
          </w:tcPr>
          <w:p>
            <w:pPr>
              <w:spacing w:after="0"/>
            </w:pPr>
            <w:r>
              <w:rPr>
                <w:sz w:val="17"/>
                <w:szCs w:val="17"/>
              </w:rPr>
              <w:t xml:space="preserve">15</w:t>
            </w:r>
          </w:p>
        </w:tc>
        <w:tc>
          <w:tcPr>
            <w:tcW w:type="dxa" w:w="2500"/>
            <w:tcMar>
              <w:top w:type="dxa" w:w="40"/>
              <w:left w:type="dxa" w:w="90"/>
              <w:bottom w:type="dxa" w:w="40"/>
              <w:right w:type="dxa" w:w="90"/>
            </w:tcMar>
          </w:tcPr>
          <w:p>
            <w:pPr>
              <w:spacing w:after="0"/>
            </w:pPr>
            <w:r>
              <w:rPr>
                <w:sz w:val="17"/>
                <w:szCs w:val="17"/>
              </w:rPr>
              <w:t xml:space="preserve">São Domingos do Maranhão</w:t>
            </w:r>
          </w:p>
        </w:tc>
        <w:tc>
          <w:tcPr>
            <w:tcW w:type="dxa" w:w="550"/>
            <w:tcMar>
              <w:top w:type="dxa" w:w="40"/>
              <w:left w:type="dxa" w:w="90"/>
              <w:bottom w:type="dxa" w:w="40"/>
              <w:right w:type="dxa" w:w="90"/>
            </w:tcMar>
          </w:tcPr>
          <w:p>
            <w:pPr>
              <w:spacing w:after="0"/>
            </w:pPr>
            <w:r>
              <w:rPr>
                <w:sz w:val="17"/>
                <w:szCs w:val="17"/>
              </w:rPr>
              <w:t xml:space="preserve">MA</w:t>
            </w:r>
          </w:p>
        </w:tc>
        <w:tc>
          <w:tcPr>
            <w:tcW w:type="dxa" w:w="1000"/>
            <w:tcMar>
              <w:top w:type="dxa" w:w="40"/>
              <w:left w:type="dxa" w:w="90"/>
              <w:bottom w:type="dxa" w:w="40"/>
              <w:right w:type="dxa" w:w="90"/>
            </w:tcMar>
          </w:tcPr>
          <w:p>
            <w:pPr>
              <w:spacing w:after="0"/>
            </w:pPr>
            <w:r>
              <w:rPr>
                <w:sz w:val="17"/>
                <w:szCs w:val="17"/>
              </w:rPr>
              <w:t xml:space="preserve">0,984</w:t>
            </w:r>
          </w:p>
        </w:tc>
        <w:tc>
          <w:tcPr>
            <w:tcW w:type="dxa" w:w="1100"/>
            <w:tcMar>
              <w:top w:type="dxa" w:w="40"/>
              <w:left w:type="dxa" w:w="90"/>
              <w:bottom w:type="dxa" w:w="40"/>
              <w:right w:type="dxa" w:w="90"/>
            </w:tcMar>
          </w:tcPr>
          <w:p>
            <w:pPr>
              <w:spacing w:after="0"/>
            </w:pPr>
            <w:r>
              <w:rPr>
                <w:sz w:val="17"/>
                <w:szCs w:val="17"/>
              </w:rPr>
              <w:t xml:space="preserve">15</w:t>
            </w:r>
          </w:p>
        </w:tc>
        <w:tc>
          <w:tcPr>
            <w:tcW w:type="dxa" w:w="1100"/>
            <w:tcMar>
              <w:top w:type="dxa" w:w="40"/>
              <w:left w:type="dxa" w:w="90"/>
              <w:bottom w:type="dxa" w:w="40"/>
              <w:right w:type="dxa" w:w="90"/>
            </w:tcMar>
          </w:tcPr>
          <w:p>
            <w:pPr>
              <w:spacing w:after="0"/>
            </w:pPr>
            <w:r>
              <w:rPr>
                <w:sz w:val="17"/>
                <w:szCs w:val="17"/>
              </w:rPr>
              <w:t xml:space="preserve">3</w:t>
            </w:r>
          </w:p>
        </w:tc>
      </w:tr>
      <w:tr>
        <w:tc>
          <w:tcPr>
            <w:tcW w:type="dxa" w:w="450"/>
            <w:tcMar>
              <w:top w:type="dxa" w:w="40"/>
              <w:left w:type="dxa" w:w="90"/>
              <w:bottom w:type="dxa" w:w="40"/>
              <w:right w:type="dxa" w:w="90"/>
            </w:tcMar>
          </w:tcPr>
          <w:p>
            <w:pPr>
              <w:spacing w:after="0"/>
            </w:pPr>
            <w:r>
              <w:rPr>
                <w:sz w:val="17"/>
                <w:szCs w:val="17"/>
              </w:rPr>
              <w:t xml:space="preserve">16</w:t>
            </w:r>
          </w:p>
        </w:tc>
        <w:tc>
          <w:tcPr>
            <w:tcW w:type="dxa" w:w="2500"/>
            <w:tcMar>
              <w:top w:type="dxa" w:w="40"/>
              <w:left w:type="dxa" w:w="90"/>
              <w:bottom w:type="dxa" w:w="40"/>
              <w:right w:type="dxa" w:w="90"/>
            </w:tcMar>
          </w:tcPr>
          <w:p>
            <w:pPr>
              <w:spacing w:after="0"/>
            </w:pPr>
            <w:r>
              <w:rPr>
                <w:sz w:val="17"/>
                <w:szCs w:val="17"/>
              </w:rPr>
              <w:t xml:space="preserve">Prainha</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0,980</w:t>
            </w:r>
          </w:p>
        </w:tc>
        <w:tc>
          <w:tcPr>
            <w:tcW w:type="dxa" w:w="1100"/>
            <w:tcMar>
              <w:top w:type="dxa" w:w="40"/>
              <w:left w:type="dxa" w:w="90"/>
              <w:bottom w:type="dxa" w:w="40"/>
              <w:right w:type="dxa" w:w="90"/>
            </w:tcMar>
          </w:tcPr>
          <w:p>
            <w:pPr>
              <w:spacing w:after="0"/>
            </w:pPr>
            <w:r>
              <w:rPr>
                <w:sz w:val="17"/>
                <w:szCs w:val="17"/>
              </w:rPr>
              <w:t xml:space="preserve">3</w:t>
            </w:r>
          </w:p>
        </w:tc>
        <w:tc>
          <w:tcPr>
            <w:tcW w:type="dxa" w:w="1100"/>
            <w:tcMar>
              <w:top w:type="dxa" w:w="40"/>
              <w:left w:type="dxa" w:w="90"/>
              <w:bottom w:type="dxa" w:w="40"/>
              <w:right w:type="dxa" w:w="90"/>
            </w:tcMar>
          </w:tcPr>
          <w:p>
            <w:pPr>
              <w:spacing w:after="0"/>
            </w:pPr>
            <w:r>
              <w:rPr>
                <w:sz w:val="17"/>
                <w:szCs w:val="17"/>
              </w:rPr>
              <w:t xml:space="preserve">15</w:t>
            </w:r>
          </w:p>
        </w:tc>
      </w:tr>
      <w:tr>
        <w:tc>
          <w:tcPr>
            <w:tcW w:type="dxa" w:w="450"/>
            <w:tcMar>
              <w:top w:type="dxa" w:w="40"/>
              <w:left w:type="dxa" w:w="90"/>
              <w:bottom w:type="dxa" w:w="40"/>
              <w:right w:type="dxa" w:w="90"/>
            </w:tcMar>
          </w:tcPr>
          <w:p>
            <w:pPr>
              <w:spacing w:after="0"/>
            </w:pPr>
            <w:r>
              <w:rPr>
                <w:sz w:val="17"/>
                <w:szCs w:val="17"/>
              </w:rPr>
              <w:t xml:space="preserve">17</w:t>
            </w:r>
          </w:p>
        </w:tc>
        <w:tc>
          <w:tcPr>
            <w:tcW w:type="dxa" w:w="2500"/>
            <w:tcMar>
              <w:top w:type="dxa" w:w="40"/>
              <w:left w:type="dxa" w:w="90"/>
              <w:bottom w:type="dxa" w:w="40"/>
              <w:right w:type="dxa" w:w="90"/>
            </w:tcMar>
          </w:tcPr>
          <w:p>
            <w:pPr>
              <w:spacing w:after="0"/>
            </w:pPr>
            <w:r>
              <w:rPr>
                <w:sz w:val="17"/>
                <w:szCs w:val="17"/>
              </w:rPr>
              <w:t xml:space="preserve">Santana do Araguaia</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0,957</w:t>
            </w:r>
          </w:p>
        </w:tc>
        <w:tc>
          <w:tcPr>
            <w:tcW w:type="dxa" w:w="1100"/>
            <w:tcMar>
              <w:top w:type="dxa" w:w="40"/>
              <w:left w:type="dxa" w:w="90"/>
              <w:bottom w:type="dxa" w:w="40"/>
              <w:right w:type="dxa" w:w="90"/>
            </w:tcMar>
          </w:tcPr>
          <w:p>
            <w:pPr>
              <w:spacing w:after="0"/>
            </w:pPr>
            <w:r>
              <w:rPr>
                <w:sz w:val="17"/>
                <w:szCs w:val="17"/>
              </w:rPr>
              <w:t xml:space="preserve">9</w:t>
            </w:r>
          </w:p>
        </w:tc>
        <w:tc>
          <w:tcPr>
            <w:tcW w:type="dxa" w:w="1100"/>
            <w:tcMar>
              <w:top w:type="dxa" w:w="40"/>
              <w:left w:type="dxa" w:w="90"/>
              <w:bottom w:type="dxa" w:w="40"/>
              <w:right w:type="dxa" w:w="90"/>
            </w:tcMar>
          </w:tcPr>
          <w:p>
            <w:pPr>
              <w:spacing w:after="0"/>
            </w:pPr>
            <w:r>
              <w:rPr>
                <w:sz w:val="17"/>
                <w:szCs w:val="17"/>
              </w:rPr>
              <w:t xml:space="preserve">9</w:t>
            </w:r>
          </w:p>
        </w:tc>
      </w:tr>
      <w:tr>
        <w:tc>
          <w:tcPr>
            <w:tcW w:type="dxa" w:w="450"/>
            <w:tcMar>
              <w:top w:type="dxa" w:w="40"/>
              <w:left w:type="dxa" w:w="90"/>
              <w:bottom w:type="dxa" w:w="40"/>
              <w:right w:type="dxa" w:w="90"/>
            </w:tcMar>
          </w:tcPr>
          <w:p>
            <w:pPr>
              <w:spacing w:after="0"/>
            </w:pPr>
            <w:r>
              <w:rPr>
                <w:sz w:val="17"/>
                <w:szCs w:val="17"/>
              </w:rPr>
              <w:t xml:space="preserve">18</w:t>
            </w:r>
          </w:p>
        </w:tc>
        <w:tc>
          <w:tcPr>
            <w:tcW w:type="dxa" w:w="2500"/>
            <w:tcMar>
              <w:top w:type="dxa" w:w="40"/>
              <w:left w:type="dxa" w:w="90"/>
              <w:bottom w:type="dxa" w:w="40"/>
              <w:right w:type="dxa" w:w="90"/>
            </w:tcMar>
          </w:tcPr>
          <w:p>
            <w:pPr>
              <w:spacing w:after="0"/>
            </w:pPr>
            <w:r>
              <w:rPr>
                <w:sz w:val="17"/>
                <w:szCs w:val="17"/>
              </w:rPr>
              <w:t xml:space="preserve">Autazes</w:t>
            </w:r>
          </w:p>
        </w:tc>
        <w:tc>
          <w:tcPr>
            <w:tcW w:type="dxa" w:w="550"/>
            <w:tcMar>
              <w:top w:type="dxa" w:w="40"/>
              <w:left w:type="dxa" w:w="90"/>
              <w:bottom w:type="dxa" w:w="40"/>
              <w:right w:type="dxa" w:w="90"/>
            </w:tcMar>
          </w:tcPr>
          <w:p>
            <w:pPr>
              <w:spacing w:after="0"/>
            </w:pPr>
            <w:r>
              <w:rPr>
                <w:sz w:val="17"/>
                <w:szCs w:val="17"/>
              </w:rPr>
              <w:t xml:space="preserve">AM</w:t>
            </w:r>
          </w:p>
        </w:tc>
        <w:tc>
          <w:tcPr>
            <w:tcW w:type="dxa" w:w="1000"/>
            <w:tcMar>
              <w:top w:type="dxa" w:w="40"/>
              <w:left w:type="dxa" w:w="90"/>
              <w:bottom w:type="dxa" w:w="40"/>
              <w:right w:type="dxa" w:w="90"/>
            </w:tcMar>
          </w:tcPr>
          <w:p>
            <w:pPr>
              <w:spacing w:after="0"/>
            </w:pPr>
            <w:r>
              <w:rPr>
                <w:sz w:val="17"/>
                <w:szCs w:val="17"/>
              </w:rPr>
              <w:t xml:space="preserve">0,947</w:t>
            </w:r>
          </w:p>
        </w:tc>
        <w:tc>
          <w:tcPr>
            <w:tcW w:type="dxa" w:w="1100"/>
            <w:tcMar>
              <w:top w:type="dxa" w:w="40"/>
              <w:left w:type="dxa" w:w="90"/>
              <w:bottom w:type="dxa" w:w="40"/>
              <w:right w:type="dxa" w:w="90"/>
            </w:tcMar>
          </w:tcPr>
          <w:p>
            <w:pPr>
              <w:spacing w:after="0"/>
            </w:pPr>
            <w:r>
              <w:rPr>
                <w:sz w:val="17"/>
                <w:szCs w:val="17"/>
              </w:rPr>
              <w:t xml:space="preserve">7</w:t>
            </w:r>
          </w:p>
        </w:tc>
        <w:tc>
          <w:tcPr>
            <w:tcW w:type="dxa" w:w="1100"/>
            <w:tcMar>
              <w:top w:type="dxa" w:w="40"/>
              <w:left w:type="dxa" w:w="90"/>
              <w:bottom w:type="dxa" w:w="40"/>
              <w:right w:type="dxa" w:w="90"/>
            </w:tcMar>
          </w:tcPr>
          <w:p>
            <w:pPr>
              <w:spacing w:after="0"/>
            </w:pPr>
            <w:r>
              <w:rPr>
                <w:sz w:val="17"/>
                <w:szCs w:val="17"/>
              </w:rPr>
              <w:t xml:space="preserve">11</w:t>
            </w:r>
          </w:p>
        </w:tc>
      </w:tr>
      <w:tr>
        <w:tc>
          <w:tcPr>
            <w:tcW w:type="dxa" w:w="450"/>
            <w:tcMar>
              <w:top w:type="dxa" w:w="40"/>
              <w:left w:type="dxa" w:w="90"/>
              <w:bottom w:type="dxa" w:w="40"/>
              <w:right w:type="dxa" w:w="90"/>
            </w:tcMar>
          </w:tcPr>
          <w:p>
            <w:pPr>
              <w:spacing w:after="0"/>
            </w:pPr>
            <w:r>
              <w:rPr>
                <w:sz w:val="17"/>
                <w:szCs w:val="17"/>
              </w:rPr>
              <w:t xml:space="preserve">19</w:t>
            </w:r>
          </w:p>
        </w:tc>
        <w:tc>
          <w:tcPr>
            <w:tcW w:type="dxa" w:w="2500"/>
            <w:tcMar>
              <w:top w:type="dxa" w:w="40"/>
              <w:left w:type="dxa" w:w="90"/>
              <w:bottom w:type="dxa" w:w="40"/>
              <w:right w:type="dxa" w:w="90"/>
            </w:tcMar>
          </w:tcPr>
          <w:p>
            <w:pPr>
              <w:spacing w:after="0"/>
            </w:pPr>
            <w:r>
              <w:rPr>
                <w:sz w:val="17"/>
                <w:szCs w:val="17"/>
              </w:rPr>
              <w:t xml:space="preserve">Oriximiná</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0,944</w:t>
            </w:r>
          </w:p>
        </w:tc>
        <w:tc>
          <w:tcPr>
            <w:tcW w:type="dxa" w:w="1100"/>
            <w:tcMar>
              <w:top w:type="dxa" w:w="40"/>
              <w:left w:type="dxa" w:w="90"/>
              <w:bottom w:type="dxa" w:w="40"/>
              <w:right w:type="dxa" w:w="90"/>
            </w:tcMar>
          </w:tcPr>
          <w:p>
            <w:pPr>
              <w:spacing w:after="0"/>
            </w:pPr>
            <w:r>
              <w:rPr>
                <w:sz w:val="17"/>
                <w:szCs w:val="17"/>
              </w:rPr>
              <w:t xml:space="preserve">8</w:t>
            </w:r>
          </w:p>
        </w:tc>
        <w:tc>
          <w:tcPr>
            <w:tcW w:type="dxa" w:w="1100"/>
            <w:tcMar>
              <w:top w:type="dxa" w:w="40"/>
              <w:left w:type="dxa" w:w="90"/>
              <w:bottom w:type="dxa" w:w="40"/>
              <w:right w:type="dxa" w:w="90"/>
            </w:tcMar>
          </w:tcPr>
          <w:p>
            <w:pPr>
              <w:spacing w:after="0"/>
            </w:pPr>
            <w:r>
              <w:rPr>
                <w:sz w:val="17"/>
                <w:szCs w:val="17"/>
              </w:rPr>
              <w:t xml:space="preserve">10</w:t>
            </w:r>
          </w:p>
        </w:tc>
      </w:tr>
      <w:tr>
        <w:tc>
          <w:tcPr>
            <w:tcW w:type="dxa" w:w="450"/>
            <w:tcMar>
              <w:top w:type="dxa" w:w="40"/>
              <w:left w:type="dxa" w:w="90"/>
              <w:bottom w:type="dxa" w:w="40"/>
              <w:right w:type="dxa" w:w="90"/>
            </w:tcMar>
          </w:tcPr>
          <w:p>
            <w:pPr>
              <w:spacing w:after="0"/>
            </w:pPr>
            <w:r>
              <w:rPr>
                <w:sz w:val="17"/>
                <w:szCs w:val="17"/>
              </w:rPr>
              <w:t xml:space="preserve">20</w:t>
            </w:r>
          </w:p>
        </w:tc>
        <w:tc>
          <w:tcPr>
            <w:tcW w:type="dxa" w:w="2500"/>
            <w:tcMar>
              <w:top w:type="dxa" w:w="40"/>
              <w:left w:type="dxa" w:w="90"/>
              <w:bottom w:type="dxa" w:w="40"/>
              <w:right w:type="dxa" w:w="90"/>
            </w:tcMar>
          </w:tcPr>
          <w:p>
            <w:pPr>
              <w:spacing w:after="0"/>
            </w:pPr>
            <w:r>
              <w:rPr>
                <w:sz w:val="17"/>
                <w:szCs w:val="17"/>
              </w:rPr>
              <w:t xml:space="preserve">Ipixuna do Pará</w:t>
            </w:r>
          </w:p>
        </w:tc>
        <w:tc>
          <w:tcPr>
            <w:tcW w:type="dxa" w:w="550"/>
            <w:tcMar>
              <w:top w:type="dxa" w:w="40"/>
              <w:left w:type="dxa" w:w="90"/>
              <w:bottom w:type="dxa" w:w="40"/>
              <w:right w:type="dxa" w:w="90"/>
            </w:tcMar>
          </w:tcPr>
          <w:p>
            <w:pPr>
              <w:spacing w:after="0"/>
            </w:pPr>
            <w:r>
              <w:rPr>
                <w:sz w:val="17"/>
                <w:szCs w:val="17"/>
              </w:rPr>
              <w:t xml:space="preserve">PA</w:t>
            </w:r>
          </w:p>
        </w:tc>
        <w:tc>
          <w:tcPr>
            <w:tcW w:type="dxa" w:w="1000"/>
            <w:tcMar>
              <w:top w:type="dxa" w:w="40"/>
              <w:left w:type="dxa" w:w="90"/>
              <w:bottom w:type="dxa" w:w="40"/>
              <w:right w:type="dxa" w:w="90"/>
            </w:tcMar>
          </w:tcPr>
          <w:p>
            <w:pPr>
              <w:spacing w:after="0"/>
            </w:pPr>
            <w:r>
              <w:rPr>
                <w:sz w:val="17"/>
                <w:szCs w:val="17"/>
              </w:rPr>
              <w:t xml:space="preserve">0,939</w:t>
            </w:r>
          </w:p>
        </w:tc>
        <w:tc>
          <w:tcPr>
            <w:tcW w:type="dxa" w:w="1100"/>
            <w:tcMar>
              <w:top w:type="dxa" w:w="40"/>
              <w:left w:type="dxa" w:w="90"/>
              <w:bottom w:type="dxa" w:w="40"/>
              <w:right w:type="dxa" w:w="90"/>
            </w:tcMar>
          </w:tcPr>
          <w:p>
            <w:pPr>
              <w:spacing w:after="0"/>
            </w:pPr>
            <w:r>
              <w:rPr>
                <w:sz w:val="17"/>
                <w:szCs w:val="17"/>
              </w:rPr>
              <w:t xml:space="preserve">7</w:t>
            </w:r>
          </w:p>
        </w:tc>
        <w:tc>
          <w:tcPr>
            <w:tcW w:type="dxa" w:w="1100"/>
            <w:tcMar>
              <w:top w:type="dxa" w:w="40"/>
              <w:left w:type="dxa" w:w="90"/>
              <w:bottom w:type="dxa" w:w="40"/>
              <w:right w:type="dxa" w:w="90"/>
            </w:tcMar>
          </w:tcPr>
          <w:p>
            <w:pPr>
              <w:spacing w:after="0"/>
            </w:pPr>
            <w:r>
              <w:rPr>
                <w:sz w:val="17"/>
                <w:szCs w:val="17"/>
              </w:rPr>
              <w:t xml:space="preserve">11</w:t>
            </w:r>
          </w:p>
        </w:tc>
      </w:tr>
    </w:tbl>
    <w:p/>
    <w:p>
      <w:pPr>
        <w:ind w:firstLine="709"/>
      </w:pPr>
      <w:r>
        <w:t xml:space="preserve">Todos os 20 têm pressão material em 18/18 anos. Empate aparente no top 3/4: Monte Alegre (1,10893) precede Aveiro (1,10870) pela média não-arredondada. O desempate determinístico pela grandeza original, não pela versão de exibição, foi ele próprio um achado de auditoria (S18). As duas últimas colunas somam 18 em todo município e mostram o que a média agrega: São Domingos do Maranhão tem 15 dos 18 anos sem multa alguma, enquanto Prainha tem 15 dos 18 com resposta presente e ainda assim desproporcional. Os dois chegam a posições vizinhas por caminhos opostos.</w:t>
      </w:r>
    </w:p>
    <w:p>
      <w:r>
        <w:t>A figura 5 mostra o nível; esta mostra a direção, medida como avg_egs_3y menos avg_egs_18y, a mesma quantidade que a figura 8 põe de um lado e de outro da diagonal de identidade. EGS subindo é a lacuna alargando. Duas ressalvas de leitura. Os vinte destacados pelo contorno foram selecionados pela média histórica, e a cor mede a variação contra essa mesma média, o que os puxa mecanicamente para o verde (Spearman -0,173 entre nível e variação). E verde não é veredito: o EGS cai quando a resposta sobe ou quando o desmatamento para, e o índice não distingue os dois casos. O caso extremo saiu da escala de cor: os 381 municípios sem pressão material em 2023–2025 estão agora em cinza, e 161 deles, que tiveram lacuna e deixaram de ter pressão, apareciam como melhora nas versões anteriores desta figura (76 em melhorando, 66 em estável, 19 em melhorando muito). Onde a pressão caiu sem zerar, a ambiguidade permanece, e esta figura deve ser lida contra a figura 2.</w:t>
      </w:r>
    </w:p>
    <w:p>
      <w:pPr>
        <w:jc w:val="center"/>
      </w:pPr>
      <w:r>
        <w:drawing>
          <wp:inline xmlns:a="http://schemas.openxmlformats.org/drawingml/2006/main" xmlns:pic="http://schemas.openxmlformats.org/drawingml/2006/picture">
            <wp:extent cx="5486400" cy="4800600"/>
            <wp:docPr id="1" name="05_egs_trend.png"/>
            <wp:cNvGraphicFramePr>
              <a:graphicFrameLocks noChangeAspect="1"/>
            </wp:cNvGraphicFramePr>
            <a:graphic>
              <a:graphicData uri="http://schemas.openxmlformats.org/drawingml/2006/picture">
                <pic:pic>
                  <pic:nvPicPr>
                    <pic:cNvPr id="0" name="01_deforestation_abs.png"/>
                    <pic:cNvPicPr/>
                  </pic:nvPicPr>
                  <pic:blipFill>
                    <a:blip r:embed="rId91"/>
                    <a:stretch>
                      <a:fillRect/>
                    </a:stretch>
                  </pic:blipFill>
                  <pic:spPr>
                    <a:xfrm>
                      <a:off x="0" y="0"/>
                      <a:ext cx="5486400" cy="4800600"/>
                    </a:xfrm>
                    <a:prstGeom prst="rect"/>
                  </pic:spPr>
                </pic:pic>
              </a:graphicData>
            </a:graphic>
          </wp:inline>
        </w:drawing>
      </w:r>
    </w:p>
    <w:p>
      <w:pPr>
        <w:jc w:val="center"/>
      </w:pPr>
      <w:r>
        <w:rPr>
          <w:i/>
          <w:color w:val="000000"/>
          <w:sz w:val="18"/>
        </w:rPr>
        <w:t>Figura 7. Variação do EGS recente (2023-2025) contra a média histórica; faixa estável para variações abaixo de 0,05; cinza = sem pressão em 2023-2025 (381 municípios, dos quais 161 tiveram pressão antes e deixaram de ter); contorno grosso = top 20 EGS.</w:t>
      </w:r>
    </w:p>
    <w:p>
      <w:pPr>
        <w:ind w:firstLine="709"/>
      </w:pPr>
      <w:r>
        <w:t>Este gráfico de quadrante cruza o EGS médio histórico (18 anos) com o EGS médio recente (2023–2025) para identificar quem está piorando ou melhorando agora, e não apenas ao longo de toda a série. As faixas de cor são as mesmas da Figura 7, que mapeia esta mesma grandeza: a distância até a diagonal de identidade é exatamente a diferença que aquele mapa classifica. O cinza reúne os 381 municípios sem pressão material em 2023–2025, para os quais não há direção a medir: 220 nunca tiveram pressão em dezoito anos e 161 tiveram e deixaram de ter. Esses 161 antes apareciam como melhora, porque o 0-fill zera a média recente e a diferença fica negativa.</w:t>
      </w:r>
    </w:p>
    <w:p>
      <w:pPr>
        <w:jc w:val="center"/>
      </w:pPr>
      <w:r>
        <w:drawing>
          <wp:inline xmlns:a="http://schemas.openxmlformats.org/drawingml/2006/main" xmlns:pic="http://schemas.openxmlformats.org/drawingml/2006/picture">
            <wp:extent cx="5486400" cy="4114800"/>
            <wp:docPr id="1" name="08_quadrant.png"/>
            <wp:cNvGraphicFramePr>
              <a:graphicFrameLocks noChangeAspect="1"/>
            </wp:cNvGraphicFramePr>
            <a:graphic>
              <a:graphicData uri="http://schemas.openxmlformats.org/drawingml/2006/picture">
                <pic:pic>
                  <pic:nvPicPr>
                    <pic:cNvPr id="0" name="01_deforestation_abs.png"/>
                    <pic:cNvPicPr/>
                  </pic:nvPicPr>
                  <pic:blipFill>
                    <a:blip r:embed="rId13"/>
                    <a:stretch>
                      <a:fillRect/>
                    </a:stretch>
                  </pic:blipFill>
                  <pic:spPr>
                    <a:xfrm>
                      <a:off x="0" y="0"/>
                      <a:ext cx="5486400" cy="4114800"/>
                    </a:xfrm>
                    <a:prstGeom prst="rect"/>
                  </pic:spPr>
                </pic:pic>
              </a:graphicData>
            </a:graphic>
          </wp:inline>
        </w:drawing>
      </w:r>
    </w:p>
    <w:p>
      <w:pPr>
        <w:jc w:val="center"/>
      </w:pPr>
      <w:r>
        <w:rPr>
          <w:i/>
          <w:color w:val="000000"/>
          <w:sz w:val="18"/>
        </w:rPr>
        <w:t>Figura 8. Histórico × recente, nas faixas da Figura 7. Acima da diagonal = piorando; cinza = sem pressão em 2023–2025 (381, dos quais 161 tiveram pressão antes).</w:t>
      </w:r>
    </w:p>
    <w:p>
      <w:pPr>
        <w:pStyle w:val="Heading2"/>
      </w:pPr>
      <w:r>
        <w:t xml:space="preserve">5.3 Casos-teste</w:t>
      </w:r>
    </w:p>
    <w:p>
      <w:pPr>
        <w:ind w:firstLine="709"/>
      </w:pPr>
      <w:r>
        <w:t xml:space="preserve">Os casos qualitativos, Cumaru do Norte (presença federal ineficaz), Apuí (validação temporal: pior trecho 2020–22, resposta chegando em 2023–25 e o índice registrando a correção), Nova Nazaré (custo do 0-fill), Cujubim (eixo territorial distinto), estão detalhados no writing sample; todos os seus números foram reconfirmados na replicação de 2026-08-03. A comparação com os rankings descartados das versões 2 e 3, que mostra quais achados sobrevivem a uma troca completa de método e o que cada queda revela sobre o que o desenho novo passou a pesar, está desenvolvida no writing sample, seção 6.1.</w:t>
      </w:r>
    </w:p>
    <w:p>
      <w:pPr>
        <w:ind w:firstLine="709"/>
      </w:pPr>
      <w:r>
        <w:t xml:space="preserve">As séries anuais dos cinco casos discutidos no texto mostram a distinção que a média de dezoito anos agrega e que uma tabela não exibe. Cachoeira do Piriá é alta e contínua; Cumaru do Norte sobe ao longo da série, apesar dos 112 autos e dos R$ 761,9 milhões que recebeu; Nova Nazaré tem dois anos não nulos em dezoito; Governador Luiz Rocha declina devagar. Apuí é a exceção instrutiva: sua série é plana entre 0,5 e 0,8, e o pico de 2009 é o ano de auto único comentado no writing sample. A correção de 2023–2025 que aquele texto descreve não aparece aqui porque ela está do lado da resposta, que este gráfico não plota. Persistência e episódio têm formas diferentes, e é essa diferença que o ranking pondera.</w:t>
      </w:r>
    </w:p>
    <w:p>
      <w:pPr>
        <w:jc w:val="center"/>
      </w:pPr>
      <w:r>
        <w:drawing>
          <wp:inline xmlns:a="http://schemas.openxmlformats.org/drawingml/2006/main" xmlns:pic="http://schemas.openxmlformats.org/drawingml/2006/picture">
            <wp:extent cx="5486400" cy="3364992"/>
            <wp:docPr id="1" name="18_anchor_small_multiples.png"/>
            <wp:cNvGraphicFramePr>
              <a:graphicFrameLocks noChangeAspect="1"/>
            </wp:cNvGraphicFramePr>
            <a:graphic>
              <a:graphicData uri="http://schemas.openxmlformats.org/drawingml/2006/picture">
                <pic:pic>
                  <pic:nvPicPr>
                    <pic:cNvPr id="0" name="01_deforestation_abs.png"/>
                    <pic:cNvPicPr/>
                  </pic:nvPicPr>
                  <pic:blipFill>
                    <a:blip r:embed="rId25"/>
                    <a:stretch>
                      <a:fillRect/>
                    </a:stretch>
                  </pic:blipFill>
                  <pic:spPr>
                    <a:xfrm>
                      <a:off x="0" y="0"/>
                      <a:ext cx="5486400" cy="3364992"/>
                    </a:xfrm>
                    <a:prstGeom prst="rect"/>
                  </pic:spPr>
                </pic:pic>
              </a:graphicData>
            </a:graphic>
          </wp:inline>
        </w:drawing>
      </w:r>
    </w:p>
    <w:p>
      <w:pPr>
        <w:jc w:val="center"/>
      </w:pPr>
      <w:r>
        <w:rPr>
          <w:i/>
          <w:color w:val="000000"/>
          <w:sz w:val="18"/>
        </w:rPr>
        <w:t>Figura 9. EGS anual dos cinco casos-âncora (2008–2025). Escalas iguais entre painéis; o eixo y é o EGS anual, não o rank.</w:t>
      </w:r>
    </w:p>
    <w:p>
      <w:pPr>
        <w:pStyle w:val="Heading2"/>
      </w:pPr>
      <w:r>
        <w:t xml:space="preserve">5.4 Verificação externa</w:t>
      </w:r>
    </w:p>
    <w:p>
      <w:pPr>
        <w:ind w:firstLine="709"/>
      </w:pPr>
      <w:r>
        <w:t xml:space="preserve">9/20 do topo constam do Anexo I da Portaria GM/MMA nº 1.202/2024 (81 municípios prioritários): Mojuí dos Campos (8º), Maués (9º), Santa Maria das Barreiras (10º), Itupiranga (11º), Cumaru do Norte (12º), Jacareacanga (13º), Medicilândia (14º), Prainha (16º) e Santana do Araguaia (17º). A distribuição é informativa: as coincidências se concentram nas posições 8–17 e nenhum dos sete primeiros consta da lista, que ordena por volume bruto; nenhum dos 20 aparece no Anexo II (“desmatamento monitorado e sob controle”). A lista foi atualizada pela Portaria GM/MMA nº 1.717/2026, que passa a 89 municípios em AC, AM, MA, MT, PA, RO e RR; o overlap contra essa versão não foi recomputado. A limitação federal-only é concreta, não genérica: o balanço oficial de dois anos da Operação Curupira (SEMAS-PA, fev/2025) registra 1.792 fiscalizações, 471 autos e 521 mil ha embargados; a Operação Tamoiotatá 2025 (IPAAM-AM) aplicou R$ 144,7 milhões e interditou 16.176 ha, incluindo Maués (9º). Todos os números externos citados têm fonte localizável desde a quarta auditoria; Mesmo o caso nº 1 tem resposta federal que o índice não vê: em setembro de 2025 a Polícia Federal, com apoio do IBAMA, fechou cinco garimpos ilegais de ouro em Cachoeira do Piriá, inutilizando nove tratores e cerca de 45 motores. Os três autos do município em 2025 são todos de tipo “Qualidade Ambiental”, nenhum de desmatamento: o motor da supressão ali é garimpo, e a fiscalização que ele atrai não é lavrada como infração de desmatamento.</w:t>
      </w:r>
    </w:p>
    <w:p>
      <w:pPr>
        <w:pStyle w:val="Heading2"/>
      </w:pPr>
      <w:r>
        <w:t xml:space="preserve">5.5 Teste dinâmico de responsividade: efeitos fixos e event study</w:t>
      </w:r>
    </w:p>
    <w:p>
      <w:pPr>
        <w:ind w:firstLine="709"/>
      </w:pPr>
      <w:r>
        <w:t xml:space="preserve">Além da fórmula e do ranking, o painel foi usado para testar diretamente o mecanismo teórico do projeto de doutorado associado (sinal → visibilidade → custo político → resposta): um salto abrupto de desmatamento deveria, por essa lógica, elevar a fiscalização no período seguinte. Testado em painel de efeitos fixos bidimensionais (município e ano, erros-padrão clusterizados por município): o mesmo desenho planejado para a tese, reproduzido em R/fixest (viz/05_panel_effects.R, itens 11 e 12).</w:t>
      </w:r>
    </w:p>
    <w:p>
      <w:pPr>
        <w:ind w:firstLine="709"/>
      </w:pPr>
      <w:r>
        <w:t xml:space="preserve">Nível: dentro do mesmo município, mais área desmatada no ano corrente e no anterior prevê mais autos e mais multa (p&lt;0,01 em ambos): confirma o piso mínimo que a hipótese assume.</w:t>
      </w:r>
    </w:p>
    <w:p>
      <w:pPr>
        <w:ind w:firstLine="709"/>
      </w:pPr>
      <w:r>
        <w:t xml:space="preserve">Corte estreito (um lag): isolando a variação abrupta (Δlog-área de t−1 para t) como preditor da resposta em t+1, controlando o nível contemporâneo, o sinal é o oposto do esperado: um salto abrupto está associado a MENOS autos e MENOS multa no ano seguinte (autos: −0,057, p &lt; 0,01, modelo m2; multa: −0,399, p &lt; 0,001, modelo m2f), efeito que sobrevive ao controle por área em t+1 e persiste em t+2. “Associado”, e não “prevê”: o desenho é observacional, e o regressor de interesse é por construção função do nível de desmatamento que entra como controle. Separado em alta (d_pos) e queda (d_neg) abruptas, o efeito é específico da alta (autos: −0,114, EP 0,032, p &lt; 0,001; queda: −0,005, n.s.): descartando reversão à média genérica como explicação mecânica.</w:t>
      </w:r>
    </w:p>
    <w:p>
      <w:pPr>
        <w:ind w:firstLine="709"/>
      </w:pPr>
      <w:r>
        <w:t xml:space="preserve">Teste dinâmico (event study): a especificação de um lag isolado é a mais favorável ao efeito. Estimando simultaneamente leads e lags do salto (tempo-evento -2 a +2, placebos em -2/-1, mesmos efeitos fixos e cluster), o quadro muda: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cantSplit/>
          <w:tblHeader/>
        </w:trPr>
        <w:tc>
          <w:tcPr>
            <w:tcW w:type="dxa" w:w="3200"/>
            <w:shd w:fill="DDE5DC" w:val="clear"/>
            <w:tcMar>
              <w:top w:type="dxa" w:w="50"/>
              <w:left w:type="dxa" w:w="90"/>
              <w:bottom w:type="dxa" w:w="50"/>
              <w:right w:type="dxa" w:w="90"/>
            </w:tcMar>
          </w:tcPr>
          <w:p>
            <w:pPr>
              <w:spacing w:after="0"/>
            </w:pPr>
            <w:r>
              <w:rPr>
                <w:b/>
                <w:bCs/>
                <w:sz w:val="17"/>
                <w:szCs w:val="17"/>
              </w:rPr>
              <w:t xml:space="preserve">Tempo-evento</w:t>
            </w:r>
          </w:p>
        </w:tc>
        <w:tc>
          <w:tcPr>
            <w:tcW w:type="dxa" w:w="3200"/>
            <w:shd w:fill="DDE5DC" w:val="clear"/>
            <w:tcMar>
              <w:top w:type="dxa" w:w="50"/>
              <w:left w:type="dxa" w:w="90"/>
              <w:bottom w:type="dxa" w:w="50"/>
              <w:right w:type="dxa" w:w="90"/>
            </w:tcMar>
          </w:tcPr>
          <w:p>
            <w:pPr>
              <w:spacing w:after="0"/>
            </w:pPr>
            <w:r>
              <w:rPr>
                <w:b/>
                <w:bCs/>
                <w:sz w:val="17"/>
                <w:szCs w:val="17"/>
              </w:rPr>
              <w:t xml:space="preserve">log(1+autos)</w:t>
            </w:r>
          </w:p>
        </w:tc>
        <w:tc>
          <w:tcPr>
            <w:tcW w:type="dxa" w:w="3200"/>
            <w:shd w:fill="DDE5DC" w:val="clear"/>
            <w:tcMar>
              <w:top w:type="dxa" w:w="50"/>
              <w:left w:type="dxa" w:w="90"/>
              <w:bottom w:type="dxa" w:w="50"/>
              <w:right w:type="dxa" w:w="90"/>
            </w:tcMar>
          </w:tcPr>
          <w:p>
            <w:pPr>
              <w:spacing w:after="0"/>
            </w:pPr>
            <w:r>
              <w:rPr>
                <w:b/>
                <w:bCs/>
                <w:sz w:val="17"/>
                <w:szCs w:val="17"/>
              </w:rPr>
              <w:t xml:space="preserve">log(1+multa, deflacionada)</w:t>
            </w:r>
          </w:p>
        </w:tc>
      </w:tr>
      <w:tr>
        <w:tc>
          <w:tcPr>
            <w:tcW w:type="dxa" w:w="3200"/>
            <w:tcMar>
              <w:top w:type="dxa" w:w="40"/>
              <w:left w:type="dxa" w:w="90"/>
              <w:bottom w:type="dxa" w:w="40"/>
              <w:right w:type="dxa" w:w="90"/>
            </w:tcMar>
          </w:tcPr>
          <w:p>
            <w:pPr>
              <w:spacing w:after="0"/>
            </w:pPr>
            <w:r>
              <w:rPr>
                <w:sz w:val="17"/>
                <w:szCs w:val="17"/>
              </w:rPr>
              <w:t xml:space="preserve">-2 (placebo)</w:t>
            </w:r>
          </w:p>
        </w:tc>
        <w:tc>
          <w:tcPr>
            <w:tcW w:type="dxa" w:w="3200"/>
            <w:tcMar>
              <w:top w:type="dxa" w:w="40"/>
              <w:left w:type="dxa" w:w="90"/>
              <w:bottom w:type="dxa" w:w="40"/>
              <w:right w:type="dxa" w:w="90"/>
            </w:tcMar>
          </w:tcPr>
          <w:p>
            <w:pPr>
              <w:spacing w:after="0"/>
            </w:pPr>
            <w:r>
              <w:rPr>
                <w:sz w:val="17"/>
                <w:szCs w:val="17"/>
              </w:rPr>
              <w:t xml:space="preserve">+0,036 (0,029) n.s.</w:t>
            </w:r>
          </w:p>
        </w:tc>
        <w:tc>
          <w:tcPr>
            <w:tcW w:type="dxa" w:w="3200"/>
            <w:tcMar>
              <w:top w:type="dxa" w:w="40"/>
              <w:left w:type="dxa" w:w="90"/>
              <w:bottom w:type="dxa" w:w="40"/>
              <w:right w:type="dxa" w:w="90"/>
            </w:tcMar>
          </w:tcPr>
          <w:p>
            <w:pPr>
              <w:spacing w:after="0"/>
            </w:pPr>
            <w:r>
              <w:rPr>
                <w:sz w:val="17"/>
                <w:szCs w:val="17"/>
              </w:rPr>
              <w:t xml:space="preserve">+0,196 (0,195) n.s.</w:t>
            </w:r>
          </w:p>
        </w:tc>
      </w:tr>
      <w:tr>
        <w:tc>
          <w:tcPr>
            <w:tcW w:type="dxa" w:w="3200"/>
            <w:tcMar>
              <w:top w:type="dxa" w:w="40"/>
              <w:left w:type="dxa" w:w="90"/>
              <w:bottom w:type="dxa" w:w="40"/>
              <w:right w:type="dxa" w:w="90"/>
            </w:tcMar>
          </w:tcPr>
          <w:p>
            <w:pPr>
              <w:spacing w:after="0"/>
            </w:pPr>
            <w:r>
              <w:rPr>
                <w:sz w:val="17"/>
                <w:szCs w:val="17"/>
              </w:rPr>
              <w:t xml:space="preserve">-1 (placebo)</w:t>
            </w:r>
          </w:p>
        </w:tc>
        <w:tc>
          <w:tcPr>
            <w:tcW w:type="dxa" w:w="3200"/>
            <w:tcMar>
              <w:top w:type="dxa" w:w="40"/>
              <w:left w:type="dxa" w:w="90"/>
              <w:bottom w:type="dxa" w:w="40"/>
              <w:right w:type="dxa" w:w="90"/>
            </w:tcMar>
          </w:tcPr>
          <w:p>
            <w:pPr>
              <w:spacing w:after="0"/>
            </w:pPr>
            <w:r>
              <w:rPr>
                <w:sz w:val="17"/>
                <w:szCs w:val="17"/>
              </w:rPr>
              <w:t xml:space="preserve">−0,001 (0,030) n.s.</w:t>
            </w:r>
          </w:p>
        </w:tc>
        <w:tc>
          <w:tcPr>
            <w:tcW w:type="dxa" w:w="3200"/>
            <w:tcMar>
              <w:top w:type="dxa" w:w="40"/>
              <w:left w:type="dxa" w:w="90"/>
              <w:bottom w:type="dxa" w:w="40"/>
              <w:right w:type="dxa" w:w="90"/>
            </w:tcMar>
          </w:tcPr>
          <w:p>
            <w:pPr>
              <w:spacing w:after="0"/>
            </w:pPr>
            <w:r>
              <w:rPr>
                <w:sz w:val="17"/>
                <w:szCs w:val="17"/>
              </w:rPr>
              <w:t xml:space="preserve">+0,071 (0,218) n.s.</w:t>
            </w:r>
          </w:p>
        </w:tc>
      </w:tr>
      <w:tr>
        <w:tc>
          <w:tcPr>
            <w:tcW w:type="dxa" w:w="3200"/>
            <w:tcMar>
              <w:top w:type="dxa" w:w="40"/>
              <w:left w:type="dxa" w:w="90"/>
              <w:bottom w:type="dxa" w:w="40"/>
              <w:right w:type="dxa" w:w="90"/>
            </w:tcMar>
          </w:tcPr>
          <w:p>
            <w:pPr>
              <w:spacing w:after="0"/>
            </w:pPr>
            <w:r>
              <w:rPr>
                <w:sz w:val="17"/>
                <w:szCs w:val="17"/>
              </w:rPr>
              <w:t xml:space="preserve">0 (pico)</w:t>
            </w:r>
          </w:p>
        </w:tc>
        <w:tc>
          <w:tcPr>
            <w:tcW w:type="dxa" w:w="3200"/>
            <w:tcMar>
              <w:top w:type="dxa" w:w="40"/>
              <w:left w:type="dxa" w:w="90"/>
              <w:bottom w:type="dxa" w:w="40"/>
              <w:right w:type="dxa" w:w="90"/>
            </w:tcMar>
          </w:tcPr>
          <w:p>
            <w:pPr>
              <w:spacing w:after="0"/>
            </w:pPr>
            <w:r>
              <w:rPr>
                <w:sz w:val="17"/>
                <w:szCs w:val="17"/>
              </w:rPr>
              <w:t xml:space="preserve">−0,063 (0,047) n.s.</w:t>
            </w:r>
          </w:p>
        </w:tc>
        <w:tc>
          <w:tcPr>
            <w:tcW w:type="dxa" w:w="3200"/>
            <w:tcMar>
              <w:top w:type="dxa" w:w="40"/>
              <w:left w:type="dxa" w:w="90"/>
              <w:bottom w:type="dxa" w:w="40"/>
              <w:right w:type="dxa" w:w="90"/>
            </w:tcMar>
          </w:tcPr>
          <w:p>
            <w:pPr>
              <w:spacing w:after="0"/>
            </w:pPr>
            <w:r>
              <w:rPr>
                <w:sz w:val="17"/>
                <w:szCs w:val="17"/>
              </w:rPr>
              <w:t xml:space="preserve">−0,212 (0,273) n.s.</w:t>
            </w:r>
          </w:p>
        </w:tc>
      </w:tr>
      <w:tr>
        <w:tc>
          <w:tcPr>
            <w:tcW w:type="dxa" w:w="3200"/>
            <w:tcMar>
              <w:top w:type="dxa" w:w="40"/>
              <w:left w:type="dxa" w:w="90"/>
              <w:bottom w:type="dxa" w:w="40"/>
              <w:right w:type="dxa" w:w="90"/>
            </w:tcMar>
          </w:tcPr>
          <w:p>
            <w:pPr>
              <w:spacing w:after="0"/>
            </w:pPr>
            <w:r>
              <w:rPr>
                <w:sz w:val="17"/>
                <w:szCs w:val="17"/>
              </w:rPr>
              <w:t xml:space="preserve">+1</w:t>
            </w:r>
          </w:p>
        </w:tc>
        <w:tc>
          <w:tcPr>
            <w:tcW w:type="dxa" w:w="3200"/>
            <w:tcMar>
              <w:top w:type="dxa" w:w="40"/>
              <w:left w:type="dxa" w:w="90"/>
              <w:bottom w:type="dxa" w:w="40"/>
              <w:right w:type="dxa" w:w="90"/>
            </w:tcMar>
          </w:tcPr>
          <w:p>
            <w:pPr>
              <w:spacing w:after="0"/>
            </w:pPr>
            <w:r>
              <w:rPr>
                <w:sz w:val="17"/>
                <w:szCs w:val="17"/>
              </w:rPr>
              <w:t xml:space="preserve">−0,034 (0,031) n.s.</w:t>
            </w:r>
          </w:p>
        </w:tc>
        <w:tc>
          <w:tcPr>
            <w:tcW w:type="dxa" w:w="3200"/>
            <w:tcMar>
              <w:top w:type="dxa" w:w="40"/>
              <w:left w:type="dxa" w:w="90"/>
              <w:bottom w:type="dxa" w:w="40"/>
              <w:right w:type="dxa" w:w="90"/>
            </w:tcMar>
          </w:tcPr>
          <w:p>
            <w:pPr>
              <w:spacing w:after="0"/>
            </w:pPr>
            <w:r>
              <w:rPr>
                <w:sz w:val="17"/>
                <w:szCs w:val="17"/>
              </w:rPr>
              <w:t xml:space="preserve">0,000 (0,207) n.s.</w:t>
            </w:r>
          </w:p>
        </w:tc>
      </w:tr>
      <w:tr>
        <w:tc>
          <w:tcPr>
            <w:tcW w:type="dxa" w:w="3200"/>
            <w:tcMar>
              <w:top w:type="dxa" w:w="40"/>
              <w:left w:type="dxa" w:w="90"/>
              <w:bottom w:type="dxa" w:w="40"/>
              <w:right w:type="dxa" w:w="90"/>
            </w:tcMar>
          </w:tcPr>
          <w:p>
            <w:pPr>
              <w:spacing w:after="0"/>
            </w:pPr>
            <w:r>
              <w:rPr>
                <w:sz w:val="17"/>
                <w:szCs w:val="17"/>
              </w:rPr>
              <w:t xml:space="preserve">+2</w:t>
            </w:r>
          </w:p>
        </w:tc>
        <w:tc>
          <w:tcPr>
            <w:tcW w:type="dxa" w:w="3200"/>
            <w:tcMar>
              <w:top w:type="dxa" w:w="40"/>
              <w:left w:type="dxa" w:w="90"/>
              <w:bottom w:type="dxa" w:w="40"/>
              <w:right w:type="dxa" w:w="90"/>
            </w:tcMar>
          </w:tcPr>
          <w:p>
            <w:pPr>
              <w:spacing w:after="0"/>
            </w:pPr>
            <w:r>
              <w:rPr>
                <w:sz w:val="17"/>
                <w:szCs w:val="17"/>
              </w:rPr>
              <w:t xml:space="preserve">−0,015 (0,024) n.s.</w:t>
            </w:r>
          </w:p>
        </w:tc>
        <w:tc>
          <w:tcPr>
            <w:tcW w:type="dxa" w:w="3200"/>
            <w:tcMar>
              <w:top w:type="dxa" w:w="40"/>
              <w:left w:type="dxa" w:w="90"/>
              <w:bottom w:type="dxa" w:w="40"/>
              <w:right w:type="dxa" w:w="90"/>
            </w:tcMar>
          </w:tcPr>
          <w:p>
            <w:pPr>
              <w:spacing w:after="0"/>
            </w:pPr>
            <w:r>
              <w:rPr>
                <w:sz w:val="17"/>
                <w:szCs w:val="17"/>
              </w:rPr>
              <w:t xml:space="preserve">+0,144 (0,181) n.s.</w:t>
            </w:r>
          </w:p>
        </w:tc>
      </w:tr>
    </w:tbl>
    <w:p>
      <w:pPr>
        <w:jc w:val="center"/>
      </w:pPr>
      <w:r>
        <w:rPr>
          <w:i/>
          <w:color w:val="000000"/>
          <w:sz w:val="18"/>
        </w:rPr>
        <w:t xml:space="preserve">Estimativas geradas por viz/05_panel_effects.R (fixest 0.12.1); efeitos fixos de município e ano, erros-padrão clusterizados por município entre parênteses; N = 10.036 nos dois desfechos.</w:t>
      </w:r>
    </w:p>
    <w:p>
      <w:pPr>
        <w:ind w:firstLine="709"/>
      </w:pPr>
      <w:r>
        <w:t xml:space="preserve">Para autos, a trajetória é direcionalmente compatível com o corte estreito (placebos achatados, negativos em 0/+1/+2), mas nenhum coeficiente é individualmente significante; para multas o padrão não se sustenta. Multicolinearidade entre os lags e a amostra menor (exige t-2 e t+2 simultâneos disponíveis) explicam parte do enfraquecimento.</w:t>
      </w:r>
    </w:p>
    <w:p>
      <w:pPr>
        <w:ind w:firstLine="709"/>
      </w:pPr>
      <w:r>
        <w:t xml:space="preserve">Leitura: o corte de um lag isolado sugeriu uma “ressaca administrativa”: o pico de degradação deprimindo, não elevando, a resposta seguinte, o oposto do mecanismo de visibilidade que a hipótese prevê. O event study não confirma esse padrão com significância estatística. Tratado como indício frágil, não como achado, e como demonstração de que a especificação estreita, sozinha, teria sido enganosa: o teste dinâmico é precisamente o instrumento que a tese planeja construir com grão mensal e comparação Brasil-Indonésia.</w:t>
      </w:r>
    </w:p>
    <w:p>
      <w:pPr>
        <w:ind w:firstLine="709"/>
      </w:pPr>
      <w:r>
        <w:t xml:space="preserve">O gráfico de coeficientes resume as especificações do modelo de efeitos fixos bidirecionais (município e ano): cada ponto é uma estimativa com intervalo de confiança de 95%. Dentro do mesmo município, mais desmatamento no ano corrente está associado a mais autuações; já um salto abrupto de desmatamento está associado a menos autuações no ano seguinte. É associação condicional num painel observacional, e um indício frágil, que o event study da figura seguinte não confirma.</w:t>
      </w:r>
    </w:p>
    <w:p>
      <w:pPr>
        <w:jc w:val="center"/>
      </w:pPr>
      <w:r>
        <w:drawing>
          <wp:inline xmlns:a="http://schemas.openxmlformats.org/drawingml/2006/main" xmlns:pic="http://schemas.openxmlformats.org/drawingml/2006/picture">
            <wp:extent cx="5486400" cy="3429000"/>
            <wp:docPr id="1" name="14_coefficient_plot.png"/>
            <wp:cNvGraphicFramePr>
              <a:graphicFrameLocks noChangeAspect="1"/>
            </wp:cNvGraphicFramePr>
            <a:graphic>
              <a:graphicData uri="http://schemas.openxmlformats.org/drawingml/2006/picture">
                <pic:pic>
                  <pic:nvPicPr>
                    <pic:cNvPr id="0" name="01_deforestation_abs.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000000"/>
          <w:sz w:val="18"/>
        </w:rPr>
        <w:t>Figura 10. Estimativas de painel FE bidimensional (município+ano).</w:t>
      </w:r>
    </w:p>
    <w:p>
      <w:pPr>
        <w:ind w:firstLine="709"/>
      </w:pPr>
      <w:r>
        <w:t xml:space="preserve">O event study testa essa anomalia de forma distribuída no tempo, mostrando o efeito de um surto de desmatamento sobre autos e multas numa janela de −2 a +2 anos, com dois períodos de placebo antes do surto; o padrão é direcionalmente consistente para autos, mas os intervalos de confiança cruzam zero: achado frágil, não confirmado.</w:t>
      </w:r>
    </w:p>
    <w:p>
      <w:pPr>
        <w:jc w:val="center"/>
      </w:pPr>
      <w:r>
        <w:drawing>
          <wp:inline xmlns:a="http://schemas.openxmlformats.org/drawingml/2006/main" xmlns:pic="http://schemas.openxmlformats.org/drawingml/2006/picture">
            <wp:extent cx="5486400" cy="3429000"/>
            <wp:docPr id="1" name="15_event_study.png"/>
            <wp:cNvGraphicFramePr>
              <a:graphicFrameLocks noChangeAspect="1"/>
            </wp:cNvGraphicFramePr>
            <a:graphic>
              <a:graphicData uri="http://schemas.openxmlformats.org/drawingml/2006/picture">
                <pic:pic>
                  <pic:nvPicPr>
                    <pic:cNvPr id="0" name="01_deforestation_abs.png"/>
                    <pic:cNvPicPr/>
                  </pic:nvPicPr>
                  <pic:blipFill>
                    <a:blip r:embed="rId20"/>
                    <a:stretch>
                      <a:fillRect/>
                    </a:stretch>
                  </pic:blipFill>
                  <pic:spPr>
                    <a:xfrm>
                      <a:off x="0" y="0"/>
                      <a:ext cx="5486400" cy="3429000"/>
                    </a:xfrm>
                    <a:prstGeom prst="rect"/>
                  </pic:spPr>
                </pic:pic>
              </a:graphicData>
            </a:graphic>
          </wp:inline>
        </w:drawing>
      </w:r>
    </w:p>
    <w:p>
      <w:pPr>
        <w:jc w:val="center"/>
      </w:pPr>
      <w:r>
        <w:rPr>
          <w:i/>
          <w:color w:val="000000"/>
          <w:sz w:val="18"/>
        </w:rPr>
        <w:t>Figura 11. Event study da ressaca: direcional (autos), frágil (ICs cruzam zero).</w:t>
      </w:r>
    </w:p>
    <w:p>
      <w:pPr>
        <w:pStyle w:val="Heading1"/>
      </w:pPr>
      <w:r>
        <w:t xml:space="preserve">6. Limitações sistêmicas</w:t>
      </w:r>
    </w:p>
    <w:p>
      <w:pPr>
        <w:ind w:firstLine="709"/>
      </w:pPr>
      <w:r>
        <w:t>(1) Lacuna federal, não lacuna simpliciter. Três situações são indistinguíveis com este dado: ausência real, substituição estadual, presença sem efeito; o viés é conservador numa direção só (onde há fiscalização estadual não capturada, a lacuna total é menor que a medida, nunca maior). Há uma segunda fonte de viés na mesma direção: desmatamento autorizado infla o numerador, ver (2). E há uma quarta situação, mensurável: presença federal em outro instrumento. O índice conta autos de tipo desmatamento; nos vinte do topo, são 1.187 dos 3.513 registrados no período, 34%. Ficam de fora fauna, pesca, controle ambiental, cadastro e unidade de conservação. Esta última é a limitação de (2) vista pelo lado do dado: em Jacareacanga, 152 dos autos não contados são de tipo “Unidade de Conservação”, e a resposta em território gerido pelo ICMBio não é lavrada pelo braço que este índice conta. Nos extremos, Cachoeira do Piriá conta 18% e Acará, 14%. (2) PRODES ≠ desmatamento ilegal (caso Barra do Bugres; nenhuma checagem sistemática de AUTEX/DOF no top 20). A busca externa da sexta auditoria encontrou supressão licenciada em Oriximiná, 19º (Mineração Rio do Norte, 12.639 ha até 2022 na Flona Saracá-Taquera, sob licenciamento federal) em Autazes, 18º (projeto de potássio licenciado pelo IPAAM em abr/2024); e em Acará, 7º (cerca de 4.800 ha convertidos entre 2007 e 2018 para dendê, sobre 26.520 ha no painel, com autorização alegada pelas empresas e contestada por pesquisadores); e território sob regime especial em Porto de Moz, 2º (Resex federal Verde para Sempre, gerida pelo ICMBio) e Jacareacanga, 13º (TI Munduruku, cerca de 40% do território municipal, sob desintrusão federal). Nenhum invalida o índice; todos mostram que a mesma posição pode significar arranjos institucionais distintos. (3) Resposta = autos lavrados, não embargos/apreensões/arrecadação. (4) Amazônia Legal apenas; extensão exige join espacial. (5) EGS ordinal: distâncias entre scores não se interpretam. (6) Calendário PRODES (ago–jul) vs. civil (IBAMA), sobreposição ~7/12 meses. (7) O último ano do painel, 2025, já é taxa consolidada (INPE, 10/03/2026, anterior ao snapshot de 25/04/2026), e segue passível de revisão em reprocessamentos futuros do PRODES, como qualquer ano da série; o desvio de -8,3% contra a taxa oficial é diferença de objeto, não consolidação pendente, ver §4.1. (8) Atribuição municipal do auto: verificada, não presumida. O pipeline lê COD_MUNICIPIO como o município do fato. O CSV bruto traz também NUM_LATITUDE_AUTO e NUM_LONGITUDE_AUTO, que nenhuma camada deste projeto usa; um teste de ponto em polígono contra a malha municipal do IBGE, sobre os 39.486 autos do painel com coordenada plausível, situa 93,5% deles dentro do polígono do município declarado. A taxa é a mesma nas capitais (Belém 92,7%, Manaus 94,5%) e nas fronteiras de desmatamento (Altamira 94,0%, Itaituba 93,7%), o que afasta a hipótese de que a coluna registre o local de lavratura do auto e não o do fato. Dos 6,2% discordantes, 37% estão a menos de 5 km da fronteira do município declarado, compatível com precisão de GPS e vintage de malha; cerca de 460 autos, ou 1% do total, estão a mais de 100 km e são erro de registro. Outros 4.606 autos (7,9% dos 58.242 que trazem coordenada) têm coordenada impossível, com latitude chegando a 86 graus: irrelevante aqui, porque nenhuma coluna geográfica do auto é lida, e incontornável em qualquer extensão para o grão de coordenada. Esta verificação não integra o código publicado porque exige a pasta data/data_ibama/ completa, não versionada por conter nome e CPF/CNPJ do autuado.</w:t>
      </w:r>
    </w:p>
    <w:p>
      <w:pPr>
        <w:pStyle w:val="Heading1"/>
      </w:pPr>
      <w:r>
        <w:t xml:space="preserve">7. Registro de mudanças: resumo para auditoria</w:t>
      </w:r>
    </w:p>
    <w:p>
      <w:pPr>
        <w:ind w:firstLine="709"/>
      </w:pPr>
      <w:r>
        <w:t xml:space="preserve">O histórico linha a linha de cada correção (sucessivas rodadas de auditoria adversarial) foi mantido como registro de desenvolvimento interno, não incluído neste repositório; o resumo das mudanças que alteraram números publicados é a tabela abaixo: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50"/>
        <w:gridCol w:w="4100"/>
        <w:gridCol w:w="3850"/>
      </w:tblGrid>
      <w:tr>
        <w:trPr>
          <w:cantSplit/>
          <w:tblHeader/>
        </w:trPr>
        <w:tc>
          <w:tcPr>
            <w:tcW w:type="dxa" w:w="1750"/>
            <w:shd w:fill="DDE5DC" w:val="clear"/>
            <w:tcMar>
              <w:top w:type="dxa" w:w="50"/>
              <w:left w:type="dxa" w:w="90"/>
              <w:bottom w:type="dxa" w:w="50"/>
              <w:right w:type="dxa" w:w="90"/>
            </w:tcMar>
          </w:tcPr>
          <w:p>
            <w:pPr>
              <w:spacing w:after="0"/>
            </w:pPr>
            <w:r>
              <w:rPr>
                <w:b/>
                <w:bCs/>
                <w:sz w:val="17"/>
                <w:szCs w:val="17"/>
              </w:rPr>
              <w:t xml:space="preserve">Fase</w:t>
            </w:r>
          </w:p>
        </w:tc>
        <w:tc>
          <w:tcPr>
            <w:tcW w:type="dxa" w:w="4100"/>
            <w:shd w:fill="DDE5DC" w:val="clear"/>
            <w:tcMar>
              <w:top w:type="dxa" w:w="50"/>
              <w:left w:type="dxa" w:w="90"/>
              <w:bottom w:type="dxa" w:w="50"/>
              <w:right w:type="dxa" w:w="90"/>
            </w:tcMar>
          </w:tcPr>
          <w:p>
            <w:pPr>
              <w:spacing w:after="0"/>
            </w:pPr>
            <w:r>
              <w:rPr>
                <w:b/>
                <w:bCs/>
                <w:sz w:val="17"/>
                <w:szCs w:val="17"/>
              </w:rPr>
              <w:t xml:space="preserve">Mudança substantiva</w:t>
            </w:r>
          </w:p>
        </w:tc>
        <w:tc>
          <w:tcPr>
            <w:tcW w:type="dxa" w:w="3850"/>
            <w:shd w:fill="DDE5DC" w:val="clear"/>
            <w:tcMar>
              <w:top w:type="dxa" w:w="50"/>
              <w:left w:type="dxa" w:w="90"/>
              <w:bottom w:type="dxa" w:w="50"/>
              <w:right w:type="dxa" w:w="90"/>
            </w:tcMar>
          </w:tcPr>
          <w:p>
            <w:pPr>
              <w:spacing w:after="0"/>
            </w:pPr>
            <w:r>
              <w:rPr>
                <w:b/>
                <w:bCs/>
                <w:sz w:val="17"/>
                <w:szCs w:val="17"/>
              </w:rPr>
              <w:t xml:space="preserve">Evidência que a motivou</w:t>
            </w:r>
          </w:p>
        </w:tc>
      </w:tr>
      <w:tr>
        <w:tc>
          <w:tcPr>
            <w:tcW w:type="dxa" w:w="1750"/>
            <w:tcMar>
              <w:top w:type="dxa" w:w="40"/>
              <w:left w:type="dxa" w:w="90"/>
              <w:bottom w:type="dxa" w:w="40"/>
              <w:right w:type="dxa" w:w="90"/>
            </w:tcMar>
          </w:tcPr>
          <w:p>
            <w:pPr>
              <w:spacing w:after="0"/>
            </w:pPr>
            <w:r>
              <w:rPr>
                <w:sz w:val="17"/>
                <w:szCs w:val="17"/>
              </w:rPr>
              <w:t xml:space="preserve">v1–v3 (abr–jul/2026)</w:t>
            </w:r>
          </w:p>
        </w:tc>
        <w:tc>
          <w:tcPr>
            <w:tcW w:type="dxa" w:w="4100"/>
            <w:tcMar>
              <w:top w:type="dxa" w:w="40"/>
              <w:left w:type="dxa" w:w="90"/>
              <w:bottom w:type="dxa" w:w="40"/>
              <w:right w:type="dxa" w:w="90"/>
            </w:tcMar>
          </w:tcPr>
          <w:p>
            <w:pPr>
              <w:spacing w:after="0"/>
            </w:pPr>
            <w:r>
              <w:rPr>
                <w:sz w:val="17"/>
                <w:szCs w:val="17"/>
              </w:rPr>
              <w:t xml:space="preserve">Filtro IBAMA em 3 casos; materialidade ≥1 km²; deflator IPCA; tradução EN; TRY_CAST em datas</w:t>
            </w:r>
          </w:p>
        </w:tc>
        <w:tc>
          <w:tcPr>
            <w:tcW w:type="dxa" w:w="3850"/>
            <w:tcMar>
              <w:top w:type="dxa" w:w="40"/>
              <w:left w:type="dxa" w:w="90"/>
              <w:bottom w:type="dxa" w:w="40"/>
              <w:right w:type="dxa" w:w="90"/>
            </w:tcMar>
          </w:tcPr>
          <w:p>
            <w:pPr>
              <w:spacing w:after="0"/>
            </w:pPr>
            <w:r>
              <w:rPr>
                <w:sz w:val="17"/>
                <w:szCs w:val="17"/>
              </w:rPr>
              <w:t xml:space="preserve">27% dos autos sem código de área nos anos iniciais; instabilidade &gt;0 vs ≥1; drift documental</w:t>
            </w:r>
          </w:p>
        </w:tc>
      </w:tr>
      <w:tr>
        <w:tc>
          <w:tcPr>
            <w:tcW w:type="dxa" w:w="1750"/>
            <w:tcMar>
              <w:top w:type="dxa" w:w="40"/>
              <w:left w:type="dxa" w:w="90"/>
              <w:bottom w:type="dxa" w:w="40"/>
              <w:right w:type="dxa" w:w="90"/>
            </w:tcMar>
          </w:tcPr>
          <w:p>
            <w:pPr>
              <w:spacing w:after="0"/>
            </w:pPr>
            <w:r>
              <w:rPr>
                <w:sz w:val="17"/>
                <w:szCs w:val="17"/>
              </w:rPr>
              <w:t xml:space="preserve">v4/v5: redesign (20/07/2026)</w:t>
            </w:r>
          </w:p>
        </w:tc>
        <w:tc>
          <w:tcPr>
            <w:tcW w:type="dxa" w:w="4100"/>
            <w:tcMar>
              <w:top w:type="dxa" w:w="40"/>
              <w:left w:type="dxa" w:w="90"/>
              <w:bottom w:type="dxa" w:w="40"/>
              <w:right w:type="dxa" w:w="90"/>
            </w:tcMar>
          </w:tcPr>
          <w:p>
            <w:pPr>
              <w:spacing w:after="0"/>
            </w:pPr>
            <w:r>
              <w:rPr>
                <w:sz w:val="17"/>
                <w:szCs w:val="17"/>
              </w:rPr>
              <w:t xml:space="preserve">Fórmula unificada com piso; ranking único 0-fill; fim de streaks e priority_score; camadas puras; áreas territoriais</w:t>
            </w:r>
          </w:p>
        </w:tc>
        <w:tc>
          <w:tcPr>
            <w:tcW w:type="dxa" w:w="3850"/>
            <w:tcMar>
              <w:top w:type="dxa" w:w="40"/>
              <w:left w:type="dxa" w:w="90"/>
              <w:bottom w:type="dxa" w:w="40"/>
              <w:right w:type="dxa" w:w="90"/>
            </w:tcMar>
          </w:tcPr>
          <w:p>
            <w:pPr>
              <w:spacing w:after="0"/>
            </w:pPr>
            <w:r>
              <w:rPr>
                <w:sz w:val="17"/>
                <w:szCs w:val="17"/>
              </w:rPr>
              <w:t xml:space="preserve">S1 (incomensurabilidade), S10 (fronteira R$0,01), S7 (cegueira temporal), S12 (MAUP); cada decisão testada (§3)</w:t>
            </w:r>
          </w:p>
        </w:tc>
      </w:tr>
      <w:tr>
        <w:tc>
          <w:tcPr>
            <w:tcW w:type="dxa" w:w="1750"/>
            <w:tcMar>
              <w:top w:type="dxa" w:w="40"/>
              <w:left w:type="dxa" w:w="90"/>
              <w:bottom w:type="dxa" w:w="40"/>
              <w:right w:type="dxa" w:w="90"/>
            </w:tcMar>
          </w:tcPr>
          <w:p>
            <w:pPr>
              <w:spacing w:after="0"/>
            </w:pPr>
            <w:r>
              <w:rPr>
                <w:sz w:val="17"/>
                <w:szCs w:val="17"/>
              </w:rPr>
              <w:t xml:space="preserve">Auditoria 2: S18 (20/07/2026)</w:t>
            </w:r>
          </w:p>
        </w:tc>
        <w:tc>
          <w:tcPr>
            <w:tcW w:type="dxa" w:w="4100"/>
            <w:tcMar>
              <w:top w:type="dxa" w:w="40"/>
              <w:left w:type="dxa" w:w="90"/>
              <w:bottom w:type="dxa" w:w="40"/>
              <w:right w:type="dxa" w:w="90"/>
            </w:tcMar>
          </w:tcPr>
          <w:p>
            <w:pPr>
              <w:spacing w:after="0"/>
            </w:pPr>
            <w:r>
              <w:rPr>
                <w:sz w:val="17"/>
                <w:szCs w:val="17"/>
              </w:rPr>
              <w:t xml:space="preserve">ORDER BY pela média não-arredondada (o desempate arredondado invertia o top 3/4); nominal persistido; +4 checks; parquets re-exportados</w:t>
            </w:r>
          </w:p>
        </w:tc>
        <w:tc>
          <w:tcPr>
            <w:tcW w:type="dxa" w:w="3850"/>
            <w:tcMar>
              <w:top w:type="dxa" w:w="40"/>
              <w:left w:type="dxa" w:w="90"/>
              <w:bottom w:type="dxa" w:w="40"/>
              <w:right w:type="dxa" w:w="90"/>
            </w:tcMar>
          </w:tcPr>
          <w:p>
            <w:pPr>
              <w:spacing w:after="0"/>
            </w:pPr>
            <w:r>
              <w:rPr>
                <w:sz w:val="17"/>
                <w:szCs w:val="17"/>
              </w:rPr>
              <w:t xml:space="preserve">réplica independente: drift protótipo→prosa (0,748/62/1,110); parquet stale em produção</w:t>
            </w:r>
          </w:p>
        </w:tc>
      </w:tr>
      <w:tr>
        <w:tc>
          <w:tcPr>
            <w:tcW w:type="dxa" w:w="1750"/>
            <w:tcMar>
              <w:top w:type="dxa" w:w="40"/>
              <w:left w:type="dxa" w:w="90"/>
              <w:bottom w:type="dxa" w:w="40"/>
              <w:right w:type="dxa" w:w="90"/>
            </w:tcMar>
          </w:tcPr>
          <w:p>
            <w:pPr>
              <w:spacing w:after="0"/>
            </w:pPr>
            <w:r>
              <w:rPr>
                <w:sz w:val="17"/>
                <w:szCs w:val="17"/>
              </w:rPr>
              <w:t xml:space="preserve">Auditoria 3: S19 (20/07/2026)</w:t>
            </w:r>
          </w:p>
        </w:tc>
        <w:tc>
          <w:tcPr>
            <w:tcW w:type="dxa" w:w="4100"/>
            <w:tcMar>
              <w:top w:type="dxa" w:w="40"/>
              <w:left w:type="dxa" w:w="90"/>
              <w:bottom w:type="dxa" w:w="40"/>
              <w:right w:type="dxa" w:w="90"/>
            </w:tcMar>
          </w:tcPr>
          <w:p>
            <w:pPr>
              <w:spacing w:after="0"/>
            </w:pPr>
            <w:r>
              <w:rPr>
                <w:sz w:val="17"/>
                <w:szCs w:val="17"/>
              </w:rPr>
              <w:t xml:space="preserve">3 guardas de falha silenciosa (magnitude PRODES, valor do deflator, staleness do export); resíduos do patch; prosa re-escopada (Aveiro, Apuí, Altamira); git commitado</w:t>
            </w:r>
          </w:p>
        </w:tc>
        <w:tc>
          <w:tcPr>
            <w:tcW w:type="dxa" w:w="3850"/>
            <w:tcMar>
              <w:top w:type="dxa" w:w="40"/>
              <w:left w:type="dxa" w:w="90"/>
              <w:bottom w:type="dxa" w:w="40"/>
              <w:right w:type="dxa" w:w="90"/>
            </w:tcMar>
          </w:tcPr>
          <w:p>
            <w:pPr>
              <w:spacing w:after="0"/>
            </w:pPr>
            <w:r>
              <w:rPr>
                <w:sz w:val="17"/>
                <w:szCs w:val="17"/>
              </w:rPr>
              <w:t xml:space="preserve">replicação célula a célula; 51 esperados reproduzidos; HEAD ainda era v3</w:t>
            </w:r>
          </w:p>
        </w:tc>
      </w:tr>
      <w:tr>
        <w:tc>
          <w:tcPr>
            <w:tcW w:type="dxa" w:w="1750"/>
            <w:tcMar>
              <w:top w:type="dxa" w:w="40"/>
              <w:left w:type="dxa" w:w="90"/>
              <w:bottom w:type="dxa" w:w="40"/>
              <w:right w:type="dxa" w:w="90"/>
            </w:tcMar>
          </w:tcPr>
          <w:p>
            <w:pPr>
              <w:spacing w:after="0"/>
            </w:pPr>
            <w:r>
              <w:rPr>
                <w:sz w:val="17"/>
                <w:szCs w:val="17"/>
              </w:rPr>
              <w:t xml:space="preserve">Auditoria 4: S20 (21/07/2026)</w:t>
            </w:r>
          </w:p>
        </w:tc>
        <w:tc>
          <w:tcPr>
            <w:tcW w:type="dxa" w:w="4100"/>
            <w:tcMar>
              <w:top w:type="dxa" w:w="40"/>
              <w:left w:type="dxa" w:w="90"/>
              <w:bottom w:type="dxa" w:w="40"/>
              <w:right w:type="dxa" w:w="90"/>
            </w:tcMar>
          </w:tcPr>
          <w:p>
            <w:pPr>
              <w:spacing w:after="0"/>
            </w:pPr>
            <w:r>
              <w:rPr>
                <w:sz w:val="17"/>
                <w:szCs w:val="17"/>
              </w:rPr>
              <w:t xml:space="preserve">Rótulo do lag corrigido (59,2% = both; same-year total 63,9%); citação Curupira substituída pelo balanço oficial (471 autos/521 mil ha); citações antes sem fonte resolvidas; nota FP ampliada; .gitattributes</w:t>
            </w:r>
          </w:p>
        </w:tc>
        <w:tc>
          <w:tcPr>
            <w:tcW w:type="dxa" w:w="3850"/>
            <w:tcMar>
              <w:top w:type="dxa" w:w="40"/>
              <w:left w:type="dxa" w:w="90"/>
              <w:bottom w:type="dxa" w:w="40"/>
              <w:right w:type="dxa" w:w="90"/>
            </w:tcMar>
          </w:tcPr>
          <w:p>
            <w:pPr>
              <w:spacing w:after="0"/>
            </w:pPr>
            <w:r>
              <w:rPr>
                <w:sz w:val="17"/>
                <w:szCs w:val="17"/>
              </w:rPr>
              <w:t xml:space="preserve">replicação integral 54/54; balanço oficial de 2 anos divergindo em ordem de grandeza; fontes localizadas (OC, LAUT, gov.br/ibama, ClimaInfo)</w:t>
            </w:r>
          </w:p>
        </w:tc>
      </w:tr>
      <w:tr>
        <w:tc>
          <w:tcPr>
            <w:tcW w:type="dxa" w:w="1750"/>
            <w:tcMar>
              <w:top w:type="dxa" w:w="40"/>
              <w:left w:type="dxa" w:w="90"/>
              <w:bottom w:type="dxa" w:w="40"/>
              <w:right w:type="dxa" w:w="90"/>
            </w:tcMar>
          </w:tcPr>
          <w:p>
            <w:pPr>
              <w:spacing w:after="0"/>
            </w:pPr>
            <w:r>
              <w:rPr>
                <w:sz w:val="17"/>
                <w:szCs w:val="17"/>
              </w:rPr>
              <w:t xml:space="preserve">Auditoria 5 (26/07/2026)</w:t>
            </w:r>
          </w:p>
        </w:tc>
        <w:tc>
          <w:tcPr>
            <w:tcW w:type="dxa" w:w="4100"/>
            <w:tcMar>
              <w:top w:type="dxa" w:w="40"/>
              <w:left w:type="dxa" w:w="90"/>
              <w:bottom w:type="dxa" w:w="40"/>
              <w:right w:type="dxa" w:w="90"/>
            </w:tcMar>
          </w:tcPr>
          <w:p>
            <w:pPr>
              <w:spacing w:after="0"/>
            </w:pPr>
            <w:r>
              <w:rPr>
                <w:sz w:val="17"/>
                <w:szCs w:val="17"/>
              </w:rPr>
              <w:t xml:space="preserve">Painel filtrado de 805 para 772 municípios (só a Amazônia Legal oficial); pseudônimo do IBAMA trocado de hash com salt publicado por substituto aleatório; rótulo “seizure” → “apreensão”; +1 check (out_of_scope_geocodes_prodes); LICENSE, LICENSE-DATA, CITATION.cff</w:t>
            </w:r>
          </w:p>
        </w:tc>
        <w:tc>
          <w:tcPr>
            <w:tcW w:type="dxa" w:w="3850"/>
            <w:tcMar>
              <w:top w:type="dxa" w:w="40"/>
              <w:left w:type="dxa" w:w="90"/>
              <w:bottom w:type="dxa" w:w="40"/>
              <w:right w:type="dxa" w:w="90"/>
            </w:tcMar>
          </w:tcPr>
          <w:p>
            <w:pPr>
              <w:spacing w:after="0"/>
            </w:pPr>
            <w:r>
              <w:rPr>
                <w:sz w:val="17"/>
                <w:szCs w:val="17"/>
              </w:rPr>
              <w:t xml:space="preserve">33 municípios de GO/PI/MS/BA, todos com desmatamento zero, inflavam a fatia “sem pressão” de 54,3% para 56,2% e apareciam num gráfico rotulado “Amazônia Legal”; demonstração empírica de que o hash com salt publicado era reversível por dicionário</w:t>
            </w:r>
          </w:p>
        </w:tc>
      </w:tr>
      <w:tr>
        <w:tc>
          <w:tcPr>
            <w:tcW w:type="dxa" w:w="1750"/>
            <w:tcMar>
              <w:top w:type="dxa" w:w="40"/>
              <w:left w:type="dxa" w:w="90"/>
              <w:bottom w:type="dxa" w:w="40"/>
              <w:right w:type="dxa" w:w="90"/>
            </w:tcMar>
          </w:tcPr>
          <w:p>
            <w:pPr>
              <w:spacing w:after="0"/>
            </w:pPr>
            <w:r>
              <w:rPr>
                <w:sz w:val="17"/>
                <w:szCs w:val="17"/>
              </w:rPr>
              <w:t xml:space="preserve">Auditoria 6 (27/07/2026)</w:t>
            </w:r>
          </w:p>
        </w:tc>
        <w:tc>
          <w:tcPr>
            <w:tcW w:type="dxa" w:w="4100"/>
            <w:tcMar>
              <w:top w:type="dxa" w:w="40"/>
              <w:left w:type="dxa" w:w="90"/>
              <w:bottom w:type="dxa" w:w="40"/>
              <w:right w:type="dxa" w:w="90"/>
            </w:tcMar>
          </w:tcPr>
          <w:p>
            <w:pPr>
              <w:spacing w:after="0"/>
            </w:pPr>
            <w:r>
              <w:rPr>
                <w:sz w:val="17"/>
                <w:szCs w:val="17"/>
              </w:rPr>
              <w:t xml:space="preserve">quote explícito no read_csv do IBAMA (o pipeline abortava em qualquer DuckDB ≥ 1.2); âncora de 2024 recomparada à taxa consolidada; overlap com a Portaria 1.202 recomputado (8→9/20); exploring_script.R migrado para 772; alegação de privacidade reescrita; +26 referências NBR; contagens do próprio processo corrigidas</w:t>
            </w:r>
          </w:p>
        </w:tc>
        <w:tc>
          <w:tcPr>
            <w:tcW w:type="dxa" w:w="3850"/>
            <w:tcMar>
              <w:top w:type="dxa" w:w="40"/>
              <w:left w:type="dxa" w:w="90"/>
              <w:bottom w:type="dxa" w:w="40"/>
              <w:right w:type="dxa" w:w="90"/>
            </w:tcMar>
          </w:tcPr>
          <w:p>
            <w:pPr>
              <w:spacing w:after="0"/>
            </w:pPr>
            <w:r>
              <w:rPr>
                <w:sz w:val="17"/>
                <w:szCs w:val="17"/>
              </w:rPr>
              <w:t xml:space="preserve">sniffer de CSV falha em 86 linhas com “;” dentro de aspas; 6.288 km² era estimativa preliminar, não a taxa consolidada de 6.518; script R validava 805 enquanto o SQL validava 772; 74,3% das linhas do CSV público são religáveis à fonte com nome; coeficientes de painel reproduzidos em pyfixest</w:t>
            </w:r>
          </w:p>
        </w:tc>
      </w:tr>
      <w:tr>
        <w:tc>
          <w:tcPr>
            <w:tcW w:type="dxa" w:w="1750"/>
            <w:tcMar>
              <w:top w:type="dxa" w:w="40"/>
              <w:left w:type="dxa" w:w="90"/>
              <w:bottom w:type="dxa" w:w="40"/>
              <w:right w:type="dxa" w:w="90"/>
            </w:tcMar>
          </w:tcPr>
          <w:p>
            <w:pPr>
              <w:spacing w:after="0"/>
            </w:pPr>
            <w:r>
              <w:rPr>
                <w:sz w:val="17"/>
                <w:szCs w:val="17"/>
              </w:rPr>
              <w:t xml:space="preserve">Revisão de visualização e camada (17-18/08/2026)</w:t>
            </w:r>
          </w:p>
        </w:tc>
        <w:tc>
          <w:tcPr>
            <w:tcW w:type="dxa" w:w="4100"/>
            <w:tcMar>
              <w:top w:type="dxa" w:w="40"/>
              <w:left w:type="dxa" w:w="90"/>
              <w:bottom w:type="dxa" w:w="40"/>
              <w:right w:type="dxa" w:w="90"/>
            </w:tcMar>
          </w:tcPr>
          <w:p>
            <w:pPr>
              <w:spacing w:after="0"/>
            </w:pPr>
            <w:r>
              <w:rPr>
                <w:sz w:val="17"/>
                <w:szCs w:val="17"/>
              </w:rPr>
              <w:t xml:space="preserve">Suíte de 14 para 11 figuras, integradas ao corpo dos documentos; egs_trend, numerador_18y e denominador_18y passam a colunas de egs_ranking; grupo de comparação de 4.4.2 recomputado (35 → 33 municípios, mediana 42 → 46 autos); três agregados do denominador removidos por não terem código que os produzisse</w:t>
            </w:r>
          </w:p>
        </w:tc>
        <w:tc>
          <w:tcPr>
            <w:tcW w:type="dxa" w:w="3850"/>
            <w:tcMar>
              <w:top w:type="dxa" w:w="40"/>
              <w:left w:type="dxa" w:w="90"/>
              <w:bottom w:type="dxa" w:w="40"/>
              <w:right w:type="dxa" w:w="90"/>
            </w:tcMar>
          </w:tcPr>
          <w:p>
            <w:pPr>
              <w:spacing w:after="0"/>
            </w:pPr>
            <w:r>
              <w:rPr>
                <w:sz w:val="17"/>
                <w:szCs w:val="17"/>
              </w:rPr>
              <w:t xml:space="preserve">classificação de direção duplicada em duas figuras com faixas discordantes; números de 4.4.2 anteriores à classificação sobre valor de 3 decimais e à contiguidade rainha; Spearman 0,993 vivia como guarda de viz/01_maps.R, cálculo analítico na camada de desenho</w:t>
            </w:r>
          </w:p>
        </w:tc>
      </w:tr>
    </w:tbl>
    <w:p/>
    <w:p>
      <w:pPr>
        <w:ind w:firstLine="709"/>
      </w:pPr>
      <w:r>
        <w:t xml:space="preserve">O padrão que o registro documenta: números em prosa derivam; números em checks, não. Cada rodada de auditoria converteu ao menos um modo de falha encontrado em guarda automatizada: e a lição de processo (versão de exibição ≠ grandeza de ordenação; check negativo sobre coluna anulável precisa de IS NULL; claim de reprodutibilidade exige tolerância de ponto flutuante) está escrita ao lado da correção.</w:t>
      </w:r>
    </w:p>
    <w:p>
      <w:pPr>
        <w:spacing w:after="0"/>
      </w:pPr>
      <w:r>
        <w:t xml:space="preserve">Pendências conhecidas, nenhuma bloqueante: recomputar o overlap do top 20 contra a Portaria 1.717/2026 (lista já pública, 89 municípios); checksums SHA-256 dos brutos e fixture da lista MMA (ambos opcionais); três guardas sugeridas pela quarta auditoria (NULL em fine_value; chave de prodes_clean; checks de annual_summary).</w:t>
      </w:r>
    </w:p>
    <w:p>
      <w:pPr/>
      <w:r>
        <w:br w:type="page"/>
      </w:r>
    </w:p>
    <w:p>
      <w:pPr>
        <w:pStyle w:val="Heading1"/>
      </w:pPr>
      <w:r>
        <w:t>8. Princípios de codificação das figuras</w:t>
      </w:r>
    </w:p>
    <w:p>
      <w:pPr>
        <w:ind w:firstLine="709"/>
      </w:pPr>
      <w:r>
        <w:rPr>
          <w:i/>
          <w:color w:val="000000"/>
          <w:sz w:val="18"/>
        </w:rPr>
        <w:t>Figuras geradas pela suíte de visualização em R/ggplot2 (viz/), a partir dos parquets do pipeline; o event study (fig. do surto) foi produzido em R (fixest). EGS e pct_desmatado são ordinais: cor sempre por quintil de rank.</w:t>
      </w:r>
    </w:p>
    <w:p>
      <w:r>
        <w:t xml:space="preserve">As onze figuras seguem seis regras, e vale declará-las porque cada uma custa alguma coisa.</w:t>
      </w:r>
    </w:p>
    <w:p>
      <w:r>
        <w:t xml:space="preserve">(1) Cor é sempre quintil de rank, nunca valor bruto. EGS e percentual desmatado são ordinais, e as variáveis têm cauda longa: as multas vão de R$ 1.050 a R$ 3,75 bilhões, 926 vezes a mediana, e uma escala contínua colapsaria em meia dúzia de municípios escuros. O custo é apagar a magnitude dentro da classe, e o ganho é uma classificação estável entre execuções e comparável entre mapas, o que quebras naturais não seriam.</w:t>
      </w:r>
    </w:p>
    <w:p>
      <w:r>
        <w:t xml:space="preserve">(2) Os quintis dos mapas de nível correm sobre a mesma população, os 552 municípios com pressão material, de modo que um quintil significa a mesma coisa em figuras vizinhas. A figura 4 é a exceção, e é declarada na própria legenda: os 66 municípios que tiveram pressão e nunca foram multados saem da rampa como categoria própria, porque são a lacuna absoluta e não um nível baixo de resposta, e o quintil corre sobre os 486 restantes. A figura 7 não quintila: classifica em faixas de direção. Antes, com cada mapa quintilando o próprio universo, apenas 30% dos municípios caíam no mesmo quintil em figuras que se lêem em par, e esse número media a partição, não o dado.</w:t>
      </w:r>
    </w:p>
    <w:p>
      <w:r>
        <w:t xml:space="preserve">(3) Zeros estruturais são categoria, não classe baixa. Os 220 municípios sem nenhum ano acima do limiar de materialidade ficam fora da rampa, em cinza. Distribuídos por quintil, valores idênticos apareceriam em duas cores diferentes por ordem de linha. O zero estrutural aparece em quatro recortes diferentes ao longo do relatório, e a diferença entre eles não é inconsistência: cada figura pergunta outra coisa. Nos mapas de nível o cinza são os 220 sem pressão material em dezoito anos, porque um nível de lacuna crônica exige pressão em algum momento. Na figura de direção o cinza são os 381 sem pressão em 2023-2025, porque uma direção exige pressão nos dois extremos da janela, e 161 dos 381 tiveram pressão antes e deixaram de ter. A figura 1 deixa de fora os 133 sem desmatamento algum em dezoito anos, porque uma razão entre pressão e resposta não é definida onde não houve pressão. E os 106 que aparecem no piso do denominador, entre os 639 desenhados na figura 1, não estão excluídos de nada: são municípios cuja resposta acumulada é tão baixa que a fórmula a trata como resposta mínima, e o piso os alinha numa reta horizontal que é um fato do índice, não do gráfico.</w:t>
      </w:r>
    </w:p>
    <w:p>
      <w:r>
        <w:t xml:space="preserve">(4) Uma rampa de cor por quantidade: marrom para o desmatamento, azul para a resposta federal, ameixa para o EGS, e uma divergente vermelho-verde para a direção. Como a luminosidade já está ocupada codificando o quintil, o matiz é o único canal disponível para dizer ao leitor que duas figuras medem coisas diferentes.</w:t>
      </w:r>
    </w:p>
    <w:p>
      <w:r>
        <w:t>(5) Toda transformação é declarada. O logaritmo aparece nos eixos da figura 1 e no cálculo do denominador da figura 4; nos mapas de uma variável só ele seria inócuo, porque rank é invariante a transformação monótona.</w:t>
      </w:r>
    </w:p>
    <w:p>
      <w:r>
        <w:t xml:space="preserve">(6) Nenhuma figura traz título ou subtítulo embutido: o título vive como seção numerada neste texto, o que evita duplicar a mesma frase em dois lugares e qualquer descompasso de fonte entre o gráfico e o documento.</w:t>
      </w:r>
    </w:p>
    <w:p>
      <w:r>
        <w:t xml:space="preserve">Uma tensão fica declarada e não resolvida. A literatura experimental de percepção gráfica (Cleveland e McGill, 1984; replicada por Heer e Bostock, 2010) ordena os canais visuais por acurácia e põe cor de preenchimento perto do fim, atrás de posição e comprimento. Cinco das onze figuras deste relatório são coropléticos, isto é, codificam quantidade exatamente nesse canal. A justificativa é que a pergunta que elas respondem é espacial e nenhum gráfico de posição a responde; o preço é acurácia de leitura, e por isso nenhuma afirmação do texto depende de o leitor distinguir quintis vizinhos no mapa.</w:t>
      </w:r>
    </w:p>
    <w:p>
      <w:pPr>
        <w:pStyle w:val="Heading1"/>
      </w:pPr>
      <w:r>
        <w:t xml:space="preserve">Referências</w:t>
      </w:r>
    </w:p>
    <w:p>
      <w:pPr>
        <w:spacing w:after="200" w:line="240" w:lineRule="auto"/>
        <w:jc w:val="left"/>
      </w:pPr>
      <w:r>
        <w:t xml:space="preserve">AMAZONAS (Estado). Instituto de Proteção Ambiental do Amazonas (IPAAM). Operação Tamoiotatá 2025: Ipaam aplica R$ 144,7 milhões em multas por crimes ambientais no sul do Amazonas. Manaus: Agência Amazonas de Notícias, 2025. Disponível em: https://www.agenciaamazonas.am.gov.br/noticias/operacao-tamoiotata-2025-ipaam-aplica-r-1447-milhoes-em-multas-por-crimes-ambientais-no-sul-do-amazonas/. Acesso em: 27 jul. 2026.</w:t>
      </w:r>
    </w:p>
    <w:p>
      <w:pPr>
        <w:spacing w:after="200" w:line="240" w:lineRule="auto"/>
        <w:jc w:val="left"/>
      </w:pPr>
      <w:r>
        <w:t xml:space="preserve">BRASIL. Governo Federal. Governo Federal intensifica combate ao garimpo ilegal na Terra Indígena Munduruku. Brasília, DF: Agência Gov, dez. 2024. Disponível em: https://agenciagov.ebc.com.br/noticias/202412/governo-federal-intensifica-combate-ao-garimpo-ilegal-na-terra-indigena-munduruku. Acesso em: 27 jul. 2026.</w:t>
      </w:r>
    </w:p>
    <w:p>
      <w:pPr>
        <w:spacing w:after="200" w:line="240" w:lineRule="auto"/>
        <w:jc w:val="left"/>
      </w:pPr>
      <w:r>
        <w:t xml:space="preserve">BRASIL. Instituto Brasileiro do Meio Ambiente e dos Recursos Naturais Renováveis (IBAMA). Dados abertos: fiscalização, auto de infração. Brasília, DF: IBAMA. Disponível em: https://dadosabertos.ibama.gov.br/. Acesso em: 25 abr. 2026.</w:t>
      </w:r>
    </w:p>
    <w:p>
      <w:pPr>
        <w:spacing w:after="200" w:line="240" w:lineRule="auto"/>
        <w:jc w:val="left"/>
      </w:pPr>
      <w:r>
        <w:t xml:space="preserve">BRASIL. Instituto Brasileiro do Meio Ambiente e dos Recursos Naturais Renováveis (IBAMA). Ibama aplica R$ 173 milhões em multas por desmatamento no sul do Amazonas. Brasília, DF: IBAMA, 2025. Disponível em: https://www.gov.br/ibama/pt-br/assuntos/noticias/2025/ibama-aplica-r-173-milhoes-em-multas-por-desmatamento-no-sul-do-amazonas. Acesso em: 27 jul. 2026.</w:t>
      </w:r>
    </w:p>
    <w:p>
      <w:pPr>
        <w:spacing w:after="200" w:line="240" w:lineRule="auto"/>
        <w:jc w:val="left"/>
      </w:pPr>
      <w:r>
        <w:t xml:space="preserve">BRASIL. Instituto Chico Mendes de Conservação da Biodiversidade (ICMBio). Resex Verde para Sempre. Brasília, DF: ICMBio. Área de 1.289.362,78 ha, criada pelo Decreto s/nº de 8 de novembro de 2004. Disponível em: https://www.gov.br/icmbio/pt-br/assuntos/biodiversidade/unidade-de-conservacao/unidades-de-biomas/amazonia/lista-de-ucs/resex-verde-para-sempre. Acesso em: 3 ago. 2026.</w:t>
      </w:r>
    </w:p>
    <w:p>
      <w:pPr>
        <w:spacing w:after="200" w:line="240" w:lineRule="auto"/>
        <w:jc w:val="left"/>
      </w:pPr>
      <w:r>
        <w:t xml:space="preserve">BRASIL. Instituto Nacional de Pesquisas Espaciais (INPE). Nota técnica: estimativa de desmatamento na Amazônia Legal para 2025. São José dos Campos: INPE, 15 out. 2025. Disponível em: https://data.inpe.br/wp-content/uploads/sites/3/2025/10/20251015Nota_tecnica_EstimativaPRODES_2025_F.pdf. Acesso em: 27 jul. 2026.</w:t>
      </w:r>
    </w:p>
    <w:p>
      <w:pPr>
        <w:spacing w:after="200" w:line="240" w:lineRule="auto"/>
        <w:jc w:val="left"/>
      </w:pPr>
      <w:r>
        <w:t xml:space="preserve">BRASIL. Instituto Nacional de Pesquisas Espaciais (INPE). Novos dados do Prodes são atualizados pelo Programa BiomasBR. São José dos Campos: INPE, Programa BiomasBR, 10 mar. 2026. Disponível em: https://data.inpe.br/biomasbr/novos-dados-do-prodes-sao-atualizados-pelo-programa-biomasbr/. Acesso em: 28 jul. 2026.</w:t>
      </w:r>
    </w:p>
    <w:p>
      <w:pPr>
        <w:spacing w:after="200" w:line="240" w:lineRule="auto"/>
        <w:jc w:val="left"/>
      </w:pPr>
      <w:r>
        <w:t xml:space="preserve">BRASIL. Instituto Nacional de Pesquisas Espaciais (INPE). PRODES: monitoramento do desmatamento da floresta amazônica brasileira por satélite. TerraBrasilis. São José dos Campos: INPE. Disponível em: https://terrabrasilis.dpi.inpe.br/. Acesso em: 25 abr. 2026.</w:t>
      </w:r>
    </w:p>
    <w:p>
      <w:pPr>
        <w:spacing w:after="200" w:line="240" w:lineRule="auto"/>
        <w:jc w:val="left"/>
      </w:pPr>
      <w:r>
        <w:t xml:space="preserve">BRASIL. Instituto Nacional de Pesquisas Espaciais (INPE). Resultado consolidado do PRODES mostra redução de 29% no desmatamento na Amazônia em 2012. São José dos Campos: INPE, jun. 2013. Disponível em: http://www.inpe.br/noticias/noticia.php?Cod_Noticia=3301. Acesso em: 28 jul. 2026.</w:t>
      </w:r>
    </w:p>
    <w:p>
      <w:pPr>
        <w:spacing w:after="200" w:line="240" w:lineRule="auto"/>
        <w:jc w:val="left"/>
      </w:pPr>
      <w:r>
        <w:t xml:space="preserve">BRASIL. Instituto Nacional de Pesquisas Espaciais (INPE). Sistema PRODES: metodologia. Coordenação-Geral de Observação da Terra. São José dos Campos: INPE. Disponível em: http://www.obt.inpe.br/OBT/assuntos/programas/amazonia/prodes. Acesso em: 28 jul. 2026.</w:t>
      </w:r>
    </w:p>
    <w:p>
      <w:pPr>
        <w:spacing w:after="200" w:line="240" w:lineRule="auto"/>
        <w:jc w:val="left"/>
      </w:pPr>
      <w:r>
        <w:t xml:space="preserve">BRASIL. Ministério do Meio Ambiente e Mudança do Clima (MMA). Portaria GM/MMA nº 1.202, de 11 de novembro de 2024. Dispõe sobre a atualização da lista de municípios prioritários para ações de prevenção, controle e redução dos desmatamentos e degradação florestal, e da lista de municípios com desmatamento monitorado e sob controle. Brasília, DF: Diário Oficial da União, ed. 220, seção 1, p. 121, 13 nov. 2024. Disponível em: https://www.in.gov.br/web/dou/-/portaria-gm/mma-n-1.202-de-11-de-novembro-de-2024-595667200. Acesso em: 27 jul. 2026.</w:t>
      </w:r>
    </w:p>
    <w:p>
      <w:pPr>
        <w:spacing w:after="200" w:line="240" w:lineRule="auto"/>
        <w:jc w:val="left"/>
      </w:pPr>
      <w:r>
        <w:t xml:space="preserve">BRASIL. Ministério do Meio Ambiente e Mudança do Clima (MMA). Portaria GM/MMA nº 1.717, de 2026. Atualiza a lista de municípios prioritários para ações de prevenção, controle e redução dos desmatamentos e degradação florestal. Brasília, DF: Diário Oficial da União, 2026. Disponível em: https://www.gov.br/mma/pt-br/assuntos/controle-ao-desmatamento-queimadas-e-ordenamento-ambiental-territorial/programa-uniao-com-municipios. Acesso em: 27 jul. 2026.</w:t>
      </w:r>
    </w:p>
    <w:p>
      <w:pPr>
        <w:spacing w:after="200" w:line="240" w:lineRule="auto"/>
        <w:jc w:val="left"/>
      </w:pPr>
      <w:r>
        <w:t xml:space="preserve">BRASIL. Polícia Federal. PF e Ibama prendem investigado por desmatamento ilegal, lavagem de dinheiro e invasões de terras públicas da União no Amazonas. Brasília, DF: Polícia Federal, mar. 2025. Disponível em: https://www.gov.br/pf/pt-br/assuntos/noticias/2025/03/pf-e-ibama-prendem-investigado-por-desmatamento-ilegal-lavagem-de-dinheiro-e-invasoes-de-terras-publicas-da-uniao-no-amazonas. Acesso em: 27 jul. 2026.</w:t>
      </w:r>
    </w:p>
    <w:p>
      <w:pPr>
        <w:spacing w:after="200" w:line="240" w:lineRule="auto"/>
        <w:jc w:val="left"/>
      </w:pPr>
      <w:r>
        <w:t xml:space="preserve">BRASIL. Polícia Federal. PF fecha cinco garimpos ilegais de ouro no nordeste do Pará. Brasília, DF: Polícia Federal, set. 2025. Disponível em: https://www.gov.br/pf/pt-br/assuntos/noticias/2025/09/pf-fecha-cinco-garimpos-ilegais-de-ouro-no-nordeste-do-para. Acesso em: 3 ago. 2026.</w:t>
      </w:r>
    </w:p>
    <w:p>
      <w:pPr>
        <w:spacing w:after="200" w:line="240" w:lineRule="auto"/>
        <w:jc w:val="left"/>
      </w:pPr>
      <w:r>
        <w:t xml:space="preserve">CLIMAINFO. Ibama perdeu 55% de seus fiscais em dez anos. São Paulo: ClimaInfo, 14 ago. 2020. Disponível em: https://climainfo.org.br/2020/08/14/ibama-perdeu-55-de-seus-fiscais-em-dez-anos/. Acesso em: 27 jul. 2026.</w:t>
      </w:r>
    </w:p>
    <w:p>
      <w:pPr>
        <w:spacing w:after="200" w:line="240" w:lineRule="auto"/>
        <w:jc w:val="left"/>
      </w:pPr>
      <w:r>
        <w:t xml:space="preserve">COMISSÃO PRÓ-ÍNDIO DE SÃO PAULO. Mineração em Oriximiná. São Paulo: CPI-SP. Disponível em: https://cpisp.org.br/quilombolas-em-oriximina/luta-pela-terra/mineracao/. Acesso em: 27 jul. 2026.</w:t>
      </w:r>
    </w:p>
    <w:p>
      <w:pPr>
        <w:spacing w:after="200" w:line="240" w:lineRule="auto"/>
        <w:jc w:val="left"/>
      </w:pPr>
      <w:r>
        <w:t xml:space="preserve">INSTITUTO BRASILEIRO DE GEOGRAFIA E ESTATÍSTICA (IBGE). API de localidades. Rio de Janeiro: IBGE. Disponível em: https://servicodados.ibge.gov.br/api/v1/localidades/municipios. Acesso em: 12 jul. 2026.</w:t>
      </w:r>
    </w:p>
    <w:p>
      <w:pPr>
        <w:spacing w:after="200" w:line="240" w:lineRule="auto"/>
        <w:jc w:val="left"/>
      </w:pPr>
      <w:r>
        <w:t xml:space="preserve">INSTITUTO BRASILEIRO DE GEOGRAFIA E ESTATÍSTICA (IBGE). Áreas territoriais: áreas dos municípios brasileiros, 2025. Rio de Janeiro: IBGE. Disponível em: https://www.ibge.gov.br/geociencias/organizacao-do-territorio/estrutura-territorial/15761-areas-dos-municipios.html. Acesso em: 20 jul. 2026.</w:t>
      </w:r>
    </w:p>
    <w:p>
      <w:pPr>
        <w:spacing w:after="200" w:line="240" w:lineRule="auto"/>
        <w:jc w:val="left"/>
      </w:pPr>
      <w:r>
        <w:t xml:space="preserve">INSTITUTO BRASILEIRO DE GEOGRAFIA E ESTATÍSTICA (IBGE). Sistema IBGE de Recuperação Automática (SIDRA). Tabela 1737: Índice Nacional de Preços ao Consumidor Amplo (IPCA), variável 2266 (número-índice, dez. 1993=100). Rio de Janeiro: IBGE. Disponível em: https://sidra.ibge.gov.br/tabela/1737. Acesso em: 10 jul. 2026.</w:t>
      </w:r>
    </w:p>
    <w:p>
      <w:pPr>
        <w:spacing w:after="200" w:line="240" w:lineRule="auto"/>
        <w:jc w:val="left"/>
      </w:pPr>
      <w:r>
        <w:t xml:space="preserve">LAUT. Orçamento para fiscalização ambiental no Ibama e ICMBio reduziu em mais de 100 milhões entre 2019 e 2020. Agenda de Emergência, fev. 2021. Disponível em: https://agendadeemergencia.laut.org.br/2021/02/orcamento-para-fiscalizacao-ambiental-no-ibama-e-icmbio-reduziu-em-mais-de-100-milhoes-entre-2019-e-2020/. Acesso em: 27 jul. 2026.</w:t>
      </w:r>
    </w:p>
    <w:p>
      <w:pPr>
        <w:spacing w:after="200" w:line="240" w:lineRule="auto"/>
        <w:jc w:val="left"/>
      </w:pPr>
      <w:r>
        <w:t xml:space="preserve">MATO GROSSO (Estado). Procuradoria-Geral do Estado (PGE-MT). Proprietários têm regularizado na Sema abertura de áreas em imóveis rurais. Cuiabá: PGE-MT, 2022. Disponível em: https://www.pge.mt.gov.br/web/mt/w/21739934-proprietarios-tem-regularizado-na-sema-abertura-de-areas-em-imoveis-rurais. Acesso em: 27 jul. 2026.</w:t>
      </w:r>
    </w:p>
    <w:p>
      <w:pPr>
        <w:spacing w:after="200" w:line="240" w:lineRule="auto"/>
        <w:jc w:val="left"/>
      </w:pPr>
      <w:r>
        <w:t xml:space="preserve">MONGABAY. Desmatamento e água contaminada: o lado obscuro do óleo de palma “sustentável” da Amazônia. mar. 2021. Disponível em: https://brasil.mongabay.com/2021/03/desmatamento-e-agua-contaminada-o-lado-obscuro-do-oleo-de-palma-sustentavel-da-amazonia/. Acesso em: 3 ago. 2026.</w:t>
      </w:r>
    </w:p>
    <w:p>
      <w:pPr>
        <w:spacing w:after="200" w:line="240" w:lineRule="auto"/>
        <w:jc w:val="left"/>
      </w:pPr>
      <w:r>
        <w:t xml:space="preserve">NAGIN, Daniel S. Deterrence in the twenty-first century: a review of the evidence. Crime and Justice, Chicago, v. 42, n. 1, p. 199-263, 2013. DOI: 10.1086/670398.</w:t>
      </w:r>
    </w:p>
    <w:p>
      <w:pPr>
        <w:spacing w:after="200" w:line="240" w:lineRule="auto"/>
        <w:jc w:val="left"/>
      </w:pPr>
      <w:r>
        <w:t xml:space="preserve">((O))ECO. Ibama usou menos da metade do orçamento disponível para fiscalização em 2021. Rio de Janeiro: ((o))eco, 2022. Disponível em: https://oeco.org.br/noticias/ibama-usou-menos-da-metade-do-orcamento-disponivel-para-fiscalizacao-em-2021/. Acesso em: 27 jul. 2026.</w:t>
      </w:r>
    </w:p>
    <w:p>
      <w:pPr>
        <w:spacing w:after="200" w:line="240" w:lineRule="auto"/>
        <w:jc w:val="left"/>
      </w:pPr>
      <w:r>
        <w:t xml:space="preserve">PARÁ (Estado). Secretaria de Estado de Meio Ambiente e Sustentabilidade (SEMAS). Em dois anos, Operação Curupira registra mais de 1,7 mil fiscalizações integradas. Belém: SEMAS, 9 fev. 2025. Disponível em: https://www.semas.pa.gov.br/2025/02/09/em-dois-anos-operacao-curupira-registra-mais-de-17-mil-fiscalizacoes-integradas/. Acesso em: 27 jul. 2026.</w:t>
      </w:r>
    </w:p>
    <w:p>
      <w:pPr>
        <w:spacing w:after="200" w:line="240" w:lineRule="auto"/>
        <w:jc w:val="left"/>
      </w:pPr>
      <w:r>
        <w:t xml:space="preserve">PARÁ (Estado). Secretaria de Estado de Meio Ambiente e Sustentabilidade (SEMAS). Operações de combate a crimes ambientais garantem redução do desmatamento no Pará. Belém: SEMAS, 4 dez. 2024. Disponível em: https://www.semas.pa.gov.br/2024/12/04/operacoes-de-combate-a-crimes-ambientais-garantem-reducao-do-desmatamento-no-para/. Acesso em: 27 jul. 2026.</w:t>
      </w:r>
    </w:p>
    <w:p>
      <w:pPr>
        <w:spacing w:after="200" w:line="240" w:lineRule="auto"/>
        <w:jc w:val="left"/>
      </w:pPr>
      <w:r>
        <w:t xml:space="preserve">VOCATIVO. MPF aponta irregularidades do Ipaam em licenças do Projeto Autazes. 2025. Disponível em: https://vocativo.com/2025/08/01/mpf-aponta-irregularidades-do-ipaam-em-licencas-do-projeto-autazes/. Acesso em: 27 jul. 2026.</w:t>
      </w:r>
    </w:p>
    <w:sectPr>
      <w:headerReference w:type="default" r:id="rId23"/>
      <w:headerReference w:type="first" r:id="rId24"/>
      <w:pgSz w:w="11906" w:h="16838"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jc w:val="right"/>
      <w:rPr>
        <w:rFonts w:ascii="Times New Roman" w:cs="Times New Roman" w:eastAsia="Times New Roman" w:hAnsi="Times New Roman"/>
        <w:sz w:val="24"/>
        <w:szCs w:val="24"/>
      </w:rPr>
    </w:pPr>
    <w:fldSimple w:instr=" PAGE ">
      <w:r>
        <w:rPr>
          <w:rFonts w:ascii="Times New Roman" w:cs="Times New Roman" w:eastAsia="Times New Roman" w:hAnsi="Times New Roman"/>
          <w:sz w:val="24"/>
          <w:szCs w:val="24"/>
        </w:rPr>
        <w:t>2</w:t>
      </w:r>
    </w:fldSimple>
  </w:p>
</w:hdr>
</file>

<file path=word/header2.xml><?xml version="1.0" encoding="utf-8"?>
<w:hdr xmlns:w="http://schemas.openxmlformats.org/wordprocessingml/2006/main">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80"/>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spacing w:after="100" w:before="20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image" Target="media/image16.png"/><Relationship Id="rId90" Type="http://schemas.openxmlformats.org/officeDocument/2006/relationships/image" Target="media/image17.png"/><Relationship Id="rId91" Type="http://schemas.openxmlformats.org/officeDocument/2006/relationships/image" Target="media/image1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2026-07-21T12:41:59.625Z</dcterms:created>
  <dcterms:modified xsi:type="dcterms:W3CDTF">2026-07-21T12:41:59.626Z</dcterms:modified>
</cp:coreProperties>
</file>

<file path=docProps/custom.xml><?xml version="1.0" encoding="utf-8"?>
<Properties xmlns="http://schemas.openxmlformats.org/officeDocument/2006/custom-properties" xmlns:vt="http://schemas.openxmlformats.org/officeDocument/2006/docPropsVTypes"/>
</file>