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000000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versão 1.0.0 (pipeline v5, documentação v6) · julho de 2026</w:t>
      </w:r>
    </w:p>
    <w:p>
      <w:pPr>
        <w:ind w:firstLine="709"/>
      </w:pPr>
      <w:r>
        <w:br w:type="page"/>
      </w:r>
    </w:p>
    <w:p>
      <w:pPr>
        <w:ind w:firstLine="709"/>
      </w:pPr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seis auditorias adversariais. Todos os números citados foram confirmados por replicação independente a partir dos dados brutos (última replicação: 2026-07-27;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pPr>
        <w:ind w:firstLine="709"/>
      </w:pPr>
      <w:r>
        <w:t xml:space="preserve">Os valores esperados das verificações são fotografias desses snapshots: o IBAMA revisa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pPr>
        <w:ind w:firstLine="709"/>
      </w:pPr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pPr>
        <w:ind w:firstLine="709"/>
      </w:pPr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  <w:r>
        <w:t xml:space="preserve">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pPr>
        <w:ind w:firstLine="709"/>
      </w:pPr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</w:t>
      </w:r>
    </w:p>
    <w:p>
      <w:pPr>
        <w:pStyle w:val="Heading2"/>
      </w:pPr>
      <w:r>
        <w:t xml:space="preserve">2.2 O deflator IPCA</w:t>
      </w:r>
    </w:p>
    <w:p>
      <w:pPr>
        <w:ind w:firstLine="709"/>
      </w:pPr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pPr>
        <w:ind w:firstLine="709"/>
      </w:pPr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diferentes. O PRODES ainda agrega a área pré-desmembramento;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pPr>
        <w:ind w:firstLine="709"/>
      </w:pPr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0,796.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pPr>
        <w:ind w:firstLine="709"/>
      </w:pPr>
      <w:r>
        <w:t xml:space="preserve">Uma ordem de grandeza acima da unidade mínima de mapeamento real do PRODES (6,25 ha: verificada em documentação do INPE,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médio). São 0,9868 para 1 km² contra 6,25 ha e 0,9866 para 1 km² contra nenhum limiar. O limiar move apenas a estatística descritiva (os 54,3% sem pressão), não a ordenação: resultado de robustez citável.</w:t>
      </w:r>
    </w:p>
    <w:p>
      <w:pPr>
        <w:pStyle w:val="Heading2"/>
      </w:pPr>
      <w:r>
        <w:t xml:space="preserve">3.3 Média 0-fill como ordenação principal</w:t>
      </w:r>
    </w:p>
    <w:p>
      <w:pPr>
        <w:ind w:firstLine="709"/>
      </w:pPr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pPr>
        <w:ind w:firstLine="709"/>
      </w:pPr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pPr>
        <w:ind w:firstLine="709"/>
      </w:pPr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valor,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pPr>
        <w:ind w:firstLine="709"/>
      </w:pPr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2025 −9,3% (5.258 vs. 5.796 estimado). Os quatro desvios são reportados individualmente, sem limiar de aprovação: o painel soma o export municipal do TerraBrasilis e a taxa oficial é apurada por estado sobre as cenas. São objetos distintos, e a comparação é um teste de ordem de grandeza, não de identidade. O desvio de 2025 é o maior e tem dupla explicação conhecida: o arquivo baixado antecede a consolidação do ano, e a própria taxa de 2025 é preliminar (a consolidada sai no primeiro semestre seguinte), a mesma razão da nota “último ano sujeito a revisão”. Duas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2025. O desvio correto é −3,9%, não −0,4%, e o valor 5.731 km² que aparecia como piso do intervalo de 2025 foi removido por não ter fonte localizável.</w:t>
      </w:r>
    </w:p>
    <w:p>
      <w:pPr>
        <w:pStyle w:val="Heading2"/>
      </w:pPr>
      <w:r>
        <w:t xml:space="preserve">4.2 Validação do same-year join</w:t>
      </w:r>
    </w:p>
    <w:p>
      <w:pPr>
        <w:ind w:firstLine="709"/>
      </w:pPr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civil, então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pPr>
        <w:ind w:firstLine="709"/>
      </w:pPr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resultante. Seis auditorias externas replicaram o pipeline inteiro a partir dos CSVs brutos em ambientes isolados; a sexta (2026-07-27)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motores/threads. O total_desmatado_km2 pode divergir em ±0,1 em ~10 municípios, e egs/fine_values no último bit (~1e-16); comparações exigem tolerância.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pPr>
        <w:ind w:firstLine="709"/>
      </w:pPr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600"/>
        <w:gridCol w:w="1000"/>
        <w:gridCol w:w="450"/>
        <w:gridCol w:w="2300"/>
        <w:gridCol w:w="600"/>
        <w:gridCol w:w="1000"/>
      </w:tblGrid>
      <w:t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S. Domingos do Maranhão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Sta. Maria das Barreiras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</w:tr>
    </w:tbl>
    <w:p/>
    <w:p>
      <w:pPr>
        <w:ind w:firstLine="709"/>
      </w:pPr>
      <w:r>
        <w:t xml:space="preserve">Todos os 20 têm pressão material em 18/18 anos. Empate aparente no top 3/4: Monte Alegre (1,10893) precede Aveiro (1,10870) pela média não-arredondada. O desempate determinístico pela grandeza original, não pela versão de exibição, foi ele próprio um achado de auditoria (S18).</w:t>
      </w:r>
    </w:p>
    <w:p>
      <w:pPr>
        <w:pStyle w:val="Heading2"/>
      </w:pPr>
      <w:r>
        <w:t xml:space="preserve">5.3 Robustez entre versões e casos-teste</w:t>
      </w:r>
    </w:p>
    <w:p>
      <w:pPr>
        <w:ind w:firstLine="709"/>
      </w:pPr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2026-07-27.</w:t>
      </w:r>
    </w:p>
    <w:p>
      <w:pPr>
        <w:pStyle w:val="Heading2"/>
      </w:pPr>
      <w:r>
        <w:t xml:space="preserve">5.4 Verificação externa</w:t>
      </w:r>
    </w:p>
    <w:p>
      <w:pPr>
        <w:ind w:firstLine="709"/>
      </w:pPr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ausência de evidência (ex.: nada específico sobre Cachoeira do Piriá) é registrada como tal.</w:t>
      </w:r>
    </w:p>
    <w:p>
      <w:pPr>
        <w:pStyle w:val="Heading2"/>
      </w:pPr>
      <w:r>
        <w:t xml:space="preserve">5.5 Teste dinâmico de responsividade: efeitos fixos e event study</w:t>
      </w:r>
    </w:p>
    <w:p>
      <w:pPr>
        <w:ind w:firstLine="709"/>
      </w:pPr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pPr>
        <w:ind w:firstLine="709"/>
      </w:pPr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pPr>
        <w:ind w:firstLine="709"/>
      </w:pPr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pPr>
        <w:ind w:firstLine="709"/>
      </w:pPr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+0,037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-0,001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+0,074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-0,062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-0,212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-0,033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+0,007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-0,016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(n.s.)</w:t>
            </w:r>
          </w:p>
        </w:tc>
      </w:tr>
    </w:tbl>
    <w:p>
      <w:pPr>
        <w:ind w:firstLine="709"/>
      </w:pPr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pPr>
        <w:ind w:firstLine="709"/>
      </w:pPr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pPr>
        <w:ind w:firstLine="709"/>
      </w:pPr>
      <w:r>
        <w:t xml:space="preserve">(1) Lacuna federal, não lacuna simpliciter. Três situações são indistinguíveis com este dado: ausência real, substituição estadual, presença sem efeito; o viés é conservador numa direção só (onde há fiscalização estadual não capturada, a lacuna total é menor que a medida, nunca maior). Há uma segunda fonte de viés na mesma direção: desmatamento autorizado infla o numerador, ver (2). (2) PRODES ≠ desmatamento ilegal (caso Barra do Bugres; nenhuma checagem sistemática de AUTEX/DOF no top 20). A busca externa da sexta auditoria encontrou supressão licenciada em Oriximiná, 19º (Mineração Rio do Norte, 12.639 ha na Flona Saracá-Taquera, licença de operação vigente) e em Autazes, 18º (projeto de potássio licenciado pelo IPAAM em abr/2024); e território sob regime especial em Porto de Moz, 2º (Resex federal Verde para Sempre, gerida pelo ICMBio) e Jacareacanga, 13º (TI Munduruku, &gt;90% do território,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pPr>
        <w:ind w:firstLine="709"/>
      </w:pPr>
      <w:r>
        <w:t xml:space="preserve">O histórico linha a linha de cada correção (seis rodadas de auditoria adversarial) foi mantido como registro de desenvolvimento interno, não incluído neste repositório; o resumo das mudanças que alteraram números publicados está no CHANGELOG.md. A tabela abaixo resume as mudanças de substância entre versões: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CITATION.cff, CHANGELOG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pPr>
        <w:ind w:firstLine="709"/>
      </w:pPr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pPr>
        <w:ind w:firstLine="709"/>
      </w:pPr>
      <w:r>
        <w:br w:type="page"/>
      </w:r>
    </w:p>
    <w:p>
      <w:pPr>
        <w:pStyle w:val="Heading1"/>
      </w:pPr>
      <w:r>
        <w:t xml:space="preserve">8. 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pPr>
        <w:ind w:firstLine="709"/>
      </w:pPr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Desmatamento acumulado absoluto (km²) por quintil; pinos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EGS médio 18 anos por quintil (ordinal).</w:t>
      </w:r>
    </w:p>
    <w:p>
      <w:pPr>
        <w:pStyle w:val="Heading2"/>
      </w:pPr>
      <w:r>
        <w:t xml:space="preserve">8.3 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pPr>
        <w:ind w:firstLine="709"/>
      </w:pPr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pPr>
        <w:ind w:firstLine="709"/>
      </w:pPr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pPr>
        <w:ind w:firstLine="709"/>
      </w:pPr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7. Concentração de multas entre infratores (Gini).</w:t>
      </w:r>
    </w:p>
    <w:p>
      <w:pPr>
        <w:pStyle w:val="Heading2"/>
      </w:pPr>
      <w:r>
        <w:t xml:space="preserve">8.8 Taxa de cancelamento de autos, por ano</w:t>
      </w:r>
    </w:p>
    <w:p>
      <w:pPr>
        <w:ind w:firstLine="709"/>
      </w:pPr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a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8. Taxa de cancelamento por ano (pico 2017–2019). Base: 48.063 autos de tipo desmatamento nos 772 municípios do painel, em qualquer situação, porque a taxa exige incluir os cancelados. Não confundir com os 60.707 do pipeline, que são nacionais e já excluem cancelados.</w:t>
      </w:r>
    </w:p>
    <w:p>
      <w:pPr>
        <w:pStyle w:val="Heading2"/>
      </w:pPr>
      <w:r>
        <w:t xml:space="preserve">8.9 Taxa de cancelamento por estado</w:t>
      </w:r>
    </w:p>
    <w:p>
      <w:pPr>
        <w:ind w:firstLine="709"/>
      </w:pPr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9. Taxa de cancelamento por UF (≥100 autos). Mesma base da Figura 8.</w:t>
      </w:r>
    </w:p>
    <w:p>
      <w:pPr>
        <w:pStyle w:val="Heading2"/>
      </w:pPr>
      <w:r>
        <w:t xml:space="preserve">8.10 Defasagem entre o fato e a autuação</w:t>
      </w:r>
    </w:p>
    <w:p>
      <w:pPr>
        <w:ind w:firstLine="709"/>
      </w:pPr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pPr>
        <w:ind w:firstLine="709"/>
      </w:pPr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pPr>
        <w:ind w:firstLine="709"/>
      </w:pPr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seguinte. É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pPr>
        <w:ind w:firstLine="709"/>
      </w:pPr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pPr>
        <w:ind w:firstLine="709"/>
      </w:pPr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pPr>
        <w:ind w:firstLine="709"/>
      </w:pPr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15. Distribuição anual do EGS (anos de pressão): deslocamento no tempo.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Reserva Extrativista Verde para Sempre. Brasília, DF: ICMBio. Disponível em: https://www.gov.br/icmbio/pt-br.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LAUT. 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