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 — o PRODES ainda agrega a área pré-desmembramento,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 Base: 48.063 autos de tipo desmatamento nos 772 municípios do painel, em qualquer situação — a taxa exige incluir os cancelados;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