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ind w:firstLine="709"/>
      </w:pPr>
      <w:r>
        <w:t>Os eixos são os dois termos da fórmula, e não grandezas escolhidas por conveniência: no eixo horizontal o numerador, log10(1 + km² desmatados); no vertical o denominador, a média geométrica de autos 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ao longo dos dezoito anos e os nomes destacam os seis casos-âncora discutidos no texto.</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(km² desmatados) contra denominador (autos × multas). As tracejadas são retas de EGS constante; abaixo de uma delas = lacuna maior que aquele valor.</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piora acentuada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quatro situações distintas, que os dados administrativos federais, sozinhos, não separam: ausência real, substituição estadual, presença federal sem efeito, e presença federal em outro instrumento. A última é mensurável: o índice conta autos de tipo desmatamento, e nos vinte do topo eles são 1.187 dos 3.513 que o IBAMA lavrou, 34%. O resto é fauna, pesca, controle ambiental, cadastro e unidade de conservação, esta a mesma lacuna do ICMBio que Porto de Moz ilustra.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Em Acará (7º), cerca de 4.800 hectares foram convertidos para dendê entre 2007 e 2018, sobre 26.520 no painel, com autorização alegada pelas empresas e contestada por pesquisadores. E mesmo o caso nº 1 tem resposta federal que o índice não vê: em setembro de 2025 a Polícia Federal, com apoio do IBAMA, fechou cinco garimpos ilegais de ouro em Cachoeira do Piriá, e os três autos do município naquele ano são todos de tipo “Qualidade Ambiental”, nenhum de desmatamento. O motor da supressão ali é garimpo, e a fiscalização que ele atrai não é lavrada como infração de desmatamento.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ind w:firstLine="709"/>
      </w:pPr>
      <w:r>
        <w:t>Este gráfico de quadrante cruza o EGS médio histórico (18 anos) com o EGS médio recente (2023–2025) para identificar quem está piorando ou melhorando agora, e não apenas ao longo de toda a série. As faixas de cor são as do mapa de direção do EGS, no relatório estendido: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114800"/>
                    </a:xfrm>
                    <a:prstGeom prst="rect"/>
                  </pic:spPr>
                </pic:pic>
              </a:graphicData>
            </a:graphic>
          </wp:inline>
        </w:drawing>
      </w:r>
    </w:p>
    <w:p>
      <w:pPr>
        <w:jc w:val="center"/>
      </w:pPr>
      <w:r>
        <w:rPr>
          <w:i/>
          <w:color w:val="000000"/>
          <w:sz w:val="18"/>
        </w:rPr>
        <w:t>Figura 2. Histórico (média 18a) × recente (2023-25), nas mesmas faixas do mapa de direção. Acima da diagonal = piorando; cinza = sem pressão recente (381). Os dois eixos se sobrepõem por construção: a média de dezoito anos contém os três anos recentes, o que introduz regressão à média. Os nomes destacados são os mesmos casos-âncora da figura 1. Aveiro (PA), o ponto mais alto do painel, é discutido no texto.</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ind w:firstLine="709"/>
      </w:pPr>
      <w:r>
        <w:t xml:space="preserve">O gráfico de coeficientes resume as especificações do modelo com efeitos fixos de município e de ano: cada ponto é uma estimativa com intervalo de confiança de 95%. Dentro do mesmo município, mais desmatamento no ano corrente está associado a mais autuações; já um aumento do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2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Coeficientes de painel com efeitos fixos de município e de ano, erros-padrão clusterizados por município. Ponto = estimativa; barra = intervalo de confiança de 95%; barra que cruza o zero é compatível com ausência de associação. Associação positiva no nível; aumentos anuais associados a MENOS fiscalização no ano seguinte (indício frágil, ver event study). Multas deflacionadas para a base de 2025.</w:t>
      </w:r>
    </w:p>
    <w:p>
      <w:pPr>
        <w:ind w:firstLine="709"/>
      </w:pPr>
      <w:r>
        <w:t xml:space="preserve">O event study examina essa anomalia de forma distribuída no tempo, mostrando a associação entre o aumento anual do desmatamento e os autos e multas numa janela de −2 a +2 anos, com dois coeficientes pré-evento, que funcionam como placebo;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13_event_study.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000000"/>
          <w:sz w:val="18"/>
        </w:rPr>
        <w:t>Figura 4. Event study da resposta menor após aumento: autos e multas em torno de um aumento anual do desmatamento. O eixo horizontal é o tempo relativo ao aumento; -2 e -1 são coeficientes pré-evento e funcionam como placebo. Direcional para autos, frágil: ICs cruzam zero. Tempera o achado de defasagem única.</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10. Princípios de codificação das figuras</w:t>
      </w:r>
    </w:p>
    <w:p>
      <w:r>
        <w:t>Os gráficos não trazem título nem subtítulo, só rótulo de eixo e legenda: o título de cada figura vive na legenda numerada, para não duplicar texto nem descasar a fonte do gráfico e a do documento. EGS e pct_desmatado são ordinais, então a cor é sempre quintil de rank, nunca valor bruto. Uma rampa de cor por quantidade: marrom para o desmatamento, azul para a resposta federal, ameixa para o EGS, divergente vermelho-verde para a direção. Figuras geradas em R/ggplot2 (viz/) a partir dos parquets do pipeline.</w:t>
      </w:r>
    </w:p>
    <w:p>
      <w:pPr>
        <w:ind w:firstLine="709"/>
      </w:pPr>
      <w:r>
        <w:rPr>
          <w:i/>
          <w:color w:val="000000"/>
          <w:sz w:val="18"/>
        </w:rPr>
        <w:t>Figuras geradas pela suíte de visualização em R/ggplot2 (viz/), a partir dos parquets do pipeline; o event study foi produzido em R (fixest). EGS e pct_desmatado são ordinais: cor sempre por quintil de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