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1a3d2e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444444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666666"/>
          <w:sz w:val="18"/>
          <w:szCs w:val="18"/>
        </w:rPr>
        <w:t xml:space="preserve">resumo executivo · julho de 2026</w:t>
      </w:r>
    </w:p>
    <w:p>
      <w:r>
        <w:br w:type="page"/>
      </w:r>
    </w:p>
    <w:p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Consolas" w:cs="Consolas" w:eastAsia="Consolas" w:hAnsi="Consolas"/>
          <w:sz w:val="19"/>
          <w:szCs w:val="19"/>
        </w:rPr>
        <w:t xml:space="preserve">EGS = 0 quando a área do ano fica abaixo de 1 km²  ·  multas deflacionadas (IPCA, base 2025)</w:t>
      </w:r>
    </w:p>
    <w:p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anos: 16 no Pará, 2 no Maranhão,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p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persistente: presença federal sem efeito, não ausência. Apuí (AM) mostra o instrumento funcionando no tempo: pior trecho sustentado em 2020–22 (desmatamento a 440 km²/ano, resposta estagnada) e queda do EGS quando a resposta federal e estadual chega em 2023–25: o município cai para a posição 141. Um monitor que nunca rebaixa ninguém não está medindo nada.</w:t>
      </w:r>
    </w:p>
    <w:p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stopifnot) + Power BI sobre 3 parquets. 56 checks com valores esperados versionados no próprio pipeline; toda decisão de fórmula tem teste empírico documentado (piso do denominador, limiar de materialidade, média 0-fill, deflator); seis auditorias adversariais independentes, cada uma replicando o pipeline a partir dos dados brutos em ambiente isolado — a última (jul/2026)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r>
        <w:br w:type="page"/>
      </w:r>
    </w:p>
    <w:p>
      <w:pPr>
        <w:pStyle w:val="Heading1"/>
      </w:pPr>
      <w:r>
        <w:t xml:space="preserve">Visualizações</w:t>
      </w:r>
    </w:p>
    <w:p>
      <w:r>
        <w:rPr>
          <w:i/>
          <w:color w:val="5A655C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EGS médio de 18 anos, por quintil</w:t>
      </w:r>
    </w:p>
    <w:p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1. Enforcement Gap Score médio (2008–2025) por quintil. Escala ordinal (rank), nunca valor bruto; pinos verdes = top 20 do ranking.</w:t>
      </w:r>
    </w:p>
    <w:p>
      <w:pPr>
        <w:pStyle w:val="Heading2"/>
      </w:pPr>
      <w:r>
        <w:t xml:space="preserve">Exposição ao desmatamento x resposta federal em multas</w:t>
      </w:r>
    </w:p>
    <w:p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d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2. Exposição ao desmatamento (cor = quintil de % desmatado) versus resposta federal (bolha com área ∝ multas deflacionadas); contorno grosso = top 20 EGS.</w:t>
      </w:r>
    </w:p>
    <w:p>
      <w:pPr>
        <w:pStyle w:val="Heading2"/>
      </w:pPr>
      <w:r>
        <w:t xml:space="preserve">Lacuna de fiscalização e desmatamento, por ano</w:t>
      </w:r>
    </w:p>
    <w:p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655C"/>
          <w:sz w:val="18"/>
        </w:rPr>
        <w:t>Figura 3. Série anual da lacuna por tipo (absoluta/medida) e área total desmatada; banda 2025 sujeita a revisão.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1a3d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1a3d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333333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