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1a3d2e"/>
          <w:sz w:val="34"/>
          <w:szCs w:val="34"/>
        </w:rPr>
        <w:t xml:space="preserve">Medindo a distância entre a lei e sua aplicação</w:t>
      </w:r>
    </w:p>
    <w:p>
      <w:pPr>
        <w:spacing w:after="0"/>
        <w:jc w:val="center"/>
      </w:pPr>
      <w:r>
        <w:rPr>
          <w:i/>
          <w:iCs/>
          <w:color w:val="444444"/>
          <w:sz w:val="23"/>
          <w:szCs w:val="23"/>
        </w:rPr>
        <w:t xml:space="preserve">Metodologia, stack e resultados de um sistema de indicadores para o desmatamento na Amazônia Legal</w:t>
      </w:r>
    </w:p>
    <w:p>
      <w:pPr>
        <w:spacing w:before="4260" w:after="0"/>
        <w:jc w:val="center"/>
      </w:pPr>
      <w:r>
        <w:rPr>
          <w:color w:val="666666"/>
          <w:sz w:val="18"/>
          <w:szCs w:val="18"/>
        </w:rPr>
        <w:t xml:space="preserve">writing sample · julho de 2026</w:t>
      </w:r>
    </w:p>
    <w:p>
      <w:r>
        <w:br w:type="page"/>
      </w:r>
    </w:p>
    <w:p>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da Amazônia Legal ao mesmo tempo (a delimitação municipal oficial do IBGE), sem depender de quais casos a imprensa decidiu cobrir.</w:t>
      </w:r>
    </w:p>
    <w:p>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r>
        <w:t xml:space="preserve">O sistema foi submetido a </w:t>
      </w:r>
      <w:r>
        <w:rPr>
          <w:b/>
          <w:bCs/>
        </w:rPr>
        <w:t xml:space="preserve">seis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no CHANGELOG.md do repositório e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Consolas" w:cs="Consolas" w:eastAsia="Consolas" w:hAnsi="Consolas"/>
          <w:sz w:val="19"/>
          <w:szCs w:val="19"/>
        </w:rPr>
        <w:t xml:space="preserve">EGS = log(1 + área desmatada) / max(1, √(log(1 + nº de autuações) × log(1 + valor real das multas)))</w:t>
      </w:r>
    </w:p>
    <w:p>
      <w:pPr>
        <w:shd w:fill="F2F4F1" w:val="clear"/>
        <w:spacing w:after="40" w:before="40"/>
        <w:ind w:left="360"/>
      </w:pPr>
      <w:r>
        <w:rPr>
          <w:rFonts w:ascii="Consolas" w:cs="Consolas" w:eastAsia="Consolas" w:hAnsi="Consolas"/>
          <w:sz w:val="19"/>
          <w:szCs w:val="19"/>
        </w:rPr>
        <w:t xml:space="preserve">EGS = 0 quando a área desmatada do ano fica abaixo de 1 km²</w:t>
      </w:r>
    </w:p>
    <w:p>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injeção de ruído, não sinal.</w:t>
      </w:r>
    </w:p>
    <w:p>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pStyle w:val="Heading1"/>
      </w:pPr>
      <w:r>
        <w:t xml:space="preserve">5. Validação</w:t>
      </w:r>
    </w:p>
    <w:p>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2025 −9,3%. Reporto os quatro desvios individualmente, sem um limiar de aprovação: as duas grandezas não são o mesmo objeto medido duas vezes — o painel soma o export municipal do TerraBrasilis e a taxa oficial é apurada por estado —, então uma concordância de poucos pontos percentuais é o que se pode esperar, não um teste que se passa ou se falha. O desvio de 2025 é o maior e tem explicação conhecida: o arquivo baixado antecede a consolidação do ano, e a taxa oficial de 2025 é ela própria uma estimativa preliminar. Duas correções de versões anteriores ficam registradas: a afirmação de concordância “&lt;5%” para os quatro âncoras era falsa para 2025; e o valor de 2024 vinha sendo comparado à estimativa preliminar de 6.288 km², superada pela taxa consolidada de 6.518 km², o que move o desvio de −0,4% para −3,9%.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r>
        <w:t xml:space="preserve">Uma limitação estrutural do cruzamento é dita em vez de escondida: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surtos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r>
        <w:t xml:space="preserve">A verificação externa que fiz sobre esse topo, não para confirmar o índice, mas para tentar quebrá-lo, produziu quatro achados de naturezas diferentes.</w:t>
      </w:r>
    </w:p>
    <w:p>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 Cachoeira do Piriá, Porto de Moz, Monte Alegre, Aveiro, Alenquer, Arame e Acará —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desde 2021;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três situações distintas: ausência real, ausência federal com substituição estadual, e presença federal sem efeito: que os dados administrativos federais, sozinhos, não separam. O viés, note-se, é conservador numa direção só: onde existe fiscalização estadual não capturada, a lacuna total verdadeira é menor que a medida, nunca maior.</w:t>
      </w:r>
    </w:p>
    <w:p>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 hipóteses que o índice, por construção, não distingue de omissão. Em Oriximiná (19º), a Mineração Rio do Norte já havia suprimido 12.639 hectares dentro da Floresta Nacional Saracá-Taquera, sob licença de operação vigente e renovada em setembro de 2025: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mais de noventa por cento do território é a Terra Indígena Munduruku, onde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 não consultei AUTEX nem DOF município a município —, mas deixou de ser verdadeiro como estado de conhecimento. A busca externa encontrou, e o texto tem a obrigação de dizer que encontrou.</w:t>
      </w:r>
    </w:p>
    <w:p>
      <w:pPr>
        <w:pStyle w:val="Heading2"/>
      </w:pPr>
      <w:r>
        <w:t xml:space="preserve">6.1 O que sobreviveu à troca do método, e o que caiu</w:t>
      </w:r>
    </w:p>
    <w:p>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pStyle w:val="Heading1"/>
      </w:pPr>
      <w:r>
        <w:t xml:space="preserve">7. O teste temporal: Apuí</w:t>
      </w:r>
    </w:p>
    <w:p>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do ex-vice-prefeito em março de 2025 (Operação Máscara Rural,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pStyle w:val="Heading1"/>
      </w:pPr>
      <w:r>
        <w:t xml:space="preserve">9. O que este projeto não resolve, e por que isso importa</w:t>
      </w:r>
    </w:p>
    <w:p>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seis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r>
        <w:br w:type="page"/>
      </w:r>
    </w:p>
    <w:p>
      <w:pPr>
        <w:pStyle w:val="Heading1"/>
      </w:pPr>
      <w:r>
        <w:t xml:space="preserve">10. Visualizações</w:t>
      </w:r>
    </w:p>
    <w:p>
      <w:r>
        <w:rPr>
          <w:i/>
          <w:color w:val="5A655C"/>
          <w:sz w:val="18"/>
        </w:rPr>
        <w:t>Figuras geradas pela suíte de visualização em R/ggplot2 (viz/), a partir dos parquets do pipeline; o event study (fig. do surto) foi produzido em R (fixest). EGS e pct_desmatado são ordinais: cor sempre por quintil de rank.</w:t>
      </w:r>
    </w:p>
    <w:p>
      <w:pPr>
        <w:pStyle w:val="Heading2"/>
      </w:pPr>
      <w:r>
        <w:t xml:space="preserve">10.1 Pressão x resposta (log-log): a fórmula do EGS desenhada</w:t>
      </w:r>
    </w:p>
    <w:p>
      <w:r>
        <w:t xml:space="preserve">O gráfico compara, em escala logarítmica, o desmatamento total e o total de multas de cada município: a diagonal tracejada é uma referência fixa de proporcionalidade (R$ 100 mil por km² desmatado), não uma fronteira derivada da fórmula: o EGS depende também do número de autos, que não está nos eixos, e é anual, enquanto o gráfico agrega os 18 anos. Pontos abaixo dela têm resposta monetária baixa em relação à pressão acumulada;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366727"/>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366727"/>
                    </a:xfrm>
                    <a:prstGeom prst="rect"/>
                  </pic:spPr>
                </pic:pic>
              </a:graphicData>
            </a:graphic>
          </wp:inline>
        </w:drawing>
      </w:r>
    </w:p>
    <w:p>
      <w:pPr>
        <w:jc w:val="center"/>
      </w:pPr>
      <w:r>
        <w:rPr>
          <w:i/>
          <w:color w:val="5A655C"/>
          <w:sz w:val="18"/>
        </w:rPr>
        <w:t>Figura 1. Pressão × resposta (log–log): a fórmula do EGS desenhada. Abaixo da diagonal = lacuna de fiscalização; sobre ela = resposta proporcional.</w:t>
      </w:r>
    </w:p>
    <w:p>
      <w:pPr>
        <w:pStyle w:val="Heading2"/>
      </w:pPr>
      <w:r>
        <w:t xml:space="preserve">10.2 Histórico x recente: quem está piorando agora</w:t>
      </w:r>
    </w:p>
    <w:p>
      <w:r>
        <w:t xml:space="preserve">Este gráfico de quadrante cruza o EGS médio histórico (18 anos) com o EGS médio recente (2023–2025) para identificar quem está piorando ou melhorando agora, e não apenas ao longo de toda a série; o tamanho do ponto indica quantos anos de pressão cada município teve.</w:t>
      </w:r>
    </w:p>
    <w:p>
      <w:pPr>
        <w:jc w:val="center"/>
      </w:pPr>
      <w:r>
        <w:drawing>
          <wp:inline xmlns:a="http://schemas.openxmlformats.org/drawingml/2006/main" xmlns:pic="http://schemas.openxmlformats.org/drawingml/2006/picture">
            <wp:extent cx="5486400" cy="4090369"/>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090369"/>
                    </a:xfrm>
                    <a:prstGeom prst="rect"/>
                  </pic:spPr>
                </pic:pic>
              </a:graphicData>
            </a:graphic>
          </wp:inline>
        </w:drawing>
      </w:r>
    </w:p>
    <w:p>
      <w:pPr>
        <w:jc w:val="center"/>
      </w:pPr>
      <w:r>
        <w:rPr>
          <w:i/>
          <w:color w:val="5A655C"/>
          <w:sz w:val="18"/>
        </w:rPr>
        <w:t>Figura 2. Histórico (média 18a) × recente (2023–25). Acima da diagonal de identidade = piorando; tamanho do ponto = anos de pressão.</w:t>
      </w:r>
    </w:p>
    <w:p>
      <w:pPr>
        <w:pStyle w:val="Heading2"/>
      </w:pPr>
      <w:r>
        <w:t xml:space="preserve">10.3 Estimativas do painel com efeitos fixos bidirecionais</w:t>
      </w:r>
    </w:p>
    <w:p>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5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5A655C"/>
          <w:sz w:val="18"/>
        </w:rPr>
        <w:t>Figura 3. Estimativas de painel (efeitos fixos município+ano, SE clusterizado). Efeito de nível positivo; picos abruptos associados a MENOS fiscalização no ano seguinte (indício frágil — ver event study).</w:t>
      </w:r>
    </w:p>
    <w:p>
      <w:pPr>
        <w:pStyle w:val="Heading2"/>
      </w:pPr>
      <w:r>
        <w:t xml:space="preserve">10.4 Event study: fiscalização em torno de um surto de desmatamento</w:t>
      </w:r>
    </w:p>
    <w:p>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524217"/>
            <wp:docPr id="4" name="Picture 4"/>
            <wp:cNvGraphicFramePr>
              <a:graphicFrameLocks noChangeAspect="1"/>
            </wp:cNvGraphicFramePr>
            <a:graphic>
              <a:graphicData uri="http://schemas.openxmlformats.org/drawingml/2006/picture">
                <pic:pic>
                  <pic:nvPicPr>
                    <pic:cNvPr id="0" name="16_event_study.png"/>
                    <pic:cNvPicPr/>
                  </pic:nvPicPr>
                  <pic:blipFill>
                    <a:blip r:embed="rId11"/>
                    <a:stretch>
                      <a:fillRect/>
                    </a:stretch>
                  </pic:blipFill>
                  <pic:spPr>
                    <a:xfrm>
                      <a:off x="0" y="0"/>
                      <a:ext cx="5486400" cy="3524217"/>
                    </a:xfrm>
                    <a:prstGeom prst="rect"/>
                  </pic:spPr>
                </pic:pic>
              </a:graphicData>
            </a:graphic>
          </wp:inline>
        </w:drawing>
      </w:r>
    </w:p>
    <w:p>
      <w:pPr>
        <w:jc w:val="center"/>
      </w:pPr>
      <w:r>
        <w:rPr>
          <w:i/>
          <w:color w:val="5A655C"/>
          <w:sz w:val="18"/>
        </w:rPr>
        <w:t>Figura 4. Event study da 'ressaca': autos e multas em torno de um surto de desmatamento. Direcional para autos, frágil: ICs cruzam zero. Tempera o achado single-lag.</w:t>
      </w:r>
    </w:p>
    <w:p>
      <w:pPr>
        <w:pStyle w:val="Heading2"/>
      </w:pPr>
      <w:r>
        <w:t xml:space="preserve">10.5 Concentração do valor de multas entre infratores</w:t>
      </w:r>
    </w:p>
    <w:p>
      <w:r>
        <w:t xml:space="preserve">A curva de Lorenz mostra como o valor total de multas se concentra entre os infratores (CPF/CNPJ únicos): quanto mais afastada da diagonal, maior a concentração. O índice de Gini de 0,801 indica que uma pequena fração dos infratores responde pela maior parte do valor multado.</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11_lorenz_offenders.png"/>
                    <pic:cNvPicPr/>
                  </pic:nvPicPr>
                  <pic:blipFill>
                    <a:blip r:embed="rId12"/>
                    <a:stretch>
                      <a:fillRect/>
                    </a:stretch>
                  </pic:blipFill>
                  <pic:spPr>
                    <a:xfrm>
                      <a:off x="0" y="0"/>
                      <a:ext cx="5486400" cy="5486400"/>
                    </a:xfrm>
                    <a:prstGeom prst="rect"/>
                  </pic:spPr>
                </pic:pic>
              </a:graphicData>
            </a:graphic>
          </wp:inline>
        </w:drawing>
      </w:r>
    </w:p>
    <w:p>
      <w:pPr>
        <w:jc w:val="center"/>
      </w:pPr>
      <w:r>
        <w:rPr>
          <w:i/>
          <w:color w:val="5A655C"/>
          <w:sz w:val="18"/>
        </w:rPr>
        <w:t>Figura 5. Concentração do valor de multas entre infratores (curva de Lorenz, Gini). Aproximação por CPF/CNPJ, não auditoria de identidade.</w:t>
      </w:r>
    </w:p>
    <w:p>
      <w:pPr>
        <w:pStyle w:val="Heading2"/>
      </w:pPr>
      <w:r>
        <w:t xml:space="preserve">10.6 Taxa de cancelamento de autos, por ano</w:t>
      </w:r>
    </w:p>
    <w:p>
      <w:r>
        <w:t xml:space="preserve">A série mostra a taxa de cancelamento dos autos de infração por desmatamento ao longo dos anos, destacando o pico de 2017 a 2019, período em que uma fração desproporcional das autuações foi posteriormente cancelada.</w:t>
      </w:r>
    </w:p>
    <w:p>
      <w:pPr>
        <w:jc w:val="center"/>
      </w:pPr>
      <w:r>
        <w:drawing>
          <wp:inline xmlns:a="http://schemas.openxmlformats.org/drawingml/2006/main" xmlns:pic="http://schemas.openxmlformats.org/drawingml/2006/picture">
            <wp:extent cx="5943600" cy="2971800"/>
            <wp:docPr id="6" name="Picture 6"/>
            <wp:cNvGraphicFramePr>
              <a:graphicFrameLocks noChangeAspect="1"/>
            </wp:cNvGraphicFramePr>
            <a:graphic>
              <a:graphicData uri="http://schemas.openxmlformats.org/drawingml/2006/picture">
                <pic:pic>
                  <pic:nvPicPr>
                    <pic:cNvPr id="0" name="12a_cancel_by_year.png"/>
                    <pic:cNvPicPr/>
                  </pic:nvPicPr>
                  <pic:blipFill>
                    <a:blip r:embed="rId13"/>
                    <a:stretch>
                      <a:fillRect/>
                    </a:stretch>
                  </pic:blipFill>
                  <pic:spPr>
                    <a:xfrm>
                      <a:off x="0" y="0"/>
                      <a:ext cx="5943600" cy="2971800"/>
                    </a:xfrm>
                    <a:prstGeom prst="rect"/>
                  </pic:spPr>
                </pic:pic>
              </a:graphicData>
            </a:graphic>
          </wp:inline>
        </w:drawing>
      </w:r>
    </w:p>
    <w:p>
      <w:pPr>
        <w:jc w:val="center"/>
      </w:pPr>
      <w:r>
        <w:rPr>
          <w:i/>
          <w:color w:val="5A655C"/>
          <w:sz w:val="18"/>
        </w:rPr>
        <w:t>Figura 6. Taxa de cancelamento de autos por ano; pico anômalo 2017–2019 (causa não verificada: padrão confirmado, explicação não).</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LAUT — CENTRO DE ANÁLISE DA LIBERDADE E DO AUTORITARISMO.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3d2e"/>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1a3d2e"/>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