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444444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versão 1.0.0 (pipeline v5, documentação v6) · julho de 2026</w:t>
      </w:r>
    </w:p>
    <w:p>
      <w:r>
        <w:br w:type="page"/>
      </w:r>
    </w:p>
    <w:p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não registrada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guarda nasceu na sexta auditoria: missing_legal_amazon_munis = 1 compara o CONJUNTO de geocodes do PRODES contra a referência do IBGE nos oito estados integralmente contidos na Amazônia Legal, e documenta que falta exatamente um município — Boa Esperança do Norte/MT (5101837), desmembrado de Nova Ubiratã, ausente da malha sobre a qual o PRODES agrega mas presente nas outras duas fontes do IBGE usadas aqui, com 4.704,5 km². O painel são os 772 municípios que o PRODES mapeia, não a divisão municipal vigente; n_geocodes_prodes_clean fixa uma contagem, não um conjunto, e por isso não pegava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 — 0,9868 para 1 km² contra 6,25 ha e 0,9866 para 1 km² contra nenhum limiar.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r>
        <w:t xml:space="preserve">Painel balanceado confirmado (772 × 18, sem lacunas); trajetória anual cruzada com a taxa oficial do INPE em quatro anos-âncora: 2008 +2,9% (13.289 aqui vs. 12.911 oficial), 2012 −3,2% (4.427 vs. ~4.571), 2024 −3,9% (6.263 vs. 6.518 consolidado), 2025 −9,3% (5.258 vs. 5.796 estimado). Os quatro desvios são reportados individualmente, sem limiar de aprovação: o painel soma o export municipal do TerraBrasilis e a taxa oficial é apurada por estado sobre as cenas —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 —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 —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Seis auditorias externas replicaram o pipeline inteiro a partir dos CSVs brutos em ambientes isolados; a sexta (2026-07-27)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motores/threads: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−0,401,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 — e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r>
        <w:br w:type="page"/>
      </w:r>
    </w:p>
    <w:p>
      <w:pPr>
        <w:pStyle w:val="Heading1"/>
      </w:pPr>
      <w:r>
        <w:t xml:space="preserve">8. 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8. Taxa de cancelamento por ano (pico 2017–2019).</w:t>
      </w:r>
    </w:p>
    <w:p>
      <w:pPr>
        <w:pStyle w:val="Heading2"/>
      </w:pPr>
      <w:r>
        <w:t xml:space="preserve">8.9 Taxa de cancelamento por estado</w:t>
      </w:r>
    </w:p>
    <w:p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9. Taxa de cancelamento por UF (≥100 autos).</w:t>
      </w:r>
    </w:p>
    <w:p>
      <w:pPr>
        <w:pStyle w:val="Heading2"/>
      </w:pPr>
      <w:r>
        <w:t xml:space="preserve">8.10 Defasagem entre o fato e a autuação</w:t>
      </w:r>
    </w:p>
    <w:p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 —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 — CENTRO DE ANÁLISE DA LIBERDADE E DO AUTORITARISMO.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