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(2008-2025) por quintil. Escala ordinal (rank), nunca valor bruto; contorno grosso = top 20 do ranking.</w:t>
      </w:r>
    </w:p>
    <w:p>
      <w:pPr>
        <w:ind w:firstLine="709"/>
      </w:pPr>
      <w:r>
        <w:t xml:space="preserve">O mapa mostra o lado da resposta federal, combinando as duas coisas que o índice mede: quantos autos foram lavrados e quanto foi multado. Um único auto de valor alto não conta como resposta robusta, por construção. Duas categorias ficam fora da escala e são o que mais interessa ao gestor: em vermelho, os 66 municípios que tiveram pressão material e nunca foram multados em dezoito anos; em cinza, os 220 sem pressão medida. Lido ao lado da figura 1, mostra onde a resposta acompanha a lacuna e onde não acompanha.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Resposta federal por quintil (autos e multas deflacionadas combinados); vermelho = pressão material sem nenhuma multa (66 municípios); cinza = sem pressão medida; contorno grosso = top 20 EGS.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t>A série mostra, ano a ano, a situação anual dos 772 municípios (lacuna absoluta, lacuna medida ou sem pressão) e a área total desmatada, em dois painéis sobre o mesmo eixo de anos, sem eixo secundário: alinhar duas unidades num eixo só exige um fator de escala arbitrário, e o ponto em que as curvas parecem se cruzar seria artefato desse fator. A faixa marca 2020 a 2022, os anos em que a lacuna absoluta supera a medida, e o quadro revela o choque de capacidade fiscalizatória entre 2019 e 2022.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anual: situação dos 772 municípios e área total desmatada, em painéis separados sobre o mesmo eixo de anos. A faixa marca 2020-2022, os anos em que a lacuna absoluta supera a medida.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 e suíte de visualização), com 3 parquets como saída.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dado, e mesmo no plano federal só entram autos de tipo desmatamento: 34% dos que o IBAMA lavrou no top 20);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>Nota sobre as figuras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pipeline. EGS e pct_desmatado são ordinais: cor sempre por quintil de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