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 e suíte de visualização), com 3 parquets como saída.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dado, e mesmo no plano federal só entram autos de tipo desmatamento: 34% dos que o IBAMA lavrou no top 20);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 xml:space="preserve">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(2008-2025) por quintil. Escala ordinal (rank), nunca valor bruto; contorno grosso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pPr>
        <w:ind w:firstLine="709"/>
      </w:pPr>
      <w:r>
        <w:t xml:space="preserve">O mapa mostra o lado da resposta federal, combinando as duas coisas que o índice mede: quantos autos foram lavrados e quanto foi multado. Um único auto de valor alto não conta como resposta robusta, por construção. Duas categorias ficam fora da escala e são o que mais interessa ao gestor: em vermelho, os 66 municípios que tiveram pressão material e nunca foram multados em dezoito anos; em cinza, os 220 sem pressão medida. Lido ao lado da figura 1, mostra onde a resposta acompanha a lacuna e onde não acompanha.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Resposta federal por quintil (autos e multas deflacionadas combinados); vermelho = pressão material sem nenhuma multa (66 municípios); cinza = sem pressão medida;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