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1.0.0 (pipeline v5, documentação v7)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 Categorias excluídas: o IBAMA também classifica autos como INFRACAO_AREA = “Desmatamento e Queimada”, 2.051 lavrados e R$ 1,88 bilhão, deixados de fora porque o registro não separa a supressão da queima. A exclusão subestima a resposta federal, nunca o contrário. O custo foi medido: incluindo essa categoria e o código 409906 no caso (2), a base vai de 60.707 para 63.213 autos e o ranking praticamente não se move, com Spearman 0,9999 entre os rankings completos dos 772 municípios, os mesmos 20 no topo e 49 dos 50 primeiros. A maior troca de posição é Maués, de 9º para 16º. A decisão de recorte não sustenta o resultado.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valor,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500"/>
        <w:gridCol w:w="550"/>
        <w:gridCol w:w="1000"/>
        <w:gridCol w:w="1100"/>
        <w:gridCol w:w="1100"/>
      </w:tblGrid>
      <w:tr>
        <w:trPr>
          <w:cantSplit/>
          <w:tblHeader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 As duas últimas colunas somam 18 em todo município e mostram o que a média agrega: São Domingos do Maranhão tem 15 dos 18 anos sem multa alguma, enquanto Prainha tem 15 dos 18 com resposta presente e ainda assim desproporcional. Os dois chegam a posições vizinhas por caminhos opostos.</w:t>
      </w:r>
    </w:p>
    <w:p>
      <w:pPr>
        <w:pStyle w:val="Heading2"/>
      </w:pPr>
      <w:r>
        <w:t xml:space="preserve">5.3 Robustez entre versões e casos-teste</w:t>
      </w:r>
    </w:p>
    <w:p>
      <w:pPr>
        <w:ind w:firstLine="709"/>
      </w:pPr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Mesmo o caso nº 1 tem resposta federal que o índice não vê: em setembro de 2025 a Polícia Federal, com apoio do IBAMA, fechou cinco garimpos ilegais de ouro em Cachoeira do Piriá, inutilizando nove tratores e cerca de 45 motores. Os três autos do município em 2025 são todos de tipo “Qualidade Ambiental”, nenhum de desmatamento: o motor da supressão ali é garimpo, e a fiscalização que ele atrai não é lavrada como infração de desmatamento.</w:t>
      </w:r>
    </w:p>
    <w:p>
      <w:pPr>
        <w:pStyle w:val="Heading2"/>
      </w:pPr>
      <w:r>
        <w:t xml:space="preserve">5.5 Teste dinâmico de responsividade: efeitos fixos e event study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pPr>
        <w:ind w:firstLine="709"/>
      </w:pPr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viz/05_panel_effects.R (fixest 0.12.1); efeitos fixos de município 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 xml:space="preserve"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E há uma quarta situação, mensurável: presença federal em outro instrumento. O índice conta autos de tipo desmatamento; nos vinte do topo, são 1.187 dos 3.513 registrados no período, 34%. Ficam de fora fauna, pesca, controle ambiental, cadastro e unidade de conservação. Esta última é a limitação de (2) vista pelo lado do dado: em Jacareacanga, 152 dos autos não contados são de tipo “Unidade de Conservação”, e a resposta em território gerido pelo ICMBio não é lavrada pelo braço que este índice conta. Nos extremos, Cachoeira do Piriá conta 18% e Acará, 14%.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em Autazes, 18º (projeto de potássio licenciado pelo IPAAM em abr/2024); e em Acará, 7º (cerca de 4.800 ha convertidos entre 2007 e 2018 para dendê, sobre 26.520 ha no painel, com autorização alegada pelas empresas e contestada por pesquisadores);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 xml:space="preserve">8. 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pPr>
        <w:ind w:firstLine="709"/>
      </w:pPr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Desmatamento acumulado absoluto (km²) por quintil; contorno grosso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EGS médio 18 anos por quintil (ordinal); contorno grosso = top 20 EGS.</w:t>
      </w:r>
    </w:p>
    <w:p>
      <w:pPr>
        <w:pStyle w:val="Heading2"/>
      </w:pPr>
      <w:r>
        <w:t xml:space="preserve">8.3 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pPr>
        <w:ind w:firstLine="709"/>
      </w:pPr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pPr>
        <w:ind w:firstLine="709"/>
      </w:pPr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pPr>
        <w:ind w:firstLine="709"/>
      </w:pPr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Concentração de multas entre infratores (Gini). Base: 32.836 autuados distintos com multa maior que zero, entre os 43.576 autos de desmatamento lavrados e não cancelados nos 772 municípios do painel.</w:t>
      </w:r>
    </w:p>
    <w:p>
      <w:pPr>
        <w:pStyle w:val="Heading2"/>
      </w:pPr>
      <w:r>
        <w:t xml:space="preserve">8.8 Taxa de cancelamento de autos, por ano</w:t>
      </w:r>
    </w:p>
    <w:p>
      <w:pPr>
        <w:ind w:firstLine="709"/>
      </w:pPr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Taxa de cancelamento por ano (pico 2017–2019). Base: 48.063 autos de tipo desmatamento nos 772 municípios do painel, em qualquer situação, porque a taxa exige incluir os cancelados.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pPr>
        <w:ind w:firstLine="709"/>
      </w:pPr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pPr>
        <w:ind w:firstLine="709"/>
      </w:pPr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pPr>
        <w:ind w:firstLine="709"/>
      </w:pPr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pPr>
        <w:ind w:firstLine="709"/>
      </w:pPr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pPr>
        <w:ind w:firstLine="709"/>
      </w:pPr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pPr>
        <w:ind w:firstLine="709"/>
      </w:pPr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pPr>
        <w:ind w:firstLine="709"/>
      </w:pPr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15. Distribuição anual do EGS (anos de pressão): deslocamento no tempo.</w:t>
      </w:r>
    </w:p>
    <w:p>
      <w:pPr>
        <w:pStyle w:val="Heading2"/>
      </w:pPr>
      <w:r>
        <w:t xml:space="preserve">8.16 EGS anual dos cinco casos-âncora</w:t>
      </w:r>
    </w:p>
    <w:p>
      <w:pPr>
        <w:ind w:firstLine="709"/>
      </w:pPr>
      <w:r>
        <w:t xml:space="preserve">As séries anuais dos cinco casos discutidos no texto mostram a distinção que a média de dezoito anos agrega e que uma tabela não exibe. Cachoeira do Piriá é alta e contínua; Cumaru do Norte sobe ao longo da série, apesar dos 112 autos e dos R$ 761,9 milhões que recebeu; Nova Nazaré tem dois anos não nulos em dezoito; Governador Luiz Rocha declina devagar. Apuí é a exceção instrutiva: sua série é plana entre 0,5 e 0,8, e o pico de 2009 é o ano de auto único comentado no writing sample. A correção de 2023–2025 que aquele texto descreve não aparece aqui porque ela está do lado da resposta, que este gráfico não plota. Persistência e episódio têm formas diferentes, e é essa diferença que o ranking pondera.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85" cy="35328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nchor_small_multipl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16. EGS anual dos cinco casos-âncora (2008–2025). Escalas iguais entre painéis; o eixo y é o EGS anual, não o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Resex Verde para Sempre. Brasília, DF: ICMBio. Área de 1.289.362,78 ha, criada pelo Decreto s/nº de 8 de novembro de 2004. Disponível em: https://www.gov.br/icmbio/pt-br/assuntos/biodiversidade/unidade-de-conservacao/unidades-de-biomas/amazonia/lista-de-ucs/resex-verde-para-sempre. Acesso em: 3 ago.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BRASIL. Polícia Federal. PF fecha cinco garimpos ilegais de ouro no nordeste do Pará. Brasília, DF: Polícia Federal, set. 2025. Disponível em: https://www.gov.br/pf/pt-br/assuntos/noticias/2025/09/pf-fecha-cinco-garimpos-ilegais-de-ouro-no-nordeste-do-para. Acesso em: 3 ago.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MONGABAY. Desmatamento e água contaminada: o lado obscuro do óleo de palma “sustentável” da Amazônia. mar. 2021. Disponível em: https://brasil.mongabay.com/2021/03/desmatamento-e-agua-contaminada-o-lado-obscuro-do-oleo-de-palma-sustentavel-da-amazonia/. Acesso em: 3 ago.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image" Target="media/image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