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444444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versão 1.0.0 (pipeline v5, documentação v6) · julho de 2026</w:t>
      </w:r>
    </w:p>
    <w:p>
      <w:r>
        <w:br w:type="page"/>
      </w:r>
    </w:p>
    <w:p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seis auditorias adversariais. Todos os números citados foram confirmados por replicação independente a partir dos dados brutos (última replicação: 2026-07-27;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não registrada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 — o PRODES ainda agrega a área pré-desmembramento,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0,796: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 — 0,9868 para 1 km² contra 6,25 ha e 0,9866 para 1 km² contra nenhum limiar. O limiar move apenas a estatística descritiva (os 54,3% sem pressão), não a ordenação: resultado de robustez citável, não suposição.</w:t>
      </w:r>
    </w:p>
    <w:p>
      <w:pPr>
        <w:pStyle w:val="Heading2"/>
      </w:pPr>
      <w:r>
        <w:t xml:space="preserve">3.3 Média 0-fill como ordenação principal</w:t>
      </w:r>
    </w:p>
    <w:p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valor: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2025 −9,3% (5.258 vs. 5.796 estimado). Os quatro desvios são reportados individualmente, sem limiar de aprovação: o painel soma o export municipal do TerraBrasilis e a taxa oficial é apurada por estado sobre as cenas — são objetos distintos, e a comparação é um teste de ordem de grandeza, não de identidade. O desvio de 2025 é o maior e tem dupla explicação conhecida: o arquivo baixado antecede a consolidação do ano, e a própria taxa de 2025 é preliminar (a consolidada sai no primeiro semestre seguinte) — a mesma razão da nota “último ano sujeito a revisão”. Duas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 — o desvio correto é −3,9%, não −0,4%, e o valor 5.731 km² que aparecia como piso do intervalo de 2025 foi removido por não ter fonte localizável.</w:t>
      </w:r>
    </w:p>
    <w:p>
      <w:pPr>
        <w:pStyle w:val="Heading2"/>
      </w:pPr>
      <w:r>
        <w:t xml:space="preserve">4.2 Validação do same-year join</w:t>
      </w:r>
    </w:p>
    <w:p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civil: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resultante, não estrutural. Seis auditorias externas replicaram o pipeline inteiro a partir dos CSVs brutos em ambientes isolados; a sexta (2026-07-27)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motores/threads: total_desmatado_km2 pode divergir em ±0,1 em ~10 municípios, e egs/fine_values no último bit (~1e-16); comparações exigem tolerância.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r>
        <w:t xml:space="preserve">Todos os 20 têm pressão material em 18/18 anos. Empate aparente no top 3/4: Monte Alegre (1,10893) precede Aveiro (1,10870) pela média não-arredondada: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2026-07-27.</w:t>
      </w:r>
    </w:p>
    <w:p>
      <w:pPr>
        <w:pStyle w:val="Heading2"/>
      </w:pPr>
      <w:r>
        <w:t xml:space="preserve">5.4 Verificação externa</w:t>
      </w:r>
    </w:p>
    <w:p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r>
        <w:t xml:space="preserve">(1) Lacuna federal, não lacuna simpliciter: três situações indistinguíveis com este dado: ausência real, substituição estadual, presença sem efeito; o viés é conservador numa direção só (onde há fiscalização estadual não capturada, a lacuna total é menor que a medida, nunca maior) — e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na Flona Saracá-Taquera, licença de operação vigente) e em Autazes, 18º (projeto de potássio licenciado pelo IPAAM em abr/2024); e território sob regime especial em Porto de Moz, 2º (Resex federal Verde para Sempre, gerida pelo ICMBio) e Jacareacanga, 13º (TI Munduruku, &gt;90% do território,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r>
        <w:t xml:space="preserve">O histórico linha a linha de cada correção (seis rodadas de auditoria adversarial) foi mantido como registro de desenvolvimento interno, não incluído neste repositório; o resumo das mudanças que alteraram números publicados está no CHANGELOG.md.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CITATION.cff, CHANGELOG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r>
        <w:br w:type="page"/>
      </w:r>
    </w:p>
    <w:p>
      <w:pPr>
        <w:pStyle w:val="Heading1"/>
      </w:pPr>
      <w:r>
        <w:t xml:space="preserve">8. 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8. Taxa de cancelamento por ano (pico 2017–2019). Base: 48.063 autos de tipo desmatamento nos 772 municípios do painel, em qualquer situação — a taxa exige incluir os cancelados;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 —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LAUT — CENTRO DE ANÁLISE DA LIBERDADE E DO AUTORITARISMO.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