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1.1.0 (pipeline v5, documentação v8)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diverge -8,3% da taxa nacional consolidada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ind w:firstLine="709"/>
      </w:pPr>
      <w:r>
        <w:t xml:space="preserve">O painel usa 772 municípios, não os 805 do arquivo do TerraBrasilis: 33 geocodes do export rotulado "legal_amazon" estão em estados fora da Amazônia Legal, todos com desmatamento zero em todos os 18 anos. O recorte é feito por prefixo de UF, o que herda do TerraBrasilis a definição de quais municípios do Maranhão pertencem à Amazônia Legal, já que o estado entra parcialmente.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 Também fica de fora o código 409999, o mais frequente da base (77.872 autos): é rótulo genérico, e os autos de desmatamento que o carregam já entram pelos casos 1 e 3, via INFRACAO_AREA. Os 14.710 restantes têm tipo e área nulos, sem sinal que permita classificá-los.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ind w:firstLine="709"/>
      </w:pPr>
      <w:r>
        <w:t xml:space="preserve">O denominador combina as duas dimensões da resposta federal por média geométrica, não por soma nem por média aritmética. A escolha decorre de uma propriedade: a média geométrica se anula quando qualquer um dos fatores é zero, enquanto a soma permite que um fator alto compense a ausência do outro. Autuação sem valor e valor sem autuação são tratados como resposta ausente, não como resposta parcial. A média geométrica também penaliza o desequilíbrio: para uma mesma soma dos fatores, ela é máxima quando os dois se igualam, de modo que muitos autos de valor irrisório, ou um auto isolado de valor alto, produzem denominador menor que uma combinação equilibrada, e portanto EGS maior. O caso extremo dessa propriedade tem nome e reaparece na seção 4.4.2: Piçarra (PA), um único auto em dezoito anos, de R$ 123 milhões, que pelo valor seria resposta máxima e no denominador cai para o primeiro quintil.</w:t>
      </w:r>
    </w:p>
    <w:p>
      <w:pPr>
        <w:ind w:firstLine="709"/>
      </w:pPr>
      <w:r>
        <w:t xml:space="preserve">Os pesos são iguais, o que corresponde à raiz quadrada do produto. Uma generalização ponderada é possível, na forma autos^w × multas^(1-w), e a literatura de dissuasão oferece argumento para w &gt; 0,5: a revisão de Nagin (2013) conclui que a certeza da punição tem efeito dissuasório mais consistente que sua severidade. A adaptação não foi adotada por duas razões. O número de autos registra resposta institucional, não probabilidade de apreensão, de modo que a correspondência com a certeza da literatura é analógica. E qualquer valor específico de w exigiria calibração que este trabalho não realiza. Fica registrada como extensão possível, sem teste de sensibilidade nesta versão.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 Propriedade que dele decorre: como o denominador nunca é inferior a 1, o EGS de qualquer ano é no máximo log10(1 + área). Esse teto é o valor da lacuna absoluta, de modo que nenhuma resposta ínfima pode pontuar acima de resposta nenhuma.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 Complemento descritivo. Sob o limiar de 6,25 ha, 135 municípios, e não 220, não registram nenhum ano de pressão. Destes, 105 têm desmatamento acumulado igual a zero no PRODES e, ainda assim, R$ 473 milhões em 1.746 autos de desmatamento do IBAMA, concentrados em Tocantins (67), Maranhão (25) e Mato Grosso (13). A divergência não decorre de erro de atribuição municipal (92,9% dos autos com coordenada caem no próprio município, contra 93,5% no painel; cf. seção 6, item 8) nem de fatos anteriores ao período (nenhum dos 378 autos com data de fato é anterior a 2008). Esses autos são, em média, menores (29,9% abaixo de 6,25 ha, contra 11,3% no restante) e o campo CLASSIFICACAO_AREA do IBAMA os associa predominantemente a propriedade particular (35,5%, contra 4,0%) e reserva legal (10,1%, contra 4,4%), e raramente a floresta nativa (4,8%, contra 22,8%). Registra-se a divergência sem hipótese sobre sua causa.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2025, cujo total no painel diverge -8,3% da taxa nacional consolidada, o maior dos quatro desvios de âncora (§4.1), e que segue sujeito a revisão em atualizações posteriores do PRODES.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tanto no DuckDB quanto no R (log10() explícito nas duas pontas, não o log() natural do R), sincronizado deliberadamente: o piso (GREATEST/pmax) compara o denominador com uma constante fixa que não escala com a base logarítmica, então bases diferentes fariam o piso disparar em casos distintos em cada implementação.</w:t>
      </w:r>
    </w:p>
    <w:p>
      <w:pPr>
        <w:ind w:firstLine="709"/>
      </w:pPr>
      <w:r>
        <w:t>Os eixos são os dois termos da fórmula, e não grandezas escolhidas por conveniência: no eixo horizontal o numerador, log10(1 + km² desmatados); no vertical o denominador, a média geométrica dos logaritmos de autos e de multas deflacionadas, com o mesmo piso de 1 que o pipeline aplica. Como o EGS é a razão entre os dois, as linhas de EGS constante são retas que passam pela origem, com inclinação 1/EGS, e as três tracejadas marcam EGS 0,25, 0,5 e 1. A figura é um nomograma do índice, não uma dispersão com uma referência escolhida à mão: a versão anterior cruzava desmatamento com o valor das multas contra uma diagonal fixa de R$ 100 mil por km², que a sexta auditoria já havia registrado como não sendo o lugar geométrico de EGS = 1. Três leituras dependem disso. O piso do denominador é uma linha visível, e os 106 municípios que repousam sobre ela, entre os 639 desenhados, são aqueles cuja resposta federal a fórmula trata como ausente; Governador Luiz Rocha, o caso-âncora de lacuna absoluta, está entre eles. Os 133 municípios sem desmatamento algum no período não aparecem, porque uma razão entre pressão e resposta não tem o que dizer onde não houve pressão. E o gráfico aplica a fórmula aos totais de dezoito anos, enquanto o índice publicado é a média das razões anuais com 0-fill: entre os 639 desenhados as duas ordenações concordam a um Spearman de 0,503, o que é fraco. A figura desenha a fórmula, não reproduz o ranking, e a diferença mede quanto a escolha de agregação pesa neste índice. A cor indica o tipo de lacuna dominante ao longo dos dezoito anos, com empates, 23 dos 772, resolvidos a favor da categoria mais grave, e os nomes destacam os seis casos-âncora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7_loglog_scatte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A fórmula do EGS desenhada: numerador (km² desmatados) contra denominador (média geométrica de log(1+autos) e log(1+multas)), com as retas de EGS constante. Abaixo de uma reta = EGS acima daquele valor. A horizontal em 1 é o piso do denominador, anotada na figura com os 106 municípios que repousam sobre ela. Os seis nomes destacados são os mesmos das figuras 8 e 9.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ind w:firstLine="709"/>
      </w:pPr>
      <w:r>
        <w:t xml:space="preserve">A evidência que de fato discrimina entre as duas janelas é estreita: 59,2% dos autos casam com pressão material nos dois anos e 35,1% em nenhum, de modo que apenas 5,7% (4,7 contra 1,0) separam uma hipótese da outra. A distribuição mensal dos autos, com pico em setembro e outubro, não decide: a estação seca facilita tanto a supressão quanto a operação de campo do IBAMA, e as duas leituras preveem o mesmo padrão. O custo da escolha foi medido: atribuindo o auto do ano seguinte ao desmatamento do ano anterior, 724 dos 3.063 município-anos de lacuna absoluta (23,6%) deixariam essa categoria. O teste documenta a sensibilidade da janela adotada, não a justifica. As quatro proporções são invariantes ao filtro de escopo: os 33 municípios descartados têm área zero em todos os anos e nunca casaram em nenhuma das duas janelas.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2"/>
      </w:pPr>
      <w:r>
        <w:t xml:space="preserve">4.4 O que o índice acrescenta ao numerador</w:t>
      </w:r>
    </w:p>
    <w:p>
      <w:r>
        <w:t xml:space="preserve">Validação de construto, não resultado substantivo: as três verificações abaixo testam se o EGS mede algo que seus componentes não medem. As três são descritivas e usam apenas o painel publicado.</w:t>
      </w:r>
    </w:p>
    <w:p>
      <w:pPr>
        <w:pStyle w:val="Heading3"/>
      </w:pPr>
      <w:r>
        <w:t xml:space="preserve">4.4.1 Divergência do numerador</w:t>
      </w:r>
    </w:p>
    <w:p>
      <w:r>
        <w:t xml:space="preserve">O desmatamento acumulado correlaciona 0,967 com o EGS médio de 18 anos (Spearman, sobre os 772; sobre os 552 com pressão é 0,940, e o Pearson dos valores brutos é 0,417, porque a relação é monótona e não linear), e a leitura corrente dessa correlação é de redundância. Ela descreve o miolo, não as caudas. Entre os 552 municípios com pressão, o deslocamento mediano entre a posição no desmatamento e a posição no EGS é de 24 posições, o percentil 90 é 97, e 51 municípios (9%) se deslocam mais de 100 posições. Nos extremos: Novo Progresso (PA) é o 7º em desmatamento e o 205º em lacuna, com 1.148 autos e R$ 2,22 bilhões em multas; Lábrea (AM) é o 4º e o 201º, com 1.576 autos e R$ 2,28 bilhões; Porto Velho (RO) é o 3º e o 199º, com 2.938 autos e R$ 1,37 bilhão. Na direção oposta, Governador Luiz Rocha (MA) é o 200º em desmatamento e o 54º em lacuna, com zero autos e zero reais em dezoito anos, e Fortuna (MA) é o 197º e o 59º, com um auto. Um mapa de desmatamento aponta para o Pará; o índice aponta para o Maranhão.</w:t>
      </w:r>
    </w:p>
    <w:p>
      <w:pPr>
        <w:ind w:firstLine="709"/>
      </w:pPr>
      <w:r>
        <w:t>Desmatamento acumulado em km² absolutos por município, em quintis: o numerador bruto da fórmula do EGS. Correlaciona 0,967 com o índice, e essa correlação descreve o miolo, não as caudas: entre este mapa e a figura 5 o município mediano se desloca 24 posições e 51 se deslocam mais de cem (cf. 4.4.1). Duas advertências de leitura. A variável é extensiva, então o mapa desenha tamanho de município tanto quanto desmatamento, e é a figura 3 que corrige isso. E o quintil iguala a contagem de municípios, não a área: os quintis 4 e 5 reúnem 40% dos municípios e 74% do território desenhado, o que faz o mapa parecer mais escuro do que a classificação promete.</w:t>
      </w:r>
    </w:p>
    <w:p>
      <w:r>
        <w:t>O mesmo numerador da figura 2, normalizado pela área do município. É a resposta ao problema da unidade areal modificável: o desmatamento absoluto correlaciona 0,58 com a área territorial do próprio município, e o percentual, 0,16. A comparação entre as duas figuras é o argumento: o quintil mediano do Amazonas cai de 3,0 para 1,0 e o do Maranhão sobe de 2,0 para 4,0, porque a primeira infla municípios grandes e afunda municípios pequenos.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1_deforestation_ab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Desmatamento acumulado absoluto (km²) por quintil, entre os 552 municípios com pressão; cinza = sem pressão; contorno grosso = top 20 EGS.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2_deforestation_pc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Percentual do território municipal desmatado (2008-2025), por quintil; cinza = sem pressão; contorno grosso = top 20 EGS.</w:t>
      </w:r>
    </w:p>
    <w:p>
      <w:pPr>
        <w:pStyle w:val="Heading3"/>
      </w:pPr>
      <w:r>
        <w:t xml:space="preserve">4.4.2 O índice não é um proxy invertido de volume de fiscalização</w:t>
      </w:r>
    </w:p>
    <w:p>
      <w:r>
        <w:t>A objeção mais forte ao EGS é que ele apenas inverta a presença federal. A predição falseável é direta: se fosse esse o caso, os municípios que mais recebem fiscalização não poderiam estar piorando. Entre os 107 municípios cuja média recente de EGS supera a histórica em 0,05 ou mais, a maior mancha contígua reúne 35 no norte do Mato Grosso, com mediana de 79 autos e R$ 157,7 milhões em multas. O grupo de comparação sai da mesma regra, invertida e vizinha: os 33 municípios que melhoram em 0,05 ou mais e tocam essa mancha, distribuídos por MT (21), RO (6), PA (3), AM (2) e TO (1), com mediana de 46 autos e R$ 38,1 milhões. Os que pioram recebem quase o dobro dos autos e mais de quatro vezes as multas dos vizinhos imediatos que melhoram, e pioram assim mesmo. O índice está medindo proporção entre pressão e resposta, não volume de resposta.</w:t>
      </w:r>
    </w:p>
    <w:p>
      <w:r>
        <w:t xml:space="preserve">O denominador do índice tal como a fórmula o define: a média geométrica dos dois componentes da resposta, raiz de log(1+autos) vezes log(1+multas), calculada no grão municipal sobre os totais de dezoito anos. Mapear apenas o valor das multas contradiria o índice justamente nos casos que a seção 3 usa para justificar a média geométrica: Piçarra (PA) tem um único auto de R$ 123 milhões, que por valor seria resposta máxima e no denominador cai para o primeiro quintil, porque a média colapsa quando um dos fatores é pequeno. Quintil de rank pelo mesmo motivo das demais figuras. Duas categorias ficam fora da rampa: os 220 sem pressão medida, no mesmo cinza das outras figuras, e os 66 que tiveram pressão material e nunca foram multados, que são a lacuna absoluta no grão municipal. O piso GREATEST(1, .) da fórmula não é aplicado aqui: é um dispositivo anual, e sobre totais de dezoito anos ele seria inerte pelo mesmo motivo que a seção 3.1 mede no grão anual.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3_fines_map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Resposta federal (média geométrica dos logaritmos de autos e de multas deflacionadas), por quintil, entre os 486 municípios com pressão e com multa; vermelho = pressão sem multa (66); cinza = sem pressão (220).</w:t>
      </w:r>
    </w:p>
    <w:p>
      <w:pPr>
        <w:pStyle w:val="Heading3"/>
      </w:pPr>
      <w:r>
        <w:t xml:space="preserve">4.4.3 Os casos que nenhum componente encontra sozinho</w:t>
      </w:r>
    </w:p>
    <w:p>
      <w:r>
        <w:t xml:space="preserve">Os 107 municípios em piora formam 29 manchas contíguas, das quais duas concentram 59 deles e são regimes opostos. A primeira, 35 municípios no norte do Mato Grosso (34 em MT, 1 em RO), está no quintil 5 de desmatamento e no 4 de percentual desmatado, com mediana de 79 autos, nenhum município sem multa e R$ 7,14 bilhões acumulados. A segunda, 24 municípios no Solimões e no centro do Amazonas (23 em AM, 1 em RR), está no quintil 2,5 de desmatamento e no quintil 1 de percentual desmatado, com mediana de dois autos, um quarto nunca multado e R$ 116 milhões no total. A segunda mancha ocupa 583 mil km², mais território que a primeira, com um onze avos do desmatamento e um sessenta e dois avos das multas; a razão entre as multas medianas das duas é de 1 para 1.677. Nenhum mapa de pressão apontaria a segunda, porque em termos de desmatamento ela é irrelevante, e nenhum mapa de resposta a apontaria, porque fiscalização baixa em área sem pressão é o comportamento esperado. Apenas a razão entre os dois a encontra.</w:t>
      </w:r>
    </w:p>
    <w:p>
      <w:r>
        <w:t>Ressalva metodológica sobre 4.4.2 e 4.4.3: a medida de tendência é avg_egs_3y menos avg_egs_18y, e os três anos recentes integram a média de dezoito, o que introduz regressão à média. Entre os 552 com pressão em algum ano, o Spearman entre o nível histórico e a variação é -0,173, isto é, existe e é fraco, e a operacionalização concorrente, o coeficiente angular de 18 anos (slope_egs), concorda em sinal com esta em 71% (a comparação exclui o único município cuja variação é exatamente zero, onde não há sinal a comparar). Duas advertências sobre esses dois números. Eles descrevem os 552, e as figuras 7 e 8 classificam em faixas apenas os 391 com pressão material em 2023-2025: restrito a esses, o Spearman vai a -0,276 e a concordância com slope_egs cai a 63%. E o lado da melhora é o frágil: dos 401 municípios cuja média recente é menor que a histórica, 161, ou 40%, têm média recente exatamente zero, ou seja pressão que cessou e não lacuna que fechou. O lado da piora não sofre disso: nenhum dos 107 de 4.4.2 tem pressão recente zerada.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 A categoria absolute_gap agrega dois casos tratados de forma idêntica pela fórmula: ausência total de autuação e autuação lavrada com multa nula ou próxima de zero.</w:t>
      </w:r>
    </w:p>
    <w:p>
      <w:pPr>
        <w:ind w:firstLine="709"/>
      </w:pPr>
      <w:r>
        <w:t xml:space="preserve">O limiar de R$ 0,01 que separa absolute_gap de measured_gap não é um parâmetro calibrado: é o menor valor monetário representável, escolhido para que a categoria signifique ausência de resposta com valor, e não resposta de valor baixo. A fronteira é o zero, e o centavo apenas o operacionaliza em aritmética de ponto flutuante. Isso explica o segundo caso da categoria: autos com valor de multa ausente na fonte (356 dos 60.707, ou 0,6%) contam em n_autos mas somam zero em multas, e o município-ano cai em absolute_gap mesmo tendo autuação registrada. A classificação usa o valor deflacionado, não o nominal, o que afasta do limiar os valores mais antigos.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4_egs_mean18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EGS médio de 18 anos por quintil (ordinal), entre os 552 com pressão; cinza = sem pressão; contorno grosso = top 20 EGS.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anos; revela o choque de capacidade fiscalizatória entre 2019 e 2022, com a inversão entre lacuna absoluta e lacuna medida em 2020, 2021 e 2022.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6_annual_seri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Série anual: situação dos 772 municípios e área desmatada, em painéis separados sobre o mesmo eixo de anos. A faixa marca 2020-2022, os anos em que a lacuna absoluta supera a medida.</w:t>
      </w:r>
    </w:p>
    <w:p>
      <w:pPr>
        <w:pStyle w:val="Heading2"/>
      </w:pPr>
      <w:r>
        <w:t xml:space="preserve">5.2 Top 20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550"/>
        <w:gridCol w:w="1000"/>
        <w:gridCol w:w="1100"/>
        <w:gridCol w:w="11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r>
        <w:t>A figura 5 mostra o nível; esta mostra a direção, medida como avg_egs_3y menos avg_egs_18y, a mesma quantidade que a figura 8 põe de um lado e de outro da diagonal de identidade. EGS subindo é a lacuna alargando. Duas ressalvas de leitura. Os vinte destacados pelo contorno foram selecionados pela média histórica, e a cor mede a variação contra essa mesma média, o que os puxa mecanicamente para o verde (Spearman -0,173 entre nível e variação). E verde não é veredito: o EGS cai quando a resposta sobe ou quando o desmatamento para, e o índice não distingue os dois casos. O caso extremo saiu da escala de cor: os 381 municípios sem pressão material em 2023–2025 estão agora em cinza, e 161 deles, que tiveram lacuna e deixaram de ter pressão, apareciam como melhora nas versões anteriores desta figura (76 em melhorando, 66 em estável, 19 em melhorando muito). Onde a pressão caiu sem zerar, a ambiguidade permanece, e esta figura deve ser lida contra a figura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05_egs_tren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Variação do EGS recente (2023-2025) contra a média histórica; faixa estável para variações abaixo de 0,05; cinza = sem pressão em 2023-2025 (381 municípios, dos quais 161 tiveram pressão antes e deixaram de ter); contorno grosso = top 20 EGS. Duas ressalvas pertencem à própria figura. A operacionalização concorrente da direção, a inclinação OLS da série anual, concorda em sinal com esta em 244 dos 391 classificados: um em cada três municípios coloridos mudaria de lado sob uma escolha igualmente defensável. E o cinza aqui não é o cinza das figuras 2 a 5: lá são os 220 sem pressão alguma em dezoito anos, aqui os 381 sem pressão nos três anos recentes.</w:t>
      </w:r>
    </w:p>
    <w:p>
      <w:pPr>
        <w:ind w:firstLine="709"/>
      </w:pPr>
      <w:r>
        <w:t>Este gráfico de quadrante cruza o EGS médio histórico (18 anos) com o EGS médio recente (2023–2025) para identificar quem está piorando ou melhorando agora, e não apenas ao longo de toda a série. As faixas de cor são as mesmas da Figura 7, que mapeia esta mesma grandeza: a distância até a diagonal de identidade é exatamente a diferença que aquele mapa classifica. O cinza reúne os 381 municípios sem pressão material em 2023–2025, para os quais não há direção a medir: 220 nunca tiveram pressão em dezoito anos e 161 tiveram e deixaram de ter. Esses 161 antes apareciam como melhora, porque o 0-fill zera a média recente e a diferença fica negativa.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08_quadran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Histórico × recente, nas faixas da Figura 7. Acima da diagonal = piorando; cinza = sem pressão em 2023-2025 (381, dos quais 161 tiveram pressão antes). Os dois eixos se sobrepõem por construção: a média histórica de dezoito anos contém os três anos recentes, o que introduz regressão à média e é quantificado na ressalva metodológica ao fim da seção 4.4. Os nomes destacados são os mesmos seis casos-âncora das figuras 1 e 9, de modo que o leitor segue os mesmos municípios nas três. Aveiro (PA), o ponto mais alto do painel, com média recente de 1,508 contra 1,109 histórica, é o caso corrente mais alarmante do top 20 e é discutido no texto.</w:t>
      </w:r>
    </w:p>
    <w:p>
      <w:pPr>
        <w:pStyle w:val="Heading2"/>
      </w:pPr>
      <w:r>
        <w:t xml:space="preserve">5.3 Casos-teste</w:t>
      </w:r>
    </w:p>
    <w:p>
      <w:pPr>
        <w:ind w:firstLine="709"/>
      </w:pPr>
      <w:r>
        <w:t xml:space="preserve">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 A comparação com os rankings descartados das versões 2 e 3, que mostra quais achados sobrevivem a uma troca completa de método e o que cada queda revela sobre o que o desenho novo passou a pesar, está desenvolvida no writing sample, seção 6.1.</w:t>
      </w:r>
    </w:p>
    <w:p>
      <w:pPr>
        <w:ind w:firstLine="709"/>
      </w:pPr>
      <w:r>
        <w:t xml:space="preserve">As séries anuais dos seis casos-âncora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Santo Afonso (MT) é o caso que a regra antiga do cinza teria lido ao contrário: catorze anos consecutivos acima do limiar de materialidade, zero autos e zero reais nos dezoito, e então o desmatamento cessa e a série vai a zero. Pela definição anterior, em que o cinza era ausência de pressão em toda a série, ele não seria cinza, e sua diferença de −0,491 o poria na faixa de melhora mais forte do painel. Nada melhorou: o desmatamento acabou e a resposta nunca veio.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64992"/>
            <wp:docPr id="1" name="18_anchor_small_multipl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EGS anual dos seis casos-âncora (2008-2025). A linha tracejada é a média de dezoito anos, o critério de ordenação do ranking: a distância entre ela e os pontos recentes é o que as figuras 7 e 8 classificam. O ponto vazado marca EGS igual a zero, que é zero estrutural, ano abaixo do limiar de 1 km², e não resposta federal medida como nula: Nova Nazaré tem dezesseis deles e Santo Afonso, quatro no fim da série. Escalas iguais entre painéis; o eixo y é o EGS anual, não o rank. Os seis municípios são os mesmos das figuras 1 e 8.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Responsividade ao longo do tempo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aumento do desmatamento deveria, por essa lógica, elevar a fiscalização no período seguinte. Testado em painel com efeitos fixos de município e de ano, erros-padrão clusterizados por município: o mesmo desenho planejado para a tese, reproduzido em R/fixest (viz/04_panel_effects.R, itens 10 e 11).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anual (Δlog-área de t−1 para t) como preditor da resposta em t+1, controlando o nível contemporâneo, o sinal é o oposto do esperado: um aumento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aumento (d_pos) e redução (d_neg), o efeito é específico do aumento (autos: −0,114, EP 0,032, p &lt; 0,001; queda: −0,005, n.s.): descartando reversão à média genérica como explicação mecânica. Essa assimetria vale para a contagem de autos e não para o valor: com a multa como desfecho, os dois lados se movem, aumento −0,501 (EP 0,211) e redução −0,274 (EP 0,159), este com intervalo que cruza zero por pouco (−0,586 a +0,038). Como d_neg é uma variável negativa, o coeficiente negativo significa que reduzir o desmatamento é seguido de mais dinheiro em multas, e não de menos, de modo que no valor o padrão é monótono nos dois sentidos, e não a assimetria que uma leitura de capacidade esgotada exigiria.</w:t>
      </w:r>
    </w:p>
    <w:p>
      <w:pPr>
        <w:ind w:firstLine="709"/>
      </w:pPr>
      <w:r>
        <w:t xml:space="preserve">Event study: a especificação de um lag isolado é a mais favorável ao efeito. Estimando simultaneamente leads e lags do aumento (tempo-evento -2 a +2, com coeficientes pré-evento em -2 e -1, que funcionam como placebo,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(pré-evento)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(pré-evento)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(aumento)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viz/04_panel_effects.R (fixest 0.12.1); efeitos fixos de município e de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(coeficientes pré-evento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resposta menor após aumento: o aumento do desmatamento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event study é precisamente o instrumento que a tese planeja construir com grão mensal e comparação Brasil-Indonésia.</w:t>
      </w:r>
    </w:p>
    <w:p>
      <w:pPr>
        <w:ind w:firstLine="709"/>
      </w:pPr>
      <w:r>
        <w:t xml:space="preserve">O gráfico de coeficientes resume as especificações do modelo com efeitos fixos de município e de ano: cada ponto é uma estimativa com intervalo de confiança de 95%. Dentro do mesmo município, mais desmatamento no ano corrente está associado a mais autuações; já um aumento do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14_coefficient_plo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Cinco coeficientes de três especificações, todas com efeitos fixos de município e de ano e erros-padrão clusterizados por município. Ponto = estimativa; barra = intervalo de confiança de 95%; barra que cruza a linha tracejada do zero é compatível com ausência de associação. As duas primeiras linhas medem o nível de desmatamento; a terceira mede a variação anual em relação ao ano anterior; as duas últimas decompõem essa variação em aumento e redução. As três linhas de variação controlam o nível contemporâneo, e as de aumento e redução controlam também o nível em t+1. As multas são deflacionadas para a base de 2025.</w:t>
      </w:r>
    </w:p>
    <w:p>
      <w:pPr>
        <w:ind w:firstLine="709"/>
      </w:pPr>
      <w:r>
        <w:t xml:space="preserve">O event study examina essa anomalia de forma distribuída no tempo, mostrando a associação entre o aumento anual do desmatamento e os autos e multas numa janela de −2 a +2 anos, com dois coeficientes pré-evento, que funcionam como placebo;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15_event_stud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Event study da resposta menor após aumento: direcional (autos), frágil (ICs cruzam zero). O eixo horizontal é o tempo relativo ao aumento; os tempos -2 e -1 são coeficientes pré-evento e funcionam como placebo, porque a resposta de hoje não pode reagir a um aumento que ainda não ocorreu. Multas deflacionadas para a base de 2025.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3.513 registrados no período, 34%. Ficam de fora fauna, pesca, controle ambiental, cadastro e unidade de conservação. Esta última é a limitação de (2) vista pelo lado do dado: em Jacareacanga, 152 dos autos não contados são de tipo “Unidade de Conservação”, e a resposta em território gerido pelo ICMBio não é lavrada pelo braço que este índice conta. Nos extremos, Cachoeira do Piriá conta 18%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O último ano do painel, 2025, já é taxa consolidada (INPE, 10/03/2026, anterior ao snapshot de 25/04/2026), e segue passível de revisão em reprocessamentos futuros do PRODES, como qualquer ano da série; o desvio de -8,3% contra a taxa oficial é diferença de objeto, não consolidação pendente, ver §4.1. (8) Atribuição municipal do auto: verificada, não presumida. O pipeline lê COD_MUNICIPIO como o município do fato. O CSV bruto traz também NUM_LATITUDE_AUTO e NUM_LONGITUDE_AUTO, que nenhuma camada deste projeto usa; um teste de ponto em polígono contra a malha municipal do IBGE, sobre os 39.486 autos do painel com coordenada plausível, situa 93,5% deles dentro do polígono do município declarado. A taxa é a mesma nas capitais (Belém 92,7%, Manaus 94,5%) e nas fronteiras de desmatamento (Altamira 94,0%, Itaituba 93,7%), o que afasta a hipótese de que a coluna registre o local de lavratura do auto e não o do fato. Dos 6,2% discordantes, 37% estão a menos de 5 km da fronteira do município declarado, compatível com precisão de GPS e vintage de malha; cerca de 460 autos, ou 1% do total, estão a mais de 100 km e são erro de registro. Outros 4.606 autos (7,9% dos 58.242 que trazem coordenada) têm coordenada impossível, com latitude chegando a 86 graus: irrelevante aqui, porque nenhuma coluna geográfica do auto é lida, e incontornável em qualquer extensão para o grão de coordenada. Esta verificação não integra o código publicado porque exige a pasta data/data_ibama/ completa, não versionada por conter nome e CPF/CNPJ do autuado.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Revisão de visualização e camada (17-18/08/2026)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Suíte de 14 para 11 figuras, integradas ao corpo dos documentos; egs_trend, numerador_18y e denominador_18y passam a colunas de egs_ranking; grupo de comparação de 4.4.2 recomputado (35 → 33 municípios, mediana 42 → 46 autos); três agregados do denominador removidos por não terem código que os produzisse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classificação de direção duplicada em duas figuras com faixas discordantes; números de 4.4.2 anteriores à classificação sobre valor de 3 decimais e à contiguidade rainha; Spearman 0,993 vivia como guarda de viz/01_maps.R, cálculo analítico na camada de desenho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Auditoria visual (19/08/2026)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Siglas dos nove estados nos cinco mapas; zeros estruturais vazados na figura 9; piso do denominador anotado na figura 1; o denominador nomeado como o que é (média geométrica dos logaritmos) no eixo da figura 1 e na legenda da figura 4; categorias fora da ordem da rampa nas legendas; OUTCOME_COLOURS invertido e o geom_line do event study removido; tabela do top 20 no resumo executivo; a concordância das duas operacionalizações de direção (244 dos 391) declarada na legenda da figura 7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>auditoria visual independente sobre as onze figuras; a linha do event study desenhava um V que os intervalos não sustentam; a série de autos, com os intervalos estreitos e o achado do texto, estava no azul mais claro da rampa, saliência inversa à precisão; o cinza da figura 7 e o das figuras 2 a 5 são conjuntos diferentes com a mesma tinta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Uma exceção de arquitetura fica declarada, e não é pendência: o cálculo dos modelos de painel da seção 5.5 vive no mesmo script que desenha as figuras 10 e 11, e não numa camada a montante como todas as demais decisões metodológicas do projeto. O motivo é técnico e não de conveniência: DuckDB não tem estimador de efeitos fixos, e reescrever à mão em SQL a transformação interna, a matriz sanduíche agrupada e os graus de liberdade seria mais lento, ilegível e não auditável, além de romper a correspondência que a própria seção 5.5 afirma, de que este é o desenho previsto para a tese. O que substitui a pureza de camada nesse ponto é o contrato de números publicados: os vinte coeficientes que os relatórios citam estão fixados como constantes ao lado do modelo que os produz e asseridos na execução, de modo que nenhum deles pode divergir da prosa sem que o script falhe primeiro.
Pendências conhecidas, nenhuma bloqueante: recomputar o overlap do top 20 contra a Portaria 1.717/2026 (lista já pública, 89 municípios); checksums SHA-256 dos brutos e fixture da lista MMA (ambos opcionais);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>8. Princípios de codificação das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foi produzido em R (fixest). EGS e pct_desmatado são ordinais: cor sempre por quintil de rank.</w:t>
      </w:r>
    </w:p>
    <w:p>
      <w:r>
        <w:t xml:space="preserve">As onze figuras seguem seis regras, e vale declará-las porque cada uma custa alguma coisa.</w:t>
      </w:r>
    </w:p>
    <w:p>
      <w:r>
        <w:t xml:space="preserve">(1) Cor é sempre quintil de rank, nunca valor bruto. EGS e percentual desmatado são ordinais, e as variáveis têm cauda longa: as multas vão de R$ 1.050 a R$ 3,75 bilhões, 926 vezes a mediana, e uma escala contínua colapsaria em meia dúzia de municípios escuros. O custo é apagar a magnitude dentro da classe, e o ganho é uma classificação estável entre execuções e comparável entre mapas, o que quebras naturais não seriam.</w:t>
      </w:r>
    </w:p>
    <w:p>
      <w:r>
        <w:t xml:space="preserve">(2) Os quintis dos mapas de nível correm sobre a mesma população, os 552 municípios com pressão material, de modo que um quintil significa a mesma coisa em figuras vizinhas. A figura 4 é a exceção, e é declarada na própria legenda: os 66 municípios que tiveram pressão e nunca foram multados saem da rampa como categoria própria, porque são a lacuna absoluta e não um nível baixo de resposta, e o quintil corre sobre os 486 restantes. A figura 7 não quintila: classifica em faixas de direção. Antes, com cada mapa quintilando o próprio universo, apenas 30% dos municípios caíam no mesmo quintil em figuras que se lêem em par, e esse número media a partição, não o dado.</w:t>
      </w:r>
    </w:p>
    <w:p>
      <w:r>
        <w:t>(3) Zeros estruturais são categoria, não classe baixa. Os 220 municípios sem nenhum ano acima do limiar de materialidade ficam fora da rampa, em cinza, e desde esta versão também fora da ordem da rampa na legenda. Distribuídos por quintil, valores idênticos apareceriam em duas cores diferentes por ordem de linha. O zero estrutural aparece em cinco recortes diferentes ao longo do relatório, e a diferença entre eles não é inconsistência: cada figura pergunta outra coisa. Nos mapas de nível o cinza são os 220 sem pressão material em dezoito anos, porque um nível de lacuna crônica exige pressão em algum momento. Na figura de direção o cinza são os 381 sem pressão em 2023-2025, porque uma direção exige pressão nos dois extremos da janela, e 161 dos 381 tiveram pressão antes e deixaram de ter. A figura 1 deixa de fora os 133 sem desmatamento algum em dezoito anos, porque uma razão entre pressão e resposta não é definida onde não houve pressão. E os 106 que aparecem no piso do denominador, entre os 639 desenhados na figura 1, não estão excluídos de nada: são municípios cuja resposta acumulada é tão baixa que a fórmula a trata como resposta mínima, e o piso os alinha numa reta horizontal que é um fato do índice, não do gráfico. A figura 9 mostra o quinto recorte no grão que os outros agregam: dentro de cada série anual o ponto vazado é o ano em que o município ficou abaixo do limiar, de modo que ali o zero estrutural aparece como evento, não como categoria.</w:t>
      </w:r>
    </w:p>
    <w:p>
      <w:r>
        <w:t xml:space="preserve">(4) Uma rampa de cor por quantidade: marrom para o desmatamento, azul para a resposta federal, ameixa para o EGS, e uma divergente vermelho-verde para a direção. Como a luminosidade já está ocupada codificando o quintil, o matiz é o único canal disponível para dizer ao leitor que duas figuras medem coisas diferentes.</w:t>
      </w:r>
    </w:p>
    <w:p>
      <w:r>
        <w:t>(5) Toda transformação é declarada. O logaritmo aparece nos eixos da figura 1 e no cálculo do denominador da figura 4; nos mapas de uma variável só ele seria inócuo, porque rank é invariante a transformação monótona.</w:t>
      </w:r>
    </w:p>
    <w:p>
      <w:r>
        <w:t xml:space="preserve">(6) Nenhuma figura traz título ou subtítulo embutido: o título vive como seção numerada neste texto, o que evita duplicar a mesma frase em dois lugares e qualquer descompasso de fonte entre o gráfico e o documento.</w:t>
      </w:r>
    </w:p>
    <w:p>
      <w:r>
        <w:t xml:space="preserve">Uma tensão fica declarada e não resolvida. A literatura experimental de percepção gráfica (Cleveland e McGill, 1984; replicada por Heer e Bostock, 2010) ordena os canais visuais por acurácia e põe cor de preenchimento perto do fim, atrás de posição e comprimento. Cinco das onze figuras deste relatório são coropléticos, isto é, codificam quantidade exatamente nesse canal. A justificativa é que a pergunta que elas respondem é espacial e nenhum gráfico de posição a responde; o preço é acurácia de leitura, e por isso nenhuma afirmação do texto depende de o leitor distinguir quintis vizinhos no mapa.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NAGIN, Daniel S. Deterrence in the twenty-first century: a review of the evidence. Crime and Justice, Chicago, v. 42, n. 1, p. 199-263, 2013. DOI: 10.1086/670398.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Relationship Id="rId90" Type="http://schemas.openxmlformats.org/officeDocument/2006/relationships/image" Target="media/image17.png"/><Relationship Id="rId91" Type="http://schemas.openxmlformats.org/officeDocument/2006/relationships/image" Target="media/image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