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 xml:space="preserve">10. Visualizações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pPr>
        <w:ind w:firstLine="709"/>
      </w:pPr>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000000"/>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pPr>
        <w:ind w:firstLine="709"/>
      </w:pPr>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000000"/>
          <w:sz w:val="18"/>
        </w:rPr>
        <w:t>Figura 2. Histórico (média 18a) × recente (2023–25). Acima da diagonal de identidade = piorando; tamanho do ponto = anos de pressão.</w:t>
      </w:r>
    </w:p>
    <w:p>
      <w:pPr>
        <w:pStyle w:val="Heading2"/>
      </w:pPr>
      <w:r>
        <w:t xml:space="preserve">10.3 Estimativas do painel com efeitos fixos bidirecionais</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Estimativas de painel (efeitos fixos município+ano, SE clusterizado). Efeito de nível positivo; picos abruptos associados a MENOS fiscalização no ano seguinte (indício frágil, ver event study).</w:t>
      </w:r>
    </w:p>
    <w:p>
      <w:pPr>
        <w:pStyle w:val="Heading2"/>
      </w:pPr>
      <w:r>
        <w:t xml:space="preserve">10.4 Event study: fiscalização em torno de um surto de desmatamento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000000"/>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pPr>
        <w:ind w:firstLine="709"/>
      </w:pPr>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000000"/>
          <w:sz w:val="18"/>
        </w:rPr>
        <w:t>Figura 5. Concentração do valor de multas entre infratores (curva de Lorenz, Gini). Aproximação por CPF/CNPJ, não auditoria de identidade. Base: 32.836 autuados distintos com multa maior que zero, entre os 43.576 autos de desmatamento lavrados e não cancelados nos 772 municípios do painel.</w:t>
      </w:r>
    </w:p>
    <w:p>
      <w:pPr>
        <w:pStyle w:val="Heading2"/>
      </w:pPr>
      <w:r>
        <w:t xml:space="preserve">10.6 Taxa de cancelamento de autos, por ano</w:t>
      </w:r>
    </w:p>
    <w:p>
      <w:pPr>
        <w:ind w:firstLine="709"/>
      </w:pPr>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000000"/>
          <w:sz w:val="18"/>
        </w:rPr>
        <w:t>Figura 6. Taxa de cancelamento de autos por ano; pico anômalo 2017–2019 (causa não verificada: padrão confirmado, explicação não). Base: 48.063 autos de tipo desmatamento nos 772 municípios do painel, em qualquer situação, porque a taxa exige incluir os cancelados. Não confundir com os 60.707 do pipeline, que são nacionais e já excluem cancelados.</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