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v7)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valor,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viz/05_panel_effects.R (fixest 0.12.1); efeitos fixos de município 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 em Autazes, 18º (projeto de potássio licenciado pelo IPAAM em abr/2024);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 Base: 32.836 autuados distintos com multa maior que zero, entre os 43.576 autos de desmatamento lavrados e não cancelados nos 772 municípios do painel.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