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444444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versão 1.0.0 (pipeline v5, documentação v6) · julho de 2026</w:t>
      </w:r>
    </w:p>
    <w:p>
      <w:r>
        <w:br w:type="page"/>
      </w:r>
    </w:p>
    <w:p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seis auditorias adversariais. Todos os números citados foram confirmados por replicação independente a partir dos dados brutos (última replicação: 2026-07-27;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não registrada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 — o PRODES ainda agrega a área pré-desmembramento,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0,796: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 — 0,9868 para 1 km² contra 6,25 ha e 0,9866 para 1 km² contra nenhum limiar. O limiar move apenas a estatística descritiva (os 54,3% sem pressão), não a ordenação: resultado de robustez citável, não suposição.</w:t>
      </w:r>
    </w:p>
    <w:p>
      <w:pPr>
        <w:pStyle w:val="Heading2"/>
      </w:pPr>
      <w:r>
        <w:t xml:space="preserve">3.3 Média 0-fill como ordenação principal</w:t>
      </w:r>
    </w:p>
    <w:p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valor: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r>
        <w:t xml:space="preserve">Painel balanceado confirmado (772 × 18, sem lacunas); trajetória anual cruzada com a taxa oficial do INPE em quatro anos-âncora: 2008 +2,9% (13.289 aqui vs. 12.911 oficial), 2012 −3,2% (4.427 vs. ~4.571), 2024 −3,9% (6.263 vs. 6.518 consolidado), 2025 −9,3% (5.258 vs. 5.796 estimado). Os quatro desvios são reportados individualmente, sem limiar de aprovação: o painel soma o export municipal do TerraBrasilis e a taxa oficial é apurada por estado sobre as cenas — são objetos distintos, e a comparação é um teste de ordem de grandeza, não de identidade. O desvio de 2025 é o maior e tem dupla explicação conhecida: o arquivo baixado antecede a consolidação do ano, e a própria taxa de 2025 é preliminar (a consolidada sai no primeiro semestre seguinte) — a mesma razão da nota “último ano sujeito a revisão”. Duas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 — o desvio correto é −3,9%, não −0,4%, e o valor 5.731 km² que aparecia como piso do intervalo de 2025 foi removido por não ter fonte localizável.</w:t>
      </w:r>
    </w:p>
    <w:p>
      <w:pPr>
        <w:pStyle w:val="Heading2"/>
      </w:pPr>
      <w:r>
        <w:t xml:space="preserve">4.2 Validação do same-year join</w:t>
      </w:r>
    </w:p>
    <w:p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civil: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resultante, não estrutural. Seis auditorias externas replicaram o pipeline inteiro a partir dos CSVs brutos em ambientes isolados; a sexta (2026-07-27)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motores/threads: total_desmatado_km2 pode divergir em ±0,1 em ~10 municípios, e egs/fine_values no último bit (~1e-16); comparações exigem tolerância.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r>
        <w:t xml:space="preserve">Todos os 20 têm pressão material em 18/18 anos. Empate aparente no top 3/4: Monte Alegre (1,10893) precede Aveiro (1,10870) pela média não-arredondada: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2026-07-27.</w:t>
      </w:r>
    </w:p>
    <w:p>
      <w:pPr>
        <w:pStyle w:val="Heading2"/>
      </w:pPr>
      <w:r>
        <w:t xml:space="preserve">5.4 Verificação externa</w:t>
      </w:r>
    </w:p>
    <w:p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r>
        <w:t xml:space="preserve">(1) Lacuna federal, não lacuna simpliciter: três situações indistinguíveis com este dado: ausência real, substituição estadual, presença sem efeito; o viés é conservador numa direção só (onde há fiscalização estadual não capturada, a lacuna total é menor que a medida, nunca maior) — e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na Flona Saracá-Taquera, licença de operação vigente) e em Autazes, 18º (projeto de potássio licenciado pelo IPAAM em abr/2024); e território sob regime especial em Porto de Moz, 2º (Resex federal Verde para Sempre, gerida pelo ICMBio) e Jacareacanga, 13º (TI Munduruku, &gt;90% do território,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r>
        <w:t xml:space="preserve">O histórico linha a linha de cada correção (seis rodadas de auditoria adversarial) foi mantido como registro de desenvolvimento interno, não incluído neste repositório; o resumo das mudanças que alteraram números publicados está no CHANGELOG.md.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CITATION.cff, CHANGELOG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r>
        <w:br w:type="page"/>
      </w:r>
    </w:p>
    <w:p>
      <w:pPr>
        <w:pStyle w:val="Heading1"/>
      </w:pPr>
      <w:r>
        <w:t xml:space="preserve">8. 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8. Taxa de cancelamento por ano (pico 2017–2019).</w:t>
      </w:r>
    </w:p>
    <w:p>
      <w:pPr>
        <w:pStyle w:val="Heading2"/>
      </w:pPr>
      <w:r>
        <w:t xml:space="preserve">8.9 Taxa de cancelamento por estado</w:t>
      </w:r>
    </w:p>
    <w:p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9. Taxa de cancelamento por UF (≥100 autos).</w:t>
      </w:r>
    </w:p>
    <w:p>
      <w:pPr>
        <w:pStyle w:val="Heading2"/>
      </w:pPr>
      <w:r>
        <w:t xml:space="preserve">8.10 Defasagem entre o fato e a autuação</w:t>
      </w:r>
    </w:p>
    <w:p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 —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LAUT — CENTRO DE ANÁLISE DA LIBERDADE E DO AUTORITARISMO.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