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1.0.0 (pipeline v5, documentação v6) · julho de 2026</w:t>
      </w:r>
    </w:p>
    <w:p>
      <w:pPr>
        <w:ind w:firstLine="709"/>
      </w:pPr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seis auditorias adversariais. Todos os números citados foram confirmados por replicação independente a partir dos dados brutos (última replicação: 2026-07-27;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revisa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  <w:r>
        <w:t xml:space="preserve">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0,796: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ha: verificada em documentação do INPE,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citável, não suposição.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valor: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2025 −9,3% (5.258 vs. 5.796 estimado).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 e tem dupla explicação conhecida: o arquivo baixado antecede a consolidação do ano, e a própria taxa de 2025 é preliminar (a consolidada sai no primeiro semestre seguinte), a mesma razão da nota “último ano sujeito a revisão”. Duas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2025. O desvio correto é −3,9%, não −0,4%, e o valor 5.731 km² que aparecia como piso do intervalo de 2025 foi removido por não ter fonte localizável.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civil: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resultante, não estrutural. Seis auditorias externas replicaram o pipeline inteiro a partir dos CSVs brutos em ambientes isolados; a sexta (2026-07-27)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motores/threads: total_desmatado_km2 pode divergir em ±0,1 em ~10 municípios, e egs/fine_values no último bit (~1e-16); comparações exigem tolerância.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não-arredondada: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pPr>
        <w:ind w:firstLine="709"/>
      </w:pPr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2026-07-27.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pPr>
        <w:ind w:firstLine="709"/>
      </w:pPr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+0,037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+0,074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-0,062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-0,033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+0,007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-0,016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(n.s.)</w:t>
            </w:r>
          </w:p>
        </w:tc>
      </w:tr>
    </w:tbl>
    <w:p>
      <w:pPr>
        <w:ind w:firstLine="709"/>
      </w:pPr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 xml:space="preserve">(1) Lacuna federal, não lacuna simpliciter: três situações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(2) PRODES ≠ desmatamento ilegal (caso Barra do Bugres; nenhuma checagem sistemática de AUTEX/DOF no top 20). A busca externa da sexta auditoria encontrou supressão licenciada em Oriximiná, 19º (Mineração Rio do Norte, 12.639 ha na Flona Saracá-Taquera, licença de operação vigente) e em Autazes, 18º (projeto de potássio licenciado pelo IPAAM em abr/2024); e território sob regime especial em Porto de Moz, 2º (Resex federal Verde para Sempre, gerida pelo ICMBio) e Jacareacanga, 13º (TI Munduruku, &gt;90% do território,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(seis rodadas de auditoria adversarial) foi mantido como registro de desenvolvimento interno, não incluído neste repositório; o resumo das mudanças que alteraram números publicados está no CHANGELOG.md. A tabela abaixo resume as mudanças de substância entre versões: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CITATION.cff, CHANGELOG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pPr>
        <w:ind w:firstLine="709"/>
      </w:pPr>
      <w:r>
        <w:br w:type="page"/>
      </w:r>
    </w:p>
    <w:p>
      <w:pPr>
        <w:pStyle w:val="Heading1"/>
      </w:pPr>
      <w:r>
        <w:t xml:space="preserve">8. 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pPr>
        <w:ind w:firstLine="709"/>
      </w:pPr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pPr>
        <w:ind w:firstLine="709"/>
      </w:pPr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pPr>
        <w:ind w:firstLine="709"/>
      </w:pPr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pPr>
        <w:ind w:firstLine="709"/>
      </w:pPr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Concentração de multas entre infratores (Gini).</w:t>
      </w:r>
    </w:p>
    <w:p>
      <w:pPr>
        <w:pStyle w:val="Heading2"/>
      </w:pPr>
      <w:r>
        <w:t xml:space="preserve">8.8 Taxa de cancelamento de autos, por ano</w:t>
      </w:r>
    </w:p>
    <w:p>
      <w:pPr>
        <w:ind w:firstLine="709"/>
      </w:pPr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Taxa de cancelamento por ano (pico 2017–2019). Base: 48.063 autos de tipo desmatamento nos 772 municípios do painel, em qualquer situação, porque a taxa exige incluir os cancelados. Não confundir com os 60.707 do pipeline, que são nacionais e já excluem cancelados.</w:t>
      </w:r>
    </w:p>
    <w:p>
      <w:pPr>
        <w:pStyle w:val="Heading2"/>
      </w:pPr>
      <w:r>
        <w:t xml:space="preserve">8.9 Taxa de cancelamento por estado</w:t>
      </w:r>
    </w:p>
    <w:p>
      <w:pPr>
        <w:ind w:firstLine="709"/>
      </w:pPr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Taxa de cancelamento por UF (≥100 autos). Mesma base da Figura 8.</w:t>
      </w:r>
    </w:p>
    <w:p>
      <w:pPr>
        <w:pStyle w:val="Heading2"/>
      </w:pPr>
      <w:r>
        <w:t xml:space="preserve">8.10 Defasagem entre o fato e a autuação</w:t>
      </w:r>
    </w:p>
    <w:p>
      <w:pPr>
        <w:ind w:firstLine="709"/>
      </w:pPr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pPr>
        <w:ind w:firstLine="709"/>
      </w:pPr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pPr>
        <w:ind w:firstLine="709"/>
      </w:pPr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pPr>
        <w:ind w:firstLine="709"/>
      </w:pPr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pPr>
        <w:ind w:firstLine="709"/>
      </w:pPr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pPr>
        <w:ind w:firstLine="709"/>
      </w:pPr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Reserva Extrativista Verde para Sempre. Brasília, DF: ICMBio. Disponível em: https://www.gov.br/icmbio/pt-br.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LAUT. 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