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68" w:after="0"/>
        <w:jc w:val="center"/>
      </w:pPr>
      <w:r>
        <w:rPr>
          <w:sz w:val="24"/>
          <w:szCs w:val="24"/>
        </w:rPr>
        <w:t xml:space="preserve">Diogo Grieco</w:t>
      </w:r>
    </w:p>
    <w:p>
      <w:pPr>
        <w:spacing w:before="1985" w:after="140"/>
        <w:jc w:val="center"/>
      </w:pPr>
      <w:r>
        <w:rPr>
          <w:b/>
          <w:bCs/>
          <w:color w:val="000000"/>
          <w:sz w:val="34"/>
          <w:szCs w:val="34"/>
        </w:rPr>
        <w:t xml:space="preserve">Medindo a distância entre a lei e sua aplicação</w:t>
      </w:r>
    </w:p>
    <w:p>
      <w:pPr>
        <w:spacing w:after="0"/>
        <w:jc w:val="center"/>
      </w:pPr>
      <w:r>
        <w:rPr>
          <w:i/>
          <w:iCs/>
          <w:color w:val="000000"/>
          <w:sz w:val="23"/>
          <w:szCs w:val="23"/>
        </w:rPr>
        <w:t xml:space="preserve">Metodologia, stack e resultados de um sistema de indicadores para o desmatamento na Amazônia Legal</w:t>
      </w:r>
    </w:p>
    <w:p>
      <w:pPr>
        <w:spacing w:before="4260" w:after="0"/>
        <w:jc w:val="center"/>
      </w:pPr>
      <w:r>
        <w:rPr>
          <w:color w:val="000000"/>
          <w:sz w:val="18"/>
          <w:szCs w:val="18"/>
        </w:rPr>
        <w:t xml:space="preserve">writing sample · agosto de 2026</w:t>
      </w:r>
    </w:p>
    <w:p>
      <w:pPr/>
      <w:r>
        <w:br w:type="page"/>
      </w:r>
    </w:p>
    <w:p>
      <w:pPr>
        <w:ind w:firstLine="709"/>
      </w:pPr>
      <w:r>
        <w:t xml:space="preserve">Todo indicador social é uma decisão disfarçada de número. Escolher o que contar, o que comparar e o que descartar já é uma teoria sobre o que importa: mesmo quando o resultado final é uma tabela com um município e um score. Este texto descreve um sistema que construí para medir uma coisa específica: a distância entre a existência de desmatamento e a existência de uma resposta institucional federal a ele, município a município, ano a ano, na Amazônia Legal. Apresento a arquitetura técnica, as decisões metodológicas (incluindo uma que me obrigou a descartar e refazer o próprio desenho do ranking) e os resultados, com os limites que os tornam defensáveis. O texto foi escrito para ser lido de duas maneiras: como relato de um achado empírico sobre a fiscalização ambiental brasileira, e como demonstração de um modo de trabalhar com dados administrativos em que cada decisão carrega seu teste, e cada limite é dito como limite.</w:t>
      </w:r>
    </w:p>
    <w:p>
      <w:pPr>
        <w:pStyle w:val="Heading1"/>
      </w:pPr>
      <w:r>
        <w:t xml:space="preserve">1. O problema</w:t>
      </w:r>
    </w:p>
    <w:p>
      <w:pPr>
        <w:ind w:firstLine="709"/>
      </w:pPr>
      <w:r>
        <w:t xml:space="preserve">Dois sistemas públicos de dados registram, de forma independente, os dois lados de uma mesma relação. O PRODES, do INPE, mede o desmatamento por satélite desde 1988: é a série oficial com que o Brasil reporta suas taxas anuais. O IBAMA publica, em dados abertos, cada auto de infração ambiental lavrado pela fiscalização federal. Nenhum dos dois, isoladamente, permite fazer a pergunta que interessa: em que lugares a fiscalização acompanha a pressão de desmatamento, e em que lugares ela simplesmente não aparece? A pergunta não é nova: é o tipo de coisa que qualquer leitor da cobertura jornalística sobre a Amazônia já se perguntou. O que faltava era uma forma sistemática, replicável e auditável de respondê-la para os 772 municípios do painel municipal do PRODES ao mesmo tempo, sem depender de quais casos a imprensa decidiu cobrir.</w:t>
      </w:r>
    </w:p>
    <w:p>
      <w:pPr>
        <w:ind w:firstLine="709"/>
      </w:pPr>
      <w:r>
        <w:t xml:space="preserve">Construí um pipeline que cruza os dois conjuntos por município e ano (2008–2025, 13.896 observações) e produz um índice, o </w:t>
      </w:r>
      <w:r>
        <w:rPr>
          <w:b/>
          <w:bCs/>
        </w:rPr>
        <w:t xml:space="preserve">Enforcement Gap Score (EGS)</w:t>
      </w:r>
      <w:r>
        <w:t xml:space="preserve">, e uma classificação descritiva em três categorias: sem pressão relevante de desmatamento (54,3% das observações), desmatamento presente com resposta federal praticamente nula (22,0%) e desmatamento com resposta presente, cuja proporcionalidade o índice quantifica (23,6%). A pergunta que o sistema responde é de priorização, não de veredito: dada uma capacidade de fiscalização restrita, onde a resposta federal foi mais desproporcional à pressão observada, e onde essa desproporção persistiu por tempo suficiente, atravessando governos e regimes de fiscalização, para ser estrutural e não episódica?</w:t>
      </w:r>
    </w:p>
    <w:p>
      <w:pPr>
        <w:pStyle w:val="Heading1"/>
      </w:pPr>
      <w:r>
        <w:t xml:space="preserve">2. Os dados e sua limpeza</w:t>
      </w:r>
    </w:p>
    <w:p>
      <w:pPr>
        <w:ind w:firstLine="709"/>
      </w:pPr>
      <w:r>
        <w:t xml:space="preserve">Cinco fontes primárias entram no sistema, cada uma com data de download registrada: porque dados administrativos vivos são revisados retroativamente, e um replicador precisa distinguir “os dados mudaram na fonte” de “o pipeline está quebrado”.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cantSplit/>
          <w:tblHeader/>
        </w:trPr>
        <w:tc>
          <w:tcPr>
            <w:tcW w:type="dxa" w:w="2600"/>
            <w:shd w:fill="DDE5DC" w:val="clear"/>
            <w:tcMar>
              <w:top w:type="dxa" w:w="50"/>
              <w:left w:type="dxa" w:w="90"/>
              <w:bottom w:type="dxa" w:w="50"/>
              <w:right w:type="dxa" w:w="90"/>
            </w:tcMar>
          </w:tcPr>
          <w:p>
            <w:pPr>
              <w:spacing w:after="0"/>
            </w:pPr>
            <w:r>
              <w:rPr>
                <w:b/>
                <w:bCs/>
                <w:sz w:val="17"/>
                <w:szCs w:val="17"/>
              </w:rPr>
              <w:t xml:space="preserve">Fonte</w:t>
            </w:r>
          </w:p>
        </w:tc>
        <w:tc>
          <w:tcPr>
            <w:tcW w:type="dxa" w:w="4200"/>
            <w:shd w:fill="DDE5DC" w:val="clear"/>
            <w:tcMar>
              <w:top w:type="dxa" w:w="50"/>
              <w:left w:type="dxa" w:w="90"/>
              <w:bottom w:type="dxa" w:w="50"/>
              <w:right w:type="dxa" w:w="90"/>
            </w:tcMar>
          </w:tcPr>
          <w:p>
            <w:pPr>
              <w:spacing w:after="0"/>
            </w:pPr>
            <w:r>
              <w:rPr>
                <w:b/>
                <w:bCs/>
                <w:sz w:val="17"/>
                <w:szCs w:val="17"/>
              </w:rPr>
              <w:t xml:space="preserve">Papel no sistema</w:t>
            </w:r>
          </w:p>
        </w:tc>
        <w:tc>
          <w:tcPr>
            <w:tcW w:type="dxa" w:w="2400"/>
            <w:shd w:fill="DDE5DC" w:val="clear"/>
            <w:tcMar>
              <w:top w:type="dxa" w:w="50"/>
              <w:left w:type="dxa" w:w="90"/>
              <w:bottom w:type="dxa" w:w="50"/>
              <w:right w:type="dxa" w:w="90"/>
            </w:tcMar>
          </w:tcPr>
          <w:p>
            <w:pPr>
              <w:spacing w:after="0"/>
            </w:pPr>
            <w:r>
              <w:rPr>
                <w:b/>
                <w:bCs/>
                <w:sz w:val="17"/>
                <w:szCs w:val="17"/>
              </w:rPr>
              <w:t xml:space="preserve">Volume bruto</w:t>
            </w:r>
          </w:p>
        </w:tc>
      </w:tr>
      <w:tr>
        <w:tc>
          <w:tcPr>
            <w:tcW w:type="dxa" w:w="2600"/>
            <w:tcMar>
              <w:top w:type="dxa" w:w="40"/>
              <w:left w:type="dxa" w:w="90"/>
              <w:bottom w:type="dxa" w:w="40"/>
              <w:right w:type="dxa" w:w="90"/>
            </w:tcMar>
          </w:tcPr>
          <w:p>
            <w:pPr>
              <w:spacing w:after="0"/>
            </w:pPr>
            <w:r>
              <w:rPr>
                <w:sz w:val="17"/>
                <w:szCs w:val="17"/>
              </w:rPr>
              <w:t xml:space="preserve">PRODES/INPE (TerraBrasilis)</w:t>
            </w:r>
          </w:p>
        </w:tc>
        <w:tc>
          <w:tcPr>
            <w:tcW w:type="dxa" w:w="4200"/>
            <w:tcMar>
              <w:top w:type="dxa" w:w="40"/>
              <w:left w:type="dxa" w:w="90"/>
              <w:bottom w:type="dxa" w:w="40"/>
              <w:right w:type="dxa" w:w="90"/>
            </w:tcMar>
          </w:tcPr>
          <w:p>
            <w:pPr>
              <w:spacing w:after="0"/>
            </w:pPr>
            <w:r>
              <w:rPr>
                <w:sz w:val="17"/>
                <w:szCs w:val="17"/>
              </w:rPr>
              <w:t xml:space="preserve">pressão: área desmatada por município-ano</w:t>
            </w:r>
          </w:p>
        </w:tc>
        <w:tc>
          <w:tcPr>
            <w:tcW w:type="dxa" w:w="2400"/>
            <w:tcMar>
              <w:top w:type="dxa" w:w="40"/>
              <w:left w:type="dxa" w:w="90"/>
              <w:bottom w:type="dxa" w:w="40"/>
              <w:right w:type="dxa" w:w="90"/>
            </w:tcMar>
          </w:tcPr>
          <w:p>
            <w:pPr>
              <w:spacing w:after="0"/>
            </w:pPr>
            <w:r>
              <w:rPr>
                <w:sz w:val="17"/>
                <w:szCs w:val="17"/>
              </w:rPr>
              <w:t xml:space="preserve">13.896 linhas (772 × 18)</w:t>
            </w:r>
          </w:p>
        </w:tc>
      </w:tr>
      <w:tr>
        <w:tc>
          <w:tcPr>
            <w:tcW w:type="dxa" w:w="2600"/>
            <w:tcMar>
              <w:top w:type="dxa" w:w="40"/>
              <w:left w:type="dxa" w:w="90"/>
              <w:bottom w:type="dxa" w:w="40"/>
              <w:right w:type="dxa" w:w="90"/>
            </w:tcMar>
          </w:tcPr>
          <w:p>
            <w:pPr>
              <w:spacing w:after="0"/>
            </w:pPr>
            <w:r>
              <w:rPr>
                <w:sz w:val="17"/>
                <w:szCs w:val="17"/>
              </w:rPr>
              <w:t xml:space="preserve">IBAMA: autos de infração</w:t>
            </w:r>
          </w:p>
        </w:tc>
        <w:tc>
          <w:tcPr>
            <w:tcW w:type="dxa" w:w="4200"/>
            <w:tcMar>
              <w:top w:type="dxa" w:w="40"/>
              <w:left w:type="dxa" w:w="90"/>
              <w:bottom w:type="dxa" w:w="40"/>
              <w:right w:type="dxa" w:w="90"/>
            </w:tcMar>
          </w:tcPr>
          <w:p>
            <w:pPr>
              <w:spacing w:after="0"/>
            </w:pPr>
            <w:r>
              <w:rPr>
                <w:sz w:val="17"/>
                <w:szCs w:val="17"/>
              </w:rPr>
              <w:t xml:space="preserve">resposta: autuações federais, 1 CSV por ano</w:t>
            </w:r>
          </w:p>
        </w:tc>
        <w:tc>
          <w:tcPr>
            <w:tcW w:type="dxa" w:w="2400"/>
            <w:tcMar>
              <w:top w:type="dxa" w:w="40"/>
              <w:left w:type="dxa" w:w="90"/>
              <w:bottom w:type="dxa" w:w="40"/>
              <w:right w:type="dxa" w:w="90"/>
            </w:tcMar>
          </w:tcPr>
          <w:p>
            <w:pPr>
              <w:spacing w:after="0"/>
            </w:pPr>
            <w:r>
              <w:rPr>
                <w:sz w:val="17"/>
                <w:szCs w:val="17"/>
              </w:rPr>
              <w:t xml:space="preserve">309.116 linhas × 84 colunas</w:t>
            </w:r>
          </w:p>
        </w:tc>
      </w:tr>
      <w:tr>
        <w:tc>
          <w:tcPr>
            <w:tcW w:type="dxa" w:w="2600"/>
            <w:tcMar>
              <w:top w:type="dxa" w:w="40"/>
              <w:left w:type="dxa" w:w="90"/>
              <w:bottom w:type="dxa" w:w="40"/>
              <w:right w:type="dxa" w:w="90"/>
            </w:tcMar>
          </w:tcPr>
          <w:p>
            <w:pPr>
              <w:spacing w:after="0"/>
            </w:pPr>
            <w:r>
              <w:rPr>
                <w:sz w:val="17"/>
                <w:szCs w:val="17"/>
              </w:rPr>
              <w:t xml:space="preserve">IBGE: API de localidades</w:t>
            </w:r>
          </w:p>
        </w:tc>
        <w:tc>
          <w:tcPr>
            <w:tcW w:type="dxa" w:w="4200"/>
            <w:tcMar>
              <w:top w:type="dxa" w:w="40"/>
              <w:left w:type="dxa" w:w="90"/>
              <w:bottom w:type="dxa" w:w="40"/>
              <w:right w:type="dxa" w:w="90"/>
            </w:tcMar>
          </w:tcPr>
          <w:p>
            <w:pPr>
              <w:spacing w:after="0"/>
            </w:pPr>
            <w:r>
              <w:rPr>
                <w:sz w:val="17"/>
                <w:szCs w:val="17"/>
              </w:rPr>
              <w:t xml:space="preserve">referência município → UF</w:t>
            </w:r>
          </w:p>
        </w:tc>
        <w:tc>
          <w:tcPr>
            <w:tcW w:type="dxa" w:w="2400"/>
            <w:tcMar>
              <w:top w:type="dxa" w:w="40"/>
              <w:left w:type="dxa" w:w="90"/>
              <w:bottom w:type="dxa" w:w="40"/>
              <w:right w:type="dxa" w:w="90"/>
            </w:tcMar>
          </w:tcPr>
          <w:p>
            <w:pPr>
              <w:spacing w:after="0"/>
            </w:pPr>
            <w:r>
              <w:rPr>
                <w:sz w:val="17"/>
                <w:szCs w:val="17"/>
              </w:rPr>
              <w:t xml:space="preserve">5.571 municípios</w:t>
            </w:r>
          </w:p>
        </w:tc>
      </w:tr>
      <w:tr>
        <w:tc>
          <w:tcPr>
            <w:tcW w:type="dxa" w:w="2600"/>
            <w:tcMar>
              <w:top w:type="dxa" w:w="40"/>
              <w:left w:type="dxa" w:w="90"/>
              <w:bottom w:type="dxa" w:w="40"/>
              <w:right w:type="dxa" w:w="90"/>
            </w:tcMar>
          </w:tcPr>
          <w:p>
            <w:pPr>
              <w:spacing w:after="0"/>
            </w:pPr>
            <w:r>
              <w:rPr>
                <w:sz w:val="17"/>
                <w:szCs w:val="17"/>
              </w:rPr>
              <w:t xml:space="preserve">IBGE/Sidra, tabela 1737</w:t>
            </w:r>
          </w:p>
        </w:tc>
        <w:tc>
          <w:tcPr>
            <w:tcW w:type="dxa" w:w="4200"/>
            <w:tcMar>
              <w:top w:type="dxa" w:w="40"/>
              <w:left w:type="dxa" w:w="90"/>
              <w:bottom w:type="dxa" w:w="40"/>
              <w:right w:type="dxa" w:w="90"/>
            </w:tcMar>
          </w:tcPr>
          <w:p>
            <w:pPr>
              <w:spacing w:after="0"/>
            </w:pPr>
            <w:r>
              <w:rPr>
                <w:sz w:val="17"/>
                <w:szCs w:val="17"/>
              </w:rPr>
              <w:t xml:space="preserve">deflator: IPCA mensal, base dez/1993</w:t>
            </w:r>
          </w:p>
        </w:tc>
        <w:tc>
          <w:tcPr>
            <w:tcW w:type="dxa" w:w="2400"/>
            <w:tcMar>
              <w:top w:type="dxa" w:w="40"/>
              <w:left w:type="dxa" w:w="90"/>
              <w:bottom w:type="dxa" w:w="40"/>
              <w:right w:type="dxa" w:w="90"/>
            </w:tcMar>
          </w:tcPr>
          <w:p>
            <w:pPr>
              <w:spacing w:after="0"/>
            </w:pPr>
            <w:r>
              <w:rPr>
                <w:sz w:val="17"/>
                <w:szCs w:val="17"/>
              </w:rPr>
              <w:t xml:space="preserve">12 meses × 18 anos</w:t>
            </w:r>
          </w:p>
        </w:tc>
      </w:tr>
      <w:tr>
        <w:tc>
          <w:tcPr>
            <w:tcW w:type="dxa" w:w="2600"/>
            <w:tcMar>
              <w:top w:type="dxa" w:w="40"/>
              <w:left w:type="dxa" w:w="90"/>
              <w:bottom w:type="dxa" w:w="40"/>
              <w:right w:type="dxa" w:w="90"/>
            </w:tcMar>
          </w:tcPr>
          <w:p>
            <w:pPr>
              <w:spacing w:after="0"/>
            </w:pPr>
            <w:r>
              <w:rPr>
                <w:sz w:val="17"/>
                <w:szCs w:val="17"/>
              </w:rPr>
              <w:t xml:space="preserve">IBGE: Áreas Territoriais 2025</w:t>
            </w:r>
          </w:p>
        </w:tc>
        <w:tc>
          <w:tcPr>
            <w:tcW w:type="dxa" w:w="4200"/>
            <w:tcMar>
              <w:top w:type="dxa" w:w="40"/>
              <w:left w:type="dxa" w:w="90"/>
              <w:bottom w:type="dxa" w:w="40"/>
              <w:right w:type="dxa" w:w="90"/>
            </w:tcMar>
          </w:tcPr>
          <w:p>
            <w:pPr>
              <w:spacing w:after="0"/>
            </w:pPr>
            <w:r>
              <w:rPr>
                <w:sz w:val="17"/>
                <w:szCs w:val="17"/>
              </w:rPr>
              <w:t xml:space="preserve">normalização: área territorial municipal</w:t>
            </w:r>
          </w:p>
        </w:tc>
        <w:tc>
          <w:tcPr>
            <w:tcW w:type="dxa" w:w="2400"/>
            <w:tcMar>
              <w:top w:type="dxa" w:w="40"/>
              <w:left w:type="dxa" w:w="90"/>
              <w:bottom w:type="dxa" w:w="40"/>
              <w:right w:type="dxa" w:w="90"/>
            </w:tcMar>
          </w:tcPr>
          <w:p>
            <w:pPr>
              <w:spacing w:after="0"/>
            </w:pPr>
            <w:r>
              <w:rPr>
                <w:sz w:val="17"/>
                <w:szCs w:val="17"/>
              </w:rPr>
              <w:t xml:space="preserve">5.573 municípios</w:t>
            </w:r>
          </w:p>
        </w:tc>
      </w:tr>
    </w:tbl>
    <w:p/>
    <w:p>
      <w:pPr>
        <w:ind w:firstLine="709"/>
      </w:pPr>
      <w:r>
        <w:t xml:space="preserve">Do lado do IBAMA, o recorte de desmatamento não é trivial. Dos 309.116 autos brutos, 60.707 entram na base (soma nominal de controle: R$ 26,8 bilhões), pela união de três casos: infrações de Flora com área “Desmatamento” (58.051); infrações de Flora com o campo de área vazio mas com um dos seis códigos legais específicos de desmatamento: um resgate necessário porque o campo não era obrigatório até 2012, e ignorá-lo apagaria silenciosamente os anos iniciais do painel (2.129); e registros com tipo vazio mas área “Desmatamento” (527). A data de cada auto vem de DAT_HORA_AUTO_INFRACAO (o campo com 0% de valores ausentes), e não da data do fato, ausente em 71% da base filtrada. Cada uma dessas escolhas está espelhada, cláusula a cláusula, entre o script de exploração em R e o SQL de produção.</w:t>
      </w:r>
    </w:p>
    <w:p>
      <w:pPr>
        <w:ind w:firstLine="709"/>
      </w:pPr>
      <w:r>
        <w:t xml:space="preserve">Do lado monetário, um painel de 18 anos em valores nominais inflaria artificialmente a lacuna dos anos antigos: uma multa de R$ 100 mil em 2008 vale cerca de 2,6 vezes isso em reais de 2025. As multas são deflacionadas pela série mensal real do IPCA (não por um agregador de terceiros), com a base 2025 definida como a média dos doze índices mensais do ano: porque os autos são lavrados o ano inteiro, com um quinto deles concentrado em setembro e outubro (21,4%; setembro é o pico mensal, com 11,1%), e escolher um mês de referência embutiria essa sazonalidade no deflator. O deflator de 2008, 2,5826, foi reproduzido identicamente em três implementações independentes (Python, R e DuckDB) e está fixado por um check no pipeline: porque um download errado do Sidra com a estrutura certa passaria por todos os checks estruturais sem esse.</w:t>
      </w:r>
    </w:p>
    <w:p>
      <w:pPr>
        <w:pStyle w:val="Heading1"/>
      </w:pPr>
      <w:r>
        <w:t xml:space="preserve">3. Arquitetura: um pipeline que se deixa auditar</w:t>
      </w:r>
    </w:p>
    <w:p>
      <w:pPr>
        <w:ind w:firstLine="709"/>
      </w:pPr>
      <w:r>
        <w:t xml:space="preserve">A escolha da stack seguiu um critério: cada camada precisa ser auditável por um terceiro sem acesso à minha máquina. O armazenamento e o motor de consulta são o </w:t>
      </w:r>
      <w:r>
        <w:rPr>
          <w:b/>
          <w:bCs/>
        </w:rPr>
        <w:t xml:space="preserve">DuckDB</w:t>
      </w:r>
      <w:r>
        <w:t xml:space="preserve">: banco analítico embutido, sem servidor, cujo arquivo único é integralmente regenerável a partir das fontes primárias. O pipeline são </w:t>
      </w:r>
      <w:r>
        <w:rPr>
          <w:b/>
          <w:bCs/>
        </w:rPr>
        <w:t xml:space="preserve">quatro arquivos SQL</w:t>
      </w:r>
      <w:r>
        <w:t xml:space="preserve"> executados em ordem, com separação estrita de responsabilidades. </w:t>
      </w:r>
      <w:r>
        <w:rPr>
          <w:i/>
          <w:iCs/>
        </w:rPr>
        <w:t xml:space="preserve">Staging</w:t>
      </w:r>
      <w:r>
        <w:t xml:space="preserve"> faz apenas ingestão bruta, com todo CSV lido como texto, sem filtro, sem conversão de tipo; o cabeçalho do arquivo declara que qualquer CAST ou WHERE ali é, por definição, um erro de camada, e o código pode ser conferido contra a declaração. </w:t>
      </w:r>
      <w:r>
        <w:rPr>
          <w:i/>
          <w:iCs/>
        </w:rPr>
        <w:t xml:space="preserve">Marts</w:t>
      </w:r>
      <w:r>
        <w:t xml:space="preserve"> filtra, tipa e padroniza: é onde vivem as tabelas limpas. </w:t>
      </w:r>
      <w:r>
        <w:rPr>
          <w:i/>
          <w:iCs/>
        </w:rPr>
        <w:t xml:space="preserve">Analytics</w:t>
      </w:r>
      <w:r>
        <w:t xml:space="preserve"> computa os índices derivados: o deflator, o painel município-ano (o LEFT JOIN central que preserva as 13.896 linhas do PRODES mesmo quando não há auto correspondente: é o que permite a lacuna absoluta existir como observação, em vez de sumir da tabela), a fórmula, o ranking. Essa disciplina não nasceu pronta: a razão do deflator viveu três versões dentro de staging, contradizendo o propósito declarado do próprio arquivo, até uma revisão de pureza de camada dividi-la pelos três arquivos segundo o tipo de computação.</w:t>
      </w:r>
    </w:p>
    <w:p>
      <w:pPr>
        <w:ind w:firstLine="709"/>
      </w:pPr>
      <w:r>
        <w:t xml:space="preserve">O </w:t>
      </w:r>
      <w:r>
        <w:rPr>
          <w:b/>
          <w:bCs/>
        </w:rPr>
        <w:t xml:space="preserve">R (tidyverse)</w:t>
      </w:r>
      <w:r>
        <w:t xml:space="preserve"> é a camada de exploração e validação: um script auditável em que cada transformação é seguida de um stopifnot() com o valor esperado anotado como constante nomeada. Assim, qualquer mudança silenciosa nos dados brutos vira um erro alto e imediato, não um número errado se propagando. O pipeline SQL espelha essa cultura com </w:t>
      </w:r>
      <w:r>
        <w:rPr>
          <w:b/>
          <w:bCs/>
        </w:rPr>
        <w:t xml:space="preserve">56 verificações de consistência</w:t>
      </w:r>
      <w:r>
        <w:t xml:space="preserve"> (8 na ingestão, 27 na limpeza, 20 na camada analítica, 1 pós-exportação), cada uma com seu valor esperado versionado no código, contagens, somas de controle, invariantes de design: o EGS nunca é nulo; as contagens por categoria somam 18 em todo município; a identidade algébrica do ranking vale nos 772 municípios. Três dessas guardas nasceram de modos de falha reais encontrados em auditoria: um parquet exportado com ordenação obsoleta, um CSV trocado que passaria com as magnitudes erradas, um deflator estruturalmente plausível e numericamente errado.</w:t>
      </w:r>
    </w:p>
    <w:p>
      <w:pPr>
        <w:ind w:firstLine="709"/>
      </w:pPr>
      <w:r>
        <w:t xml:space="preserve">O sistema foi submetido a </w:t>
      </w:r>
      <w:r>
        <w:rPr>
          <w:b/>
          <w:bCs/>
        </w:rPr>
        <w:t xml:space="preserve">sucessivas auditorias adversariais independentes</w:t>
      </w:r>
      <w:r>
        <w:t xml:space="preserve">: sessões instruídas a tentar quebrar o trabalho, não confirmá-lo, cada uma replicando o pipeline inteiro a partir dos dados brutos em ambiente isolado. As duas primeiras encontraram, entre outras coisas, um desempate de ordenação que teria invertido o 3º e o 4º lugares publicados na execução seguinte, e números de protótipo que haviam driftado para a prosa; a quinta encontrou 33 municípios fora da Amazônia Legal contaminando a estatística descritiva e um pseudônimo reversível no dado publicado; a sexta encontrou uma leitura de CSV que quebrava o pipeline em qualquer versão recente do motor, e reproduziu de forma independente, pela primeira vez, os coeficientes de painel. O resumo das mudanças de substância está na seção “Registro de mudanças” do relatório técnico estendido; o histórico linha a linha de cada rodada é documentação interna de desenvolvimento. A trilha de correção é parte do argumento de confiabilidade, não uma vergonha a esconder.</w:t>
      </w:r>
    </w:p>
    <w:p>
      <w:pPr>
        <w:pStyle w:val="Heading1"/>
      </w:pPr>
      <w:r>
        <w:t xml:space="preserve">4. Por que essa fórmula, e não outra</w:t>
      </w:r>
    </w:p>
    <w:p>
      <w:pPr>
        <w:tabs>
          <w:tab w:pos="4536" w:val="center"/>
          <w:tab w:pos="9072" w:val="right"/>
        </w:tabs>
        <w:spacing w:after="40" w:before="40"/>
        <w:ind w:left="360"/>
        <w:jc w:val="left"/>
      </w:pPr>
      <w:r>
        <w:tab/>
      </w:r>
      <w:r>
        <w:drawing>
          <wp:inline xmlns:a="http://schemas.openxmlformats.org/drawingml/2006/main" xmlns:pic="http://schemas.openxmlformats.org/drawingml/2006/picture">
            <wp:extent cx="4389120" cy="108495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9120" cy="1084951"/>
                    </a:xfrm>
                    <a:prstGeom prst="rect"/>
                  </pic:spPr>
                </pic:pic>
              </a:graphicData>
            </a:graphic>
          </wp:inline>
        </w:drawing>
      </w:r>
      <w:r>
        <w:rPr>
          <w:position w:val="76"/>
        </w:rPr>
        <w:tab/>
        <w:t>(1)</w:t>
      </w:r>
    </w:p>
    <w:p>
      <w:pPr/>
      <w:r>
        <w:t>onde A = km² desmatados no município no ano; N = número de autuações federais; M = valor real das multas (IPCA, base 2025).</w:t>
      </w:r>
    </w:p>
    <w:p>
      <w:pPr>
        <w:ind w:firstLine="709"/>
      </w:pPr>
      <w:r>
        <w:t>Uma única fórmula, a equação (1), para todas as 13.896 observações. O max(1, ·) no denominador é a peça que unifica: quando a resposta federal é zero, o denominador trava em 1 e o score vira o puro logaritmo da pressão. O caso de “lacuna absoluta” deixa de ser uma fórmula à parte, incomensurável com as demais, e passa a ser o caso-limite da mesma régua. Uma versão anterior do sistema tinha três fórmulas, uma por categoria; a consequência silenciosa era que scores de categorias diferentes não podiam ser comparados nem agregados: um defeito que só apareceu auditando o próprio trabalho, e que o piso resolve por construção.</w:t>
      </w:r>
    </w:p>
    <w:p>
      <w:pPr>
        <w:ind w:firstLine="709"/>
      </w:pPr>
      <w:r>
        <w:t xml:space="preserve">O logaritmo nos dois lados não é estético: desmatamento e fiscalização são fenômenos de cauda longa, e uma razão de valores brutos seria dominada por outliers. A raiz no denominador funciona como média geométrica entre número e valor das autuações. Fiscalização “forte” precisa das duas dimensões presentes, porque muitos autos de valor irrisório não são resposta, nem um único auto milionário isolado. E o índice é tratado como </w:t>
      </w:r>
      <w:r>
        <w:rPr>
          <w:b/>
          <w:bCs/>
        </w:rPr>
        <w:t xml:space="preserve">ordinal</w:t>
      </w:r>
      <w:r>
        <w:t xml:space="preserve"> em toda a análise: a ordenação é validada; a distância entre dois scores não recebe interpretação substantiva.</w:t>
      </w:r>
    </w:p>
    <w:p>
      <w:pPr>
        <w:pStyle w:val="Heading2"/>
      </w:pPr>
      <w:r>
        <w:t xml:space="preserve">4.1 Cada decisão com seu teste</w:t>
      </w:r>
    </w:p>
    <w:p>
      <w:pPr>
        <w:ind w:firstLine="709"/>
      </w:pPr>
      <w:r>
        <w:t xml:space="preserve">Nenhuma escolha foi fixada sem ser testada contra os dados: e os testes valem mais que as justificativas. </w:t>
      </w:r>
      <w:r>
        <w:rPr>
          <w:b/>
          <w:bCs/>
        </w:rPr>
        <w:t xml:space="preserve">Primeiro, o piso do denominador. </w:t>
      </w:r>
      <w:r>
        <w:t xml:space="preserve">Ele reproduz a fórmula antiga em 100% dos antigos casos de lacuna absoluta e em 99,1% dos casos de lacuna medida; os 0,9% divergentes, 28 município-anos, são exatamente os casos de instabilidade numérica na fronteira de R$ 0,01 que motivaram a mudança, onde denominadores minúsculos explodiam o score nos casos menos informativos. O piso os torna mais conservadores, não mais extremos, e a população exata está fixada por um check (28 com valores deflacionados; 61 com nominais).</w:t>
      </w:r>
    </w:p>
    <w:p>
      <w:pPr>
        <w:ind w:firstLine="709"/>
      </w:pPr>
      <w:r>
        <w:rPr>
          <w:b/>
          <w:bCs/>
        </w:rPr>
        <w:t xml:space="preserve">Segundo, o limiar de materialidade de 1 km². </w:t>
      </w:r>
      <w:r>
        <w:t xml:space="preserve">Eu o havia adotado supondo ser o piso de detecção do próprio satélite, e a verificação mostrou que isso é falso: a unidade mínima de mapeamento do PRODES é 6,25 hectares, uma ordem de grandeza menor, valor herdado da escala da fase analógica do sistema e mantido para preservar a série histórica. A suposição errada virou teste: recalculei o ranking completo com limiar de 1 km², de 6,25 ha e sem limiar algum. Os 50 primeiros são idênticos nos três cenários; a correlação de Spearman entre os rankings completos dos 772 municípios é 0,987 (1 km² contra 6,25 ha) e 0,987 (1 km² contra nenhum limiar). O limiar move apenas a estatística descritiva (a fatia de 54,3% “sem pressão”), não a ordenação, e o que era uma premissa frágil está documentado como resultado de robustez. O custo de remover o limiar também foi medido: 3.392 município-anos com desmatamento entre 0 e 1 km² ganhariam scores comparáveis ao quinto percentil dos casos reais. É injeção de ruído.</w:t>
      </w:r>
    </w:p>
    <w:p>
      <w:pPr>
        <w:ind w:firstLine="709"/>
      </w:pPr>
      <w:r>
        <w:rPr>
          <w:b/>
          <w:bCs/>
        </w:rPr>
        <w:t xml:space="preserve">Terceiro, a ordenação principal. </w:t>
      </w:r>
      <w:r>
        <w:t xml:space="preserve">O ranking ordena pela média do EGS ao longo dos 18 anos, com anos sem pressão entrando como zero. Essa média carrega uma identidade algébrica verificada nos dados à precisão de máquina: ela é exatamente o produto da severidade média nos anos com pressão pela fração de anos com pressão. O “score composto” de severidade e persistência que eu teria de inventar, e cuja ponderação eu não saberia defender, já estava dentro da média simples; bastava não escondê-lo. Severidade e frequência, medidas separadamente nos 552 municípios qualificados, correlacionam a 0,62 (Pearson); o top 10 por severidade pura e por média zero-preenchida coincidem em 9 de 10 posições.</w:t>
      </w:r>
    </w:p>
    <w:p>
      <w:pPr>
        <w:ind w:firstLine="709"/>
      </w:pPr>
      <w:r>
        <w:t xml:space="preserve">Essa decisão substituiu um desenho anterior baseado em sequências de anos consecutivos (“streaks”) e um score de prioridade ad hoc: descartados, não ajustados, quando ficou claro que “por que essa ponderação e não outra?” não tinha resposta defensável. O custo da substituição tem nome: </w:t>
      </w:r>
      <w:r>
        <w:rPr>
          <w:b/>
          <w:bCs/>
        </w:rPr>
        <w:t xml:space="preserve">Nova Nazaré (MT)</w:t>
      </w:r>
      <w:r>
        <w:t xml:space="preserve">, o município de maior severidade bruta do dataset (média 1,384 nos anos com pressão), com apenas 2 dos 18 anos sob pressão (episódios isolados de 11 km² em 2008 e 63 km² em 2017), sai do topo do ranking sob a média zero-preenchida (0,154). Um sistema de monitoramento de lacunas </w:t>
      </w:r>
      <w:r>
        <w:rPr>
          <w:i/>
          <w:iCs/>
        </w:rPr>
        <w:t xml:space="preserve">persistentes</w:t>
      </w:r>
      <w:r>
        <w:t xml:space="preserve"> rebaixa eventos pontuais por design; registro o caso como o exemplo trabalhado dessa escolha e do que ela deixa de ver.</w:t>
      </w:r>
    </w:p>
    <w:p>
      <w:pPr>
        <w:ind w:firstLine="709"/>
      </w:pPr>
      <w:r>
        <w:rPr>
          <w:b/>
          <w:bCs/>
        </w:rPr>
        <w:t xml:space="preserve">Quarto, as colunas de situação recente. </w:t>
      </w:r>
      <w:r>
        <w:t xml:space="preserve">A média dos últimos 3 anos e a inclinação (OLS) da série anual entram como colunas separadas, nunca fundidas num score, porque a fragilidade da inclinação foi medida: com poucos anos não-nulos, um evento único em 2024 produz slope +0,005 e dois eventos em 2008/2017 produzem −0,017: a distinção “problema novo vs. problema antigo encerrado” mora na segunda casa decimal. Por isso o slope é lido sempre ao lado do número de anos com pressão, como indicador de confiabilidade. E a própria deflação foi testada quanto ao efeito no ranking: corrige as magnitudes, mas quase não move posições (9/10 de sobreposição no top 10 nominal vs. deflacionado): o resultado não é artefato da correção monetária.</w:t>
      </w:r>
    </w:p>
    <w:p>
      <w:pPr>
        <w:ind w:firstLine="709"/>
      </w:pPr>
      <w:r>
        <w:t>Os eixos são os dois termos da fórmula, e não grandezas escolhidas por conveniência: no eixo horizontal o numerador, log10(1 + km² desmatados); no vertical o denominador, a média geométrica dos logaritmos de autos e de multas deflacionadas, com o mesmo piso de 1 que o pipeline aplica. Como o EGS é a razão entre os dois, as linhas de EGS constante são retas que passam pela origem, com inclinação 1/EGS, e as três tracejadas marcam EGS 0,25, 0,5 e 1. A figura é um nomograma do índice, não uma dispersão com uma referência escolhida à mão: a versão anterior cruzava desmatamento com o valor das multas contra uma diagonal fixa de R$ 100 mil por km², que a sexta auditoria já havia registrado como não sendo o lugar geométrico de EGS = 1. Três leituras dependem disso. O piso do denominador é uma linha visível, e os 106 municípios que repousam sobre ela, entre os 639 desenhados, são aqueles cuja resposta federal a fórmula trata como ausente; Governador Luiz Rocha, o caso-âncora de lacuna absoluta, está entre eles. Os 133 municípios cujo desmatamento acumulado arredonda a zero no período não aparecem, porque uma razão entre pressão e resposta não tem o que dizer onde não houve pressão. E o gráfico aplica a fórmula aos totais de dezoito anos, enquanto o índice publicado é a média das razões anuais com 0-fill: entre os 639 desenhados as duas ordenações concordam a um Spearman de 0,503, o que é fraco. A figura desenha a fórmula, não reproduz o ranking, e a diferença mede quanto a escolha de agregação pesa neste índice. A cor indica o tipo de lacuna dominante ao longo dos dezoito anos, com empates, 23 dos 772, resolvidos a favor da categoria mais grave, e os nomes destacam os seis casos-âncora discutidos no texto.</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05_loglog_scatter.png"/>
                    <pic:cNvPicPr/>
                  </pic:nvPicPr>
                  <pic:blipFill>
                    <a:blip r:embed="rId8"/>
                    <a:stretch>
                      <a:fillRect/>
                    </a:stretch>
                  </pic:blipFill>
                  <pic:spPr>
                    <a:xfrm>
                      <a:off x="0" y="0"/>
                      <a:ext cx="5486400" cy="4114800"/>
                    </a:xfrm>
                    <a:prstGeom prst="rect"/>
                  </pic:spPr>
                </pic:pic>
              </a:graphicData>
            </a:graphic>
          </wp:inline>
        </w:drawing>
      </w:r>
    </w:p>
    <w:p>
      <w:pPr>
        <w:jc w:val="center"/>
      </w:pPr>
      <w:r>
        <w:rPr>
          <w:i/>
          <w:color w:val="000000"/>
          <w:sz w:val="18"/>
        </w:rPr>
        <w:t>Figura 1. A fórmula do EGS desenhada: numerador (km² desmatados) contra denominador (média geométrica de log(1+autos) e log(1+multas)). As tracejadas são retas de EGS constante; abaixo de uma delas = lacuna maior que aquele valor. A horizontal em 1 é o piso do denominador, e os 106 municípios que repousam sobre ela têm resposta federal que a fórmula trata como ausente. Os seis nomes destacados reaparecem na figura 2.</w:t>
      </w:r>
    </w:p>
    <w:p>
      <w:pPr>
        <w:pStyle w:val="Heading1"/>
      </w:pPr>
      <w:r>
        <w:t xml:space="preserve">5. Validação</w:t>
      </w:r>
    </w:p>
    <w:p>
      <w:pPr>
        <w:ind w:firstLine="709"/>
      </w:pPr>
      <w:r>
        <w:t xml:space="preserve">Antes de qualquer leitura substantiva, o painel foi validado em quatro frentes. </w:t>
      </w:r>
      <w:r>
        <w:rPr>
          <w:b/>
          <w:bCs/>
        </w:rPr>
        <w:t xml:space="preserve">Estrutural: </w:t>
      </w:r>
      <w:r>
        <w:t xml:space="preserve">painel balanceado confirmado (772 × 18, sem lacunas), e a trajetória anual cruzada com a taxa oficial do INPE em quatro anos-âncora: 2008 +2,9%, 2012 −3,2%, 2024 −3,9% e 2025 −8,3%. Reporto os quatro desvios individualmente, sem um limiar de aprovação: as duas grandezas não são o mesmo objeto medido duas vezes (o painel soma o export municipal do TerraBrasilis e a taxa oficial é apurada por estado), então uma concordância de poucos pontos percentuais é o que se pode esperar, não um teste que se passa ou se falha. O desvio de 2025 é o maior, e o ano mais recente segue sujeito a revisão em atualizações posteriores do PRODES. Três correções de versões anteriores ficam registradas: a afirmação de concordância “&lt;5%” para os quatro âncoras era falsa para 2025; o valor de 2024 vinha sendo comparado à estimativa preliminar de 6.288 km², superada pela taxa consolidada de 6.518 km², o que move o desvio de −0,4% para −3,9%; e o de 2025 vinha sendo comparado à estimativa preliminar de 5.796 km², superada pela consolidada de 5.731 km², divulgada em março de 2026, o que move o desvio de −9,3% para −8,3%. </w:t>
      </w:r>
      <w:r>
        <w:rPr>
          <w:b/>
          <w:bCs/>
        </w:rPr>
        <w:t xml:space="preserve">Do cruzamento: </w:t>
      </w:r>
      <w:r>
        <w:t xml:space="preserve">o join por mesmo ano foi validado sobre os 60.707 autos: 59,2% casam com pressão material tanto no ano do auto quanto no anterior; 4,7% só no mesmo ano; apenas 1,0% casaria exclusivamente com defasagem de um ano; 35,1% nunca casam (parcela inflada por municípios fora da Amazônia Legal). O match same-year total é de 63,9%: contra 1,0% que a defasagem exclusiva capturaria. </w:t>
      </w:r>
      <w:r>
        <w:rPr>
          <w:b/>
          <w:bCs/>
        </w:rPr>
        <w:t xml:space="preserve">Entre implementações: </w:t>
      </w:r>
      <w:r>
        <w:t xml:space="preserve">os checkpoints centrais reproduzem entre R, SQL e uma reimplementação em Python: com a nota honesta de que a concordância do checkpoint de classificação é empírica (as duas operacionalizações diferem na margem e concordam porque os valores reais estão longe da fronteira). </w:t>
      </w:r>
      <w:r>
        <w:rPr>
          <w:b/>
          <w:bCs/>
        </w:rPr>
        <w:t xml:space="preserve">Externa: </w:t>
      </w:r>
      <w:r>
        <w:t xml:space="preserve">replicações adversariais independentes a partir dos brutos, a última reproduzindo os 56 valores esperados exatamente e reconstruindo em outro motor os coeficientes de painel.</w:t>
      </w:r>
    </w:p>
    <w:p>
      <w:pPr>
        <w:ind w:firstLine="709"/>
      </w:pPr>
      <w:r>
        <w:t xml:space="preserve">Uma limitação estrutural do cruzamento é dita abertamente: o “ano” do PRODES vai de agosto a julho (o calendário oficial do INPE), enquanto o ano do IBAMA aqui é civil: as janelas se sobrepõem em cerca de 7 de 12 meses, e a validação de lag acima foi computada na base de ano civil. Parte do que a análise chama de “lag” pode ser esse descompasso de calendário. Um leitor de sensoriamento remoto notaria; é melhor que o texto saiba disso antes dele.</w:t>
      </w:r>
    </w:p>
    <w:p>
      <w:pPr>
        <w:pStyle w:val="Heading1"/>
      </w:pPr>
      <w:r>
        <w:t xml:space="preserve">6. O que os dados mostram</w:t>
      </w:r>
    </w:p>
    <w:p>
      <w:pPr>
        <w:ind w:firstLine="709"/>
      </w:pPr>
      <w:r>
        <w:t xml:space="preserve">O ranking é liderado por municípios com pressão material em todos os 18 anos da série: nenhum caso de topo é episódio. Dezesseis dos vinte primeiros estão no Pará; os demais, no Maranhão e no Amazonas.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900"/>
        <w:gridCol w:w="900"/>
        <w:gridCol w:w="1100"/>
        <w:gridCol w:w="3900"/>
      </w:tblGrid>
      <w:tr>
        <w:trPr>
          <w:cantSplit/>
          <w:tblHeader/>
        </w:trPr>
        <w:tc>
          <w:tcPr>
            <w:tcW w:type="dxa" w:w="500"/>
            <w:shd w:fill="DDE5DC" w:val="clear"/>
            <w:tcMar>
              <w:top w:type="dxa" w:w="50"/>
              <w:left w:type="dxa" w:w="90"/>
              <w:bottom w:type="dxa" w:w="50"/>
              <w:right w:type="dxa" w:w="90"/>
            </w:tcMar>
          </w:tcPr>
          <w:p>
            <w:pPr>
              <w:spacing w:after="0"/>
            </w:pPr>
            <w:r>
              <w:rPr>
                <w:b/>
                <w:bCs/>
                <w:sz w:val="17"/>
                <w:szCs w:val="17"/>
              </w:rPr>
              <w:t xml:space="preserve">#</w:t>
            </w:r>
          </w:p>
        </w:tc>
        <w:tc>
          <w:tcPr>
            <w:tcW w:type="dxa" w:w="2400"/>
            <w:shd w:fill="DDE5DC" w:val="clear"/>
            <w:tcMar>
              <w:top w:type="dxa" w:w="50"/>
              <w:left w:type="dxa" w:w="90"/>
              <w:bottom w:type="dxa" w:w="50"/>
              <w:right w:type="dxa" w:w="90"/>
            </w:tcMar>
          </w:tcPr>
          <w:p>
            <w:pPr>
              <w:spacing w:after="0"/>
            </w:pPr>
            <w:r>
              <w:rPr>
                <w:b/>
                <w:bCs/>
                <w:sz w:val="17"/>
                <w:szCs w:val="17"/>
              </w:rPr>
              <w:t xml:space="preserve">Município (UF)</w:t>
            </w:r>
          </w:p>
        </w:tc>
        <w:tc>
          <w:tcPr>
            <w:tcW w:type="dxa" w:w="900"/>
            <w:shd w:fill="DDE5DC" w:val="clear"/>
            <w:tcMar>
              <w:top w:type="dxa" w:w="50"/>
              <w:left w:type="dxa" w:w="90"/>
              <w:bottom w:type="dxa" w:w="50"/>
              <w:right w:type="dxa" w:w="90"/>
            </w:tcMar>
          </w:tcPr>
          <w:p>
            <w:pPr>
              <w:spacing w:after="0"/>
            </w:pPr>
            <w:r>
              <w:rPr>
                <w:b/>
                <w:bCs/>
                <w:sz w:val="17"/>
                <w:szCs w:val="17"/>
              </w:rPr>
              <w:t xml:space="preserve">EGS 18a</w:t>
            </w:r>
          </w:p>
        </w:tc>
        <w:tc>
          <w:tcPr>
            <w:tcW w:type="dxa" w:w="900"/>
            <w:shd w:fill="DDE5DC" w:val="clear"/>
            <w:tcMar>
              <w:top w:type="dxa" w:w="50"/>
              <w:left w:type="dxa" w:w="90"/>
              <w:bottom w:type="dxa" w:w="50"/>
              <w:right w:type="dxa" w:w="90"/>
            </w:tcMar>
          </w:tcPr>
          <w:p>
            <w:pPr>
              <w:spacing w:after="0"/>
            </w:pPr>
            <w:r>
              <w:rPr>
                <w:b/>
                <w:bCs/>
                <w:sz w:val="17"/>
                <w:szCs w:val="17"/>
              </w:rPr>
              <w:t xml:space="preserve">EGS 3a</w:t>
            </w:r>
          </w:p>
        </w:tc>
        <w:tc>
          <w:tcPr>
            <w:tcW w:type="dxa" w:w="1100"/>
            <w:shd w:fill="DDE5DC" w:val="clear"/>
            <w:tcMar>
              <w:top w:type="dxa" w:w="50"/>
              <w:left w:type="dxa" w:w="90"/>
              <w:bottom w:type="dxa" w:w="50"/>
              <w:right w:type="dxa" w:w="90"/>
            </w:tcMar>
          </w:tcPr>
          <w:p>
            <w:pPr>
              <w:spacing w:after="0"/>
            </w:pPr>
            <w:r>
              <w:rPr>
                <w:b/>
                <w:bCs/>
                <w:sz w:val="17"/>
                <w:szCs w:val="17"/>
              </w:rPr>
              <w:t xml:space="preserve">Tendência</w:t>
            </w:r>
          </w:p>
        </w:tc>
        <w:tc>
          <w:tcPr>
            <w:tcW w:type="dxa" w:w="3900"/>
            <w:shd w:fill="DDE5DC" w:val="clear"/>
            <w:tcMar>
              <w:top w:type="dxa" w:w="50"/>
              <w:left w:type="dxa" w:w="90"/>
              <w:bottom w:type="dxa" w:w="50"/>
              <w:right w:type="dxa" w:w="90"/>
            </w:tcMar>
          </w:tcPr>
          <w:p>
            <w:pPr>
              <w:spacing w:after="0"/>
            </w:pPr>
            <w:r>
              <w:rPr>
                <w:b/>
                <w:bCs/>
                <w:sz w:val="17"/>
                <w:szCs w:val="17"/>
              </w:rPr>
              <w:t xml:space="preserve">Perfil</w:t>
            </w:r>
          </w:p>
        </w:tc>
      </w:tr>
      <w:tr>
        <w:tc>
          <w:tcPr>
            <w:tcW w:type="dxa" w:w="500"/>
            <w:tcMar>
              <w:top w:type="dxa" w:w="40"/>
              <w:left w:type="dxa" w:w="90"/>
              <w:bottom w:type="dxa" w:w="40"/>
              <w:right w:type="dxa" w:w="90"/>
            </w:tcMar>
          </w:tcPr>
          <w:p>
            <w:pPr>
              <w:spacing w:after="0"/>
            </w:pPr>
            <w:r>
              <w:rPr>
                <w:sz w:val="17"/>
                <w:szCs w:val="17"/>
              </w:rPr>
              <w:t xml:space="preserve">1</w:t>
            </w:r>
          </w:p>
        </w:tc>
        <w:tc>
          <w:tcPr>
            <w:tcW w:type="dxa" w:w="2400"/>
            <w:tcMar>
              <w:top w:type="dxa" w:w="40"/>
              <w:left w:type="dxa" w:w="90"/>
              <w:bottom w:type="dxa" w:w="40"/>
              <w:right w:type="dxa" w:w="90"/>
            </w:tcMar>
          </w:tcPr>
          <w:p>
            <w:pPr>
              <w:spacing w:after="0"/>
            </w:pPr>
            <w:r>
              <w:rPr>
                <w:sz w:val="17"/>
                <w:szCs w:val="17"/>
              </w:rPr>
              <w:t xml:space="preserve">Cachoeira do Piriá (PA)</w:t>
            </w:r>
          </w:p>
        </w:tc>
        <w:tc>
          <w:tcPr>
            <w:tcW w:type="dxa" w:w="900"/>
            <w:tcMar>
              <w:top w:type="dxa" w:w="40"/>
              <w:left w:type="dxa" w:w="90"/>
              <w:bottom w:type="dxa" w:w="40"/>
              <w:right w:type="dxa" w:w="90"/>
            </w:tcMar>
          </w:tcPr>
          <w:p>
            <w:pPr>
              <w:spacing w:after="0"/>
            </w:pPr>
            <w:r>
              <w:rPr>
                <w:sz w:val="17"/>
                <w:szCs w:val="17"/>
              </w:rPr>
              <w:t xml:space="preserve">1,179</w:t>
            </w:r>
          </w:p>
        </w:tc>
        <w:tc>
          <w:tcPr>
            <w:tcW w:type="dxa" w:w="900"/>
            <w:tcMar>
              <w:top w:type="dxa" w:w="40"/>
              <w:left w:type="dxa" w:w="90"/>
              <w:bottom w:type="dxa" w:w="40"/>
              <w:right w:type="dxa" w:w="90"/>
            </w:tcMar>
          </w:tcPr>
          <w:p>
            <w:pPr>
              <w:spacing w:after="0"/>
            </w:pPr>
            <w:r>
              <w:rPr>
                <w:sz w:val="17"/>
                <w:szCs w:val="17"/>
              </w:rPr>
              <w:t xml:space="preserve">1,228</w:t>
            </w:r>
          </w:p>
        </w:tc>
        <w:tc>
          <w:tcPr>
            <w:tcW w:type="dxa" w:w="1100"/>
            <w:tcMar>
              <w:top w:type="dxa" w:w="40"/>
              <w:left w:type="dxa" w:w="90"/>
              <w:bottom w:type="dxa" w:w="40"/>
              <w:right w:type="dxa" w:w="90"/>
            </w:tcMar>
          </w:tcPr>
          <w:p>
            <w:pPr>
              <w:spacing w:after="0"/>
            </w:pPr>
            <w:r>
              <w:rPr>
                <w:sz w:val="17"/>
                <w:szCs w:val="17"/>
              </w:rPr>
              <w:t xml:space="preserve">−0,010</w:t>
            </w:r>
          </w:p>
        </w:tc>
        <w:tc>
          <w:tcPr>
            <w:tcW w:type="dxa" w:w="3900"/>
            <w:tcMar>
              <w:top w:type="dxa" w:w="40"/>
              <w:left w:type="dxa" w:w="90"/>
              <w:bottom w:type="dxa" w:w="40"/>
              <w:right w:type="dxa" w:w="90"/>
            </w:tcMar>
          </w:tcPr>
          <w:p>
            <w:pPr>
              <w:spacing w:after="0"/>
            </w:pPr>
            <w:r>
              <w:rPr>
                <w:sz w:val="17"/>
                <w:szCs w:val="17"/>
              </w:rPr>
              <w:t xml:space="preserve">410 km² vs 13 autos/R$4,3M; 13/18 anos sem multa</w:t>
            </w:r>
          </w:p>
        </w:tc>
      </w:tr>
      <w:tr>
        <w:tc>
          <w:tcPr>
            <w:tcW w:type="dxa" w:w="500"/>
            <w:tcMar>
              <w:top w:type="dxa" w:w="40"/>
              <w:left w:type="dxa" w:w="90"/>
              <w:bottom w:type="dxa" w:w="40"/>
              <w:right w:type="dxa" w:w="90"/>
            </w:tcMar>
          </w:tcPr>
          <w:p>
            <w:pPr>
              <w:spacing w:after="0"/>
            </w:pPr>
            <w:r>
              <w:rPr>
                <w:sz w:val="17"/>
                <w:szCs w:val="17"/>
              </w:rPr>
              <w:t xml:space="preserve">2</w:t>
            </w:r>
          </w:p>
        </w:tc>
        <w:tc>
          <w:tcPr>
            <w:tcW w:type="dxa" w:w="2400"/>
            <w:tcMar>
              <w:top w:type="dxa" w:w="40"/>
              <w:left w:type="dxa" w:w="90"/>
              <w:bottom w:type="dxa" w:w="40"/>
              <w:right w:type="dxa" w:w="90"/>
            </w:tcMar>
          </w:tcPr>
          <w:p>
            <w:pPr>
              <w:spacing w:after="0"/>
            </w:pPr>
            <w:r>
              <w:rPr>
                <w:sz w:val="17"/>
                <w:szCs w:val="17"/>
              </w:rPr>
              <w:t xml:space="preserve">Porto de Moz (PA)</w:t>
            </w:r>
          </w:p>
        </w:tc>
        <w:tc>
          <w:tcPr>
            <w:tcW w:type="dxa" w:w="900"/>
            <w:tcMar>
              <w:top w:type="dxa" w:w="40"/>
              <w:left w:type="dxa" w:w="90"/>
              <w:bottom w:type="dxa" w:w="40"/>
              <w:right w:type="dxa" w:w="90"/>
            </w:tcMar>
          </w:tcPr>
          <w:p>
            <w:pPr>
              <w:spacing w:after="0"/>
            </w:pPr>
            <w:r>
              <w:rPr>
                <w:sz w:val="17"/>
                <w:szCs w:val="17"/>
              </w:rPr>
              <w:t xml:space="preserve">1,175</w:t>
            </w:r>
          </w:p>
        </w:tc>
        <w:tc>
          <w:tcPr>
            <w:tcW w:type="dxa" w:w="900"/>
            <w:tcMar>
              <w:top w:type="dxa" w:w="40"/>
              <w:left w:type="dxa" w:w="90"/>
              <w:bottom w:type="dxa" w:w="40"/>
              <w:right w:type="dxa" w:w="90"/>
            </w:tcMar>
          </w:tcPr>
          <w:p>
            <w:pPr>
              <w:spacing w:after="0"/>
            </w:pPr>
            <w:r>
              <w:rPr>
                <w:sz w:val="17"/>
                <w:szCs w:val="17"/>
              </w:rPr>
              <w:t xml:space="preserve">0,930</w:t>
            </w:r>
          </w:p>
        </w:tc>
        <w:tc>
          <w:tcPr>
            <w:tcW w:type="dxa" w:w="1100"/>
            <w:tcMar>
              <w:top w:type="dxa" w:w="40"/>
              <w:left w:type="dxa" w:w="90"/>
              <w:bottom w:type="dxa" w:w="40"/>
              <w:right w:type="dxa" w:w="90"/>
            </w:tcMar>
          </w:tcPr>
          <w:p>
            <w:pPr>
              <w:spacing w:after="0"/>
            </w:pPr>
            <w:r>
              <w:rPr>
                <w:sz w:val="17"/>
                <w:szCs w:val="17"/>
              </w:rPr>
              <w:t xml:space="preserve">−0,014</w:t>
            </w:r>
          </w:p>
        </w:tc>
        <w:tc>
          <w:tcPr>
            <w:tcW w:type="dxa" w:w="3900"/>
            <w:tcMar>
              <w:top w:type="dxa" w:w="40"/>
              <w:left w:type="dxa" w:w="90"/>
              <w:bottom w:type="dxa" w:w="40"/>
              <w:right w:type="dxa" w:w="90"/>
            </w:tcMar>
          </w:tcPr>
          <w:p>
            <w:pPr>
              <w:spacing w:after="0"/>
            </w:pPr>
            <w:r>
              <w:rPr>
                <w:sz w:val="17"/>
                <w:szCs w:val="17"/>
              </w:rPr>
              <w:t xml:space="preserve">501 km² vs 28 autos/R$21,6M; melhora recente</w:t>
            </w:r>
          </w:p>
        </w:tc>
      </w:tr>
      <w:tr>
        <w:tc>
          <w:tcPr>
            <w:tcW w:type="dxa" w:w="500"/>
            <w:tcMar>
              <w:top w:type="dxa" w:w="40"/>
              <w:left w:type="dxa" w:w="90"/>
              <w:bottom w:type="dxa" w:w="40"/>
              <w:right w:type="dxa" w:w="90"/>
            </w:tcMar>
          </w:tcPr>
          <w:p>
            <w:pPr>
              <w:spacing w:after="0"/>
            </w:pPr>
            <w:r>
              <w:rPr>
                <w:sz w:val="17"/>
                <w:szCs w:val="17"/>
              </w:rPr>
              <w:t xml:space="preserve">3</w:t>
            </w:r>
          </w:p>
        </w:tc>
        <w:tc>
          <w:tcPr>
            <w:tcW w:type="dxa" w:w="2400"/>
            <w:tcMar>
              <w:top w:type="dxa" w:w="40"/>
              <w:left w:type="dxa" w:w="90"/>
              <w:bottom w:type="dxa" w:w="40"/>
              <w:right w:type="dxa" w:w="90"/>
            </w:tcMar>
          </w:tcPr>
          <w:p>
            <w:pPr>
              <w:spacing w:after="0"/>
            </w:pPr>
            <w:r>
              <w:rPr>
                <w:sz w:val="17"/>
                <w:szCs w:val="17"/>
              </w:rPr>
              <w:t xml:space="preserve">Monte Alegre (PA)</w:t>
            </w:r>
          </w:p>
        </w:tc>
        <w:tc>
          <w:tcPr>
            <w:tcW w:type="dxa" w:w="900"/>
            <w:tcMar>
              <w:top w:type="dxa" w:w="40"/>
              <w:left w:type="dxa" w:w="90"/>
              <w:bottom w:type="dxa" w:w="40"/>
              <w:right w:type="dxa" w:w="90"/>
            </w:tcMar>
          </w:tcPr>
          <w:p>
            <w:pPr>
              <w:spacing w:after="0"/>
            </w:pPr>
            <w:r>
              <w:rPr>
                <w:sz w:val="17"/>
                <w:szCs w:val="17"/>
              </w:rPr>
              <w:t xml:space="preserve">1,109</w:t>
            </w:r>
          </w:p>
        </w:tc>
        <w:tc>
          <w:tcPr>
            <w:tcW w:type="dxa" w:w="900"/>
            <w:tcMar>
              <w:top w:type="dxa" w:w="40"/>
              <w:left w:type="dxa" w:w="90"/>
              <w:bottom w:type="dxa" w:w="40"/>
              <w:right w:type="dxa" w:w="90"/>
            </w:tcMar>
          </w:tcPr>
          <w:p>
            <w:pPr>
              <w:spacing w:after="0"/>
            </w:pPr>
            <w:r>
              <w:rPr>
                <w:sz w:val="17"/>
                <w:szCs w:val="17"/>
              </w:rPr>
              <w:t xml:space="preserve">0,882</w:t>
            </w:r>
          </w:p>
        </w:tc>
        <w:tc>
          <w:tcPr>
            <w:tcW w:type="dxa" w:w="1100"/>
            <w:tcMar>
              <w:top w:type="dxa" w:w="40"/>
              <w:left w:type="dxa" w:w="90"/>
              <w:bottom w:type="dxa" w:w="40"/>
              <w:right w:type="dxa" w:w="90"/>
            </w:tcMar>
          </w:tcPr>
          <w:p>
            <w:pPr>
              <w:spacing w:after="0"/>
            </w:pPr>
            <w:r>
              <w:rPr>
                <w:sz w:val="17"/>
                <w:szCs w:val="17"/>
              </w:rPr>
              <w:t xml:space="preserve">+0,005</w:t>
            </w:r>
          </w:p>
        </w:tc>
        <w:tc>
          <w:tcPr>
            <w:tcW w:type="dxa" w:w="3900"/>
            <w:tcMar>
              <w:top w:type="dxa" w:w="40"/>
              <w:left w:type="dxa" w:w="90"/>
              <w:bottom w:type="dxa" w:w="40"/>
              <w:right w:type="dxa" w:w="90"/>
            </w:tcMar>
          </w:tcPr>
          <w:p>
            <w:pPr>
              <w:spacing w:after="0"/>
            </w:pPr>
            <w:r>
              <w:rPr>
                <w:sz w:val="17"/>
                <w:szCs w:val="17"/>
              </w:rPr>
              <w:t xml:space="preserve">Baixo Amazonas/Calha Norte</w:t>
            </w:r>
          </w:p>
        </w:tc>
      </w:tr>
      <w:tr>
        <w:tc>
          <w:tcPr>
            <w:tcW w:type="dxa" w:w="500"/>
            <w:tcMar>
              <w:top w:type="dxa" w:w="40"/>
              <w:left w:type="dxa" w:w="90"/>
              <w:bottom w:type="dxa" w:w="40"/>
              <w:right w:type="dxa" w:w="90"/>
            </w:tcMar>
          </w:tcPr>
          <w:p>
            <w:pPr>
              <w:spacing w:after="0"/>
            </w:pPr>
            <w:r>
              <w:rPr>
                <w:sz w:val="17"/>
                <w:szCs w:val="17"/>
              </w:rPr>
              <w:t xml:space="preserve">4</w:t>
            </w:r>
          </w:p>
        </w:tc>
        <w:tc>
          <w:tcPr>
            <w:tcW w:type="dxa" w:w="2400"/>
            <w:tcMar>
              <w:top w:type="dxa" w:w="40"/>
              <w:left w:type="dxa" w:w="90"/>
              <w:bottom w:type="dxa" w:w="40"/>
              <w:right w:type="dxa" w:w="90"/>
            </w:tcMar>
          </w:tcPr>
          <w:p>
            <w:pPr>
              <w:spacing w:after="0"/>
            </w:pPr>
            <w:r>
              <w:rPr>
                <w:sz w:val="17"/>
                <w:szCs w:val="17"/>
              </w:rPr>
              <w:t xml:space="preserve">Aveiro (PA)</w:t>
            </w:r>
          </w:p>
        </w:tc>
        <w:tc>
          <w:tcPr>
            <w:tcW w:type="dxa" w:w="900"/>
            <w:tcMar>
              <w:top w:type="dxa" w:w="40"/>
              <w:left w:type="dxa" w:w="90"/>
              <w:bottom w:type="dxa" w:w="40"/>
              <w:right w:type="dxa" w:w="90"/>
            </w:tcMar>
          </w:tcPr>
          <w:p>
            <w:pPr>
              <w:spacing w:after="0"/>
            </w:pPr>
            <w:r>
              <w:rPr>
                <w:sz w:val="17"/>
                <w:szCs w:val="17"/>
              </w:rPr>
              <w:t xml:space="preserve">1,109</w:t>
            </w:r>
          </w:p>
        </w:tc>
        <w:tc>
          <w:tcPr>
            <w:tcW w:type="dxa" w:w="900"/>
            <w:tcMar>
              <w:top w:type="dxa" w:w="40"/>
              <w:left w:type="dxa" w:w="90"/>
              <w:bottom w:type="dxa" w:w="40"/>
              <w:right w:type="dxa" w:w="90"/>
            </w:tcMar>
          </w:tcPr>
          <w:p>
            <w:pPr>
              <w:spacing w:after="0"/>
            </w:pPr>
            <w:r>
              <w:rPr>
                <w:sz w:val="17"/>
                <w:szCs w:val="17"/>
              </w:rPr>
              <w:t xml:space="preserve">1,508</w:t>
            </w:r>
          </w:p>
        </w:tc>
        <w:tc>
          <w:tcPr>
            <w:tcW w:type="dxa" w:w="1100"/>
            <w:tcMar>
              <w:top w:type="dxa" w:w="40"/>
              <w:left w:type="dxa" w:w="90"/>
              <w:bottom w:type="dxa" w:w="40"/>
              <w:right w:type="dxa" w:w="90"/>
            </w:tcMar>
          </w:tcPr>
          <w:p>
            <w:pPr>
              <w:spacing w:after="0"/>
            </w:pPr>
            <w:r>
              <w:rPr>
                <w:sz w:val="17"/>
                <w:szCs w:val="17"/>
              </w:rPr>
              <w:t xml:space="preserve">+0,042</w:t>
            </w:r>
          </w:p>
        </w:tc>
        <w:tc>
          <w:tcPr>
            <w:tcW w:type="dxa" w:w="3900"/>
            <w:tcMar>
              <w:top w:type="dxa" w:w="40"/>
              <w:left w:type="dxa" w:w="90"/>
              <w:bottom w:type="dxa" w:w="40"/>
              <w:right w:type="dxa" w:w="90"/>
            </w:tcMar>
          </w:tcPr>
          <w:p>
            <w:pPr>
              <w:spacing w:after="0"/>
            </w:pPr>
            <w:r>
              <w:rPr>
                <w:sz w:val="17"/>
                <w:szCs w:val="17"/>
              </w:rPr>
              <w:t xml:space="preserve">pior deterioração corrente do top 20</w:t>
            </w:r>
          </w:p>
        </w:tc>
      </w:tr>
      <w:tr>
        <w:tc>
          <w:tcPr>
            <w:tcW w:type="dxa" w:w="500"/>
            <w:tcMar>
              <w:top w:type="dxa" w:w="40"/>
              <w:left w:type="dxa" w:w="90"/>
              <w:bottom w:type="dxa" w:w="40"/>
              <w:right w:type="dxa" w:w="90"/>
            </w:tcMar>
          </w:tcPr>
          <w:p>
            <w:pPr>
              <w:spacing w:after="0"/>
            </w:pPr>
            <w:r>
              <w:rPr>
                <w:sz w:val="17"/>
                <w:szCs w:val="17"/>
              </w:rPr>
              <w:t xml:space="preserve">5</w:t>
            </w:r>
          </w:p>
        </w:tc>
        <w:tc>
          <w:tcPr>
            <w:tcW w:type="dxa" w:w="2400"/>
            <w:tcMar>
              <w:top w:type="dxa" w:w="40"/>
              <w:left w:type="dxa" w:w="90"/>
              <w:bottom w:type="dxa" w:w="40"/>
              <w:right w:type="dxa" w:w="90"/>
            </w:tcMar>
          </w:tcPr>
          <w:p>
            <w:pPr>
              <w:spacing w:after="0"/>
            </w:pPr>
            <w:r>
              <w:rPr>
                <w:sz w:val="17"/>
                <w:szCs w:val="17"/>
              </w:rPr>
              <w:t xml:space="preserve">Alenquer (PA)</w:t>
            </w:r>
          </w:p>
        </w:tc>
        <w:tc>
          <w:tcPr>
            <w:tcW w:type="dxa" w:w="900"/>
            <w:tcMar>
              <w:top w:type="dxa" w:w="40"/>
              <w:left w:type="dxa" w:w="90"/>
              <w:bottom w:type="dxa" w:w="40"/>
              <w:right w:type="dxa" w:w="90"/>
            </w:tcMar>
          </w:tcPr>
          <w:p>
            <w:pPr>
              <w:spacing w:after="0"/>
            </w:pPr>
            <w:r>
              <w:rPr>
                <w:sz w:val="17"/>
                <w:szCs w:val="17"/>
              </w:rPr>
              <w:t xml:space="preserve">1,107</w:t>
            </w:r>
          </w:p>
        </w:tc>
        <w:tc>
          <w:tcPr>
            <w:tcW w:type="dxa" w:w="900"/>
            <w:tcMar>
              <w:top w:type="dxa" w:w="40"/>
              <w:left w:type="dxa" w:w="90"/>
              <w:bottom w:type="dxa" w:w="40"/>
              <w:right w:type="dxa" w:w="90"/>
            </w:tcMar>
          </w:tcPr>
          <w:p>
            <w:pPr>
              <w:spacing w:after="0"/>
            </w:pPr>
            <w:r>
              <w:rPr>
                <w:sz w:val="17"/>
                <w:szCs w:val="17"/>
              </w:rPr>
              <w:t xml:space="preserve">1,306</w:t>
            </w:r>
          </w:p>
        </w:tc>
        <w:tc>
          <w:tcPr>
            <w:tcW w:type="dxa" w:w="1100"/>
            <w:tcMar>
              <w:top w:type="dxa" w:w="40"/>
              <w:left w:type="dxa" w:w="90"/>
              <w:bottom w:type="dxa" w:w="40"/>
              <w:right w:type="dxa" w:w="90"/>
            </w:tcMar>
          </w:tcPr>
          <w:p>
            <w:pPr>
              <w:spacing w:after="0"/>
            </w:pPr>
            <w:r>
              <w:rPr>
                <w:sz w:val="17"/>
                <w:szCs w:val="17"/>
              </w:rPr>
              <w:t xml:space="preserve">+0,027</w:t>
            </w:r>
          </w:p>
        </w:tc>
        <w:tc>
          <w:tcPr>
            <w:tcW w:type="dxa" w:w="3900"/>
            <w:tcMar>
              <w:top w:type="dxa" w:w="40"/>
              <w:left w:type="dxa" w:w="90"/>
              <w:bottom w:type="dxa" w:w="40"/>
              <w:right w:type="dxa" w:w="90"/>
            </w:tcMar>
          </w:tcPr>
          <w:p>
            <w:pPr>
              <w:spacing w:after="0"/>
            </w:pPr>
            <w:r>
              <w:rPr>
                <w:sz w:val="17"/>
                <w:szCs w:val="17"/>
              </w:rPr>
              <w:t xml:space="preserve">mesma geografia de concessões florestais</w:t>
            </w:r>
          </w:p>
        </w:tc>
      </w:tr>
      <w:tr>
        <w:tc>
          <w:tcPr>
            <w:tcW w:type="dxa" w:w="500"/>
            <w:tcMar>
              <w:top w:type="dxa" w:w="40"/>
              <w:left w:type="dxa" w:w="90"/>
              <w:bottom w:type="dxa" w:w="40"/>
              <w:right w:type="dxa" w:w="90"/>
            </w:tcMar>
          </w:tcPr>
          <w:p>
            <w:pPr>
              <w:spacing w:after="0"/>
            </w:pPr>
            <w:r>
              <w:rPr>
                <w:sz w:val="17"/>
                <w:szCs w:val="17"/>
              </w:rPr>
              <w:t xml:space="preserve">6</w:t>
            </w:r>
          </w:p>
        </w:tc>
        <w:tc>
          <w:tcPr>
            <w:tcW w:type="dxa" w:w="2400"/>
            <w:tcMar>
              <w:top w:type="dxa" w:w="40"/>
              <w:left w:type="dxa" w:w="90"/>
              <w:bottom w:type="dxa" w:w="40"/>
              <w:right w:type="dxa" w:w="90"/>
            </w:tcMar>
          </w:tcPr>
          <w:p>
            <w:pPr>
              <w:spacing w:after="0"/>
            </w:pPr>
            <w:r>
              <w:rPr>
                <w:sz w:val="17"/>
                <w:szCs w:val="17"/>
              </w:rPr>
              <w:t xml:space="preserve">Arame (MA)</w:t>
            </w:r>
          </w:p>
        </w:tc>
        <w:tc>
          <w:tcPr>
            <w:tcW w:type="dxa" w:w="900"/>
            <w:tcMar>
              <w:top w:type="dxa" w:w="40"/>
              <w:left w:type="dxa" w:w="90"/>
              <w:bottom w:type="dxa" w:w="40"/>
              <w:right w:type="dxa" w:w="90"/>
            </w:tcMar>
          </w:tcPr>
          <w:p>
            <w:pPr>
              <w:spacing w:after="0"/>
            </w:pPr>
            <w:r>
              <w:rPr>
                <w:sz w:val="17"/>
                <w:szCs w:val="17"/>
              </w:rPr>
              <w:t xml:space="preserve">1,078</w:t>
            </w:r>
          </w:p>
        </w:tc>
        <w:tc>
          <w:tcPr>
            <w:tcW w:type="dxa" w:w="900"/>
            <w:tcMar>
              <w:top w:type="dxa" w:w="40"/>
              <w:left w:type="dxa" w:w="90"/>
              <w:bottom w:type="dxa" w:w="40"/>
              <w:right w:type="dxa" w:w="90"/>
            </w:tcMar>
          </w:tcPr>
          <w:p>
            <w:pPr>
              <w:spacing w:after="0"/>
            </w:pPr>
            <w:r>
              <w:rPr>
                <w:sz w:val="17"/>
                <w:szCs w:val="17"/>
              </w:rPr>
              <w:t xml:space="preserve">0,722</w:t>
            </w:r>
          </w:p>
        </w:tc>
        <w:tc>
          <w:tcPr>
            <w:tcW w:type="dxa" w:w="1100"/>
            <w:tcMar>
              <w:top w:type="dxa" w:w="40"/>
              <w:left w:type="dxa" w:w="90"/>
              <w:bottom w:type="dxa" w:w="40"/>
              <w:right w:type="dxa" w:w="90"/>
            </w:tcMar>
          </w:tcPr>
          <w:p>
            <w:pPr>
              <w:spacing w:after="0"/>
            </w:pPr>
            <w:r>
              <w:rPr>
                <w:sz w:val="17"/>
                <w:szCs w:val="17"/>
              </w:rPr>
              <w:t xml:space="preserve">−0,033</w:t>
            </w:r>
          </w:p>
        </w:tc>
        <w:tc>
          <w:tcPr>
            <w:tcW w:type="dxa" w:w="3900"/>
            <w:tcMar>
              <w:top w:type="dxa" w:w="40"/>
              <w:left w:type="dxa" w:w="90"/>
              <w:bottom w:type="dxa" w:w="40"/>
              <w:right w:type="dxa" w:w="90"/>
            </w:tcMar>
          </w:tcPr>
          <w:p>
            <w:pPr>
              <w:spacing w:after="0"/>
            </w:pPr>
            <w:r>
              <w:rPr>
                <w:sz w:val="17"/>
                <w:szCs w:val="17"/>
              </w:rPr>
              <w:t xml:space="preserve">lacuna antiga e profunda, em melhora</w:t>
            </w:r>
          </w:p>
        </w:tc>
      </w:tr>
      <w:tr>
        <w:tc>
          <w:tcPr>
            <w:tcW w:type="dxa" w:w="500"/>
            <w:tcMar>
              <w:top w:type="dxa" w:w="40"/>
              <w:left w:type="dxa" w:w="90"/>
              <w:bottom w:type="dxa" w:w="40"/>
              <w:right w:type="dxa" w:w="90"/>
            </w:tcMar>
          </w:tcPr>
          <w:p>
            <w:pPr>
              <w:spacing w:after="0"/>
            </w:pPr>
            <w:r>
              <w:rPr>
                <w:sz w:val="17"/>
                <w:szCs w:val="17"/>
              </w:rPr>
              <w:t xml:space="preserve">9</w:t>
            </w:r>
          </w:p>
        </w:tc>
        <w:tc>
          <w:tcPr>
            <w:tcW w:type="dxa" w:w="2400"/>
            <w:tcMar>
              <w:top w:type="dxa" w:w="40"/>
              <w:left w:type="dxa" w:w="90"/>
              <w:bottom w:type="dxa" w:w="40"/>
              <w:right w:type="dxa" w:w="90"/>
            </w:tcMar>
          </w:tcPr>
          <w:p>
            <w:pPr>
              <w:spacing w:after="0"/>
            </w:pPr>
            <w:r>
              <w:rPr>
                <w:sz w:val="17"/>
                <w:szCs w:val="17"/>
              </w:rPr>
              <w:t xml:space="preserve">Maués (AM)</w:t>
            </w:r>
          </w:p>
        </w:tc>
        <w:tc>
          <w:tcPr>
            <w:tcW w:type="dxa" w:w="900"/>
            <w:tcMar>
              <w:top w:type="dxa" w:w="40"/>
              <w:left w:type="dxa" w:w="90"/>
              <w:bottom w:type="dxa" w:w="40"/>
              <w:right w:type="dxa" w:w="90"/>
            </w:tcMar>
          </w:tcPr>
          <w:p>
            <w:pPr>
              <w:spacing w:after="0"/>
            </w:pPr>
            <w:r>
              <w:rPr>
                <w:sz w:val="17"/>
                <w:szCs w:val="17"/>
              </w:rPr>
              <w:t xml:space="preserve">1,036</w:t>
            </w:r>
          </w:p>
        </w:tc>
        <w:tc>
          <w:tcPr>
            <w:tcW w:type="dxa" w:w="900"/>
            <w:tcMar>
              <w:top w:type="dxa" w:w="40"/>
              <w:left w:type="dxa" w:w="90"/>
              <w:bottom w:type="dxa" w:w="40"/>
              <w:right w:type="dxa" w:w="90"/>
            </w:tcMar>
          </w:tcPr>
          <w:p>
            <w:pPr>
              <w:spacing w:after="0"/>
            </w:pPr>
            <w:r>
              <w:rPr>
                <w:sz w:val="17"/>
                <w:szCs w:val="17"/>
              </w:rPr>
              <w:t xml:space="preserve">0,884</w:t>
            </w:r>
          </w:p>
        </w:tc>
        <w:tc>
          <w:tcPr>
            <w:tcW w:type="dxa" w:w="1100"/>
            <w:tcMar>
              <w:top w:type="dxa" w:w="40"/>
              <w:left w:type="dxa" w:w="90"/>
              <w:bottom w:type="dxa" w:w="40"/>
              <w:right w:type="dxa" w:w="90"/>
            </w:tcMar>
          </w:tcPr>
          <w:p>
            <w:pPr>
              <w:spacing w:after="0"/>
            </w:pPr>
            <w:r>
              <w:rPr>
                <w:sz w:val="17"/>
                <w:szCs w:val="17"/>
              </w:rPr>
              <w:t xml:space="preserve">+0,017</w:t>
            </w:r>
          </w:p>
        </w:tc>
        <w:tc>
          <w:tcPr>
            <w:tcW w:type="dxa" w:w="3900"/>
            <w:tcMar>
              <w:top w:type="dxa" w:w="40"/>
              <w:left w:type="dxa" w:w="90"/>
              <w:bottom w:type="dxa" w:w="40"/>
              <w:right w:type="dxa" w:w="90"/>
            </w:tcMar>
          </w:tcPr>
          <w:p>
            <w:pPr>
              <w:spacing w:after="0"/>
            </w:pPr>
            <w:r>
              <w:rPr>
                <w:sz w:val="17"/>
                <w:szCs w:val="17"/>
              </w:rPr>
              <w:t xml:space="preserve">alvo explícito de operação estadual em 2025</w:t>
            </w:r>
          </w:p>
        </w:tc>
      </w:tr>
      <w:tr>
        <w:tc>
          <w:tcPr>
            <w:tcW w:type="dxa" w:w="500"/>
            <w:tcMar>
              <w:top w:type="dxa" w:w="40"/>
              <w:left w:type="dxa" w:w="90"/>
              <w:bottom w:type="dxa" w:w="40"/>
              <w:right w:type="dxa" w:w="90"/>
            </w:tcMar>
          </w:tcPr>
          <w:p>
            <w:pPr>
              <w:spacing w:after="0"/>
            </w:pPr>
            <w:r>
              <w:rPr>
                <w:sz w:val="17"/>
                <w:szCs w:val="17"/>
              </w:rPr>
              <w:t xml:space="preserve">12</w:t>
            </w:r>
          </w:p>
        </w:tc>
        <w:tc>
          <w:tcPr>
            <w:tcW w:type="dxa" w:w="2400"/>
            <w:tcMar>
              <w:top w:type="dxa" w:w="40"/>
              <w:left w:type="dxa" w:w="90"/>
              <w:bottom w:type="dxa" w:w="40"/>
              <w:right w:type="dxa" w:w="90"/>
            </w:tcMar>
          </w:tcPr>
          <w:p>
            <w:pPr>
              <w:spacing w:after="0"/>
            </w:pPr>
            <w:r>
              <w:rPr>
                <w:sz w:val="17"/>
                <w:szCs w:val="17"/>
              </w:rPr>
              <w:t xml:space="preserve">Cumaru do Norte (PA)</w:t>
            </w:r>
          </w:p>
        </w:tc>
        <w:tc>
          <w:tcPr>
            <w:tcW w:type="dxa" w:w="900"/>
            <w:tcMar>
              <w:top w:type="dxa" w:w="40"/>
              <w:left w:type="dxa" w:w="90"/>
              <w:bottom w:type="dxa" w:w="40"/>
              <w:right w:type="dxa" w:w="90"/>
            </w:tcMar>
          </w:tcPr>
          <w:p>
            <w:pPr>
              <w:spacing w:after="0"/>
            </w:pPr>
            <w:r>
              <w:rPr>
                <w:sz w:val="17"/>
                <w:szCs w:val="17"/>
              </w:rPr>
              <w:t xml:space="preserve">1,000</w:t>
            </w:r>
          </w:p>
        </w:tc>
        <w:tc>
          <w:tcPr>
            <w:tcW w:type="dxa" w:w="900"/>
            <w:tcMar>
              <w:top w:type="dxa" w:w="40"/>
              <w:left w:type="dxa" w:w="90"/>
              <w:bottom w:type="dxa" w:w="40"/>
              <w:right w:type="dxa" w:w="90"/>
            </w:tcMar>
          </w:tcPr>
          <w:p>
            <w:pPr>
              <w:spacing w:after="0"/>
            </w:pPr>
            <w:r>
              <w:rPr>
                <w:sz w:val="17"/>
                <w:szCs w:val="17"/>
              </w:rPr>
              <w:t xml:space="preserve">1,223</w:t>
            </w:r>
          </w:p>
        </w:tc>
        <w:tc>
          <w:tcPr>
            <w:tcW w:type="dxa" w:w="1100"/>
            <w:tcMar>
              <w:top w:type="dxa" w:w="40"/>
              <w:left w:type="dxa" w:w="90"/>
              <w:bottom w:type="dxa" w:w="40"/>
              <w:right w:type="dxa" w:w="90"/>
            </w:tcMar>
          </w:tcPr>
          <w:p>
            <w:pPr>
              <w:spacing w:after="0"/>
            </w:pPr>
            <w:r>
              <w:rPr>
                <w:sz w:val="17"/>
                <w:szCs w:val="17"/>
              </w:rPr>
              <w:t xml:space="preserve">+0,032</w:t>
            </w:r>
          </w:p>
        </w:tc>
        <w:tc>
          <w:tcPr>
            <w:tcW w:type="dxa" w:w="3900"/>
            <w:tcMar>
              <w:top w:type="dxa" w:w="40"/>
              <w:left w:type="dxa" w:w="90"/>
              <w:bottom w:type="dxa" w:w="40"/>
              <w:right w:type="dxa" w:w="90"/>
            </w:tcMar>
          </w:tcPr>
          <w:p>
            <w:pPr>
              <w:spacing w:after="0"/>
            </w:pPr>
            <w:r>
              <w:rPr>
                <w:sz w:val="17"/>
                <w:szCs w:val="17"/>
              </w:rPr>
              <w:t xml:space="preserve">112 autos/R$761,9M: presença sem efeito, e piorando</w:t>
            </w:r>
          </w:p>
        </w:tc>
      </w:tr>
    </w:tbl>
    <w:p/>
    <w:p>
      <w:pPr>
        <w:ind w:firstLine="709"/>
      </w:pPr>
      <w:r>
        <w:t xml:space="preserve">O caso nº 1 é o perfil que o índice foi desenhado para revelar. </w:t>
      </w:r>
      <w:r>
        <w:rPr>
          <w:b/>
          <w:bCs/>
        </w:rPr>
        <w:t xml:space="preserve">Cachoeira do Piriá (PA)</w:t>
      </w:r>
      <w:r>
        <w:t xml:space="preserve">, 410 km² desmatados em 18 anos (uma mediana de ~20 km² por ano, todos os anos), contra 13 autos federais e R$ 4,3 milhões deflacionados no período inteiro; 13 dos 18 anos são lacuna absoluta. Não é o maior desmatamento da Amazônia; é o mais persistentemente sem resposta. E uma tensão vale nomear: sua média recente (1,228) está acima da histórica. Pelo critério aplicado aos demais, o caso nº 1 também está piorando em relação a si mesmo. </w:t>
      </w:r>
      <w:r>
        <w:rPr>
          <w:b/>
          <w:bCs/>
        </w:rPr>
        <w:t xml:space="preserve">Aveiro</w:t>
      </w:r>
      <w:r>
        <w:t xml:space="preserve"> é o caso corrente mais alarmante do top 20: média de 3 anos (1,508) muito acima da histórica (1,109), com a inclinação mais íngreme do topo (+0,042). O que quer que esteja acontecendo em Aveiro está acontecendo agora. Fora do top 20, as colunas de recência existem exatamente para revelar piora acentuada em municípios sem histórico: Nova Santa Helena (MT), média recente de 1,561 sobre histórica de 0,697, é o exemplo. No polo oposto, </w:t>
      </w:r>
      <w:r>
        <w:rPr>
          <w:b/>
          <w:bCs/>
        </w:rPr>
        <w:t xml:space="preserve">Arame e São Domingos do Maranhão</w:t>
      </w:r>
      <w:r>
        <w:t xml:space="preserve"> carregam o padrão maranhense documentado desde as primeiras versões: volumes modestos (353 e 193 km²) respondidos com quase nada (26 e 4 autos), mas com tendências claramente negativas: a lacuna do leste amazônico é antiga e profunda, e a direção recente é de melhora.</w:t>
      </w:r>
    </w:p>
    <w:p>
      <w:pPr>
        <w:ind w:firstLine="709"/>
      </w:pPr>
      <w:r>
        <w:t xml:space="preserve">A verificação externa que fiz sobre esse topo, não para confirmar o índice, mas para tentar quebrá-lo, produziu quatro achados de naturezas diferentes.</w:t>
      </w:r>
    </w:p>
    <w:p>
      <w:pPr>
        <w:ind w:firstLine="709"/>
      </w:pPr>
      <w:r>
        <w:rPr>
          <w:b/>
          <w:bCs/>
        </w:rPr>
        <w:t xml:space="preserve">O primeiro corrobora. </w:t>
      </w:r>
      <w:r>
        <w:t xml:space="preserve">Nove dos vinte primeiros constam da lista oficial de municípios prioritários do Ministério do Meio Ambiente (Portaria GM/MMA nº 1.202/2024, Anexo I, 81 municípios), construída por critério inteiramente distinto do meu: volume e ritmo brutos de desmatamento. São eles Mojuí dos Campos, Maués, Santa Maria das Barreiras, Itupiranga, Cumaru do Norte, Jacareacanga, Medicilândia, Prainha e Santana do Araguaia. Duas metodologias independentes convergindo em 45% do topo é evidência de validade de constructo: não prova. Mas a distribuição diz mais que a contagem: os nove coincidentes ocupam exatamente as posições 8 a 17, e nenhum dos sete primeiros do meu ranking (Cachoeira do Piriá, Porto de Moz, Monte Alegre, Aveiro, Alenquer, Arame e Acará) está na lista oficial. Um índice de razão e uma lista de volume concordam no meio e discordam no topo, que é exatamente onde um índice de razão deveria acrescentar algo: municípios cuja pressão não é a maior da Amazônia, mas cuja resposta federal é a mais desproporcional a ela. Nenhum dos vinte, registre-se, aparece no Anexo II da mesma portaria, a lista de desmatamento “monitorado e sob controle”. A lista foi atualizada em 2026 pela Portaria GM/MMA nº 1.717, que passa a 89 municípios; a sobreposição contra essa versão não foi recomputada aqui.</w:t>
      </w:r>
    </w:p>
    <w:p>
      <w:pPr>
        <w:ind w:firstLine="709"/>
      </w:pPr>
      <w:r>
        <w:rPr>
          <w:b/>
          <w:bCs/>
        </w:rPr>
        <w:t xml:space="preserve">O segundo complica, e é o mais importante. </w:t>
      </w:r>
      <w:r>
        <w:t xml:space="preserve">O índice mede lacuna de fiscalização </w:t>
      </w:r>
      <w:r>
        <w:rPr>
          <w:i/>
          <w:iCs/>
        </w:rPr>
        <w:t xml:space="preserve">federal</w:t>
      </w:r>
      <w:r>
        <w:t>, porque o IBAMA é sua única fonte de resposta: e os estados que concentram o topo têm aparatos estaduais reais e ativos que o dado não enxerga. A secretaria do Pará mantém portal de transparência; o balanço oficial de dois anos da sua Operação Curupira registra 1.792 fiscalizações integradas, 471 autos e 521 mil hectares embargados, com o desmatamento estadual caindo de 3.299 para 2.362 km² no período. O órgão do Amazonas aplicou R$ 144,7 milhões em multas e interditou 16 mil hectares na Operação Tamoiotatá de 2025: explicitamente incluindo Maués, 9º do meu ranking. Um EGS alto é portanto compatível com quatro situações distintas, que os dados administrativos federais, sozinhos, não separam: ausência real, substituição estadual, presença federal sem efeito, e presença federal em outro instrumento. A última é mensurável: o índice conta autos de tipo desmatamento, e nos vinte do topo eles são 1.187 dos 3.052 que o IBAMA lavrou, cerca de 39%. O resto é fauna, pesca, controle ambiental, cadastro e unidade de conservação, esta a mesma lacuna do ICMBio que Porto de Moz ilustra. O viés, note-se, é conservador numa direção só: onde existe fiscalização estadual não capturada, a lacuna total verdadeira é menor que a medida, nunca maior.</w:t>
      </w:r>
    </w:p>
    <w:p>
      <w:pPr>
        <w:ind w:firstLine="709"/>
      </w:pPr>
      <w:r>
        <w:rPr>
          <w:b/>
          <w:bCs/>
        </w:rPr>
        <w:t xml:space="preserve">O terceiro é o exemplo concreto da terceira situação. </w:t>
      </w:r>
      <w:r>
        <w:t xml:space="preserve">Cumaru do Norte (PA), 12º do ranking, recebeu 112 autos federais somando R$ 761,9 milhões deflacionados ao longo de 12 dos 18 anos (incluindo autos individuais de R$ 54 milhões e R$ 39 milhões nominais), e o desmatamento seguiu entre 15 e 182 km² por ano. O sistema o classifica corretamente como lacuna; o mecanismo não é ausência, é inefetividade: multas lavradas sem efeito dissuasório ou arrecadatório aparente. A distinção importa para o que uma resposta deveria ser, e só a verificação externa a revela.</w:t>
      </w:r>
    </w:p>
    <w:p>
      <w:pPr>
        <w:ind w:firstLine="709"/>
      </w:pPr>
      <w:r>
        <w:rPr>
          <w:b/>
          <w:bCs/>
        </w:rPr>
        <w:t xml:space="preserve">O quarto derruba parte do próprio resultado, e é o que eu menos queria encontrar. </w:t>
      </w:r>
      <w:r>
        <w:t xml:space="preserve">A verificação externa município a município mostrou que, em pelo menos quatro dos vinte primeiros, uma fração do desmatamento medido é supressão autorizada ou ocorre em território sob regime especial. São hipóteses que o índice, por construção, não distingue de omissão. Em Oriximiná (19º), a Mineração Rio do Norte já havia suprimido 12.639 hectares até 2022 dentro da Floresta Nacional Saracá-Taquera, onde extrai bauxita sob licenciamento federal desde 1979: é desmatamento licenciado dentro de uma unidade de conservação federal, não ausência de resposta. Em Autazes (18º), parte da supressão está vinculada ao projeto de potássio licenciado pelo instituto ambiental do Amazonas em abril de 2024, cujas licenças o Ministério Público Federal pede para suspender. É licenciamento estadual, invisível ao dado federal. Em Porto de Moz (2º), a maior parte do território é a Reserva Extrativista Verde para Sempre, unidade federal cuja gestão e cujo instrumento de resposta são do ICMBio, não do braço de fiscalização que lavra os autos que este índice conta. E em Jacareacanga (13º), a Terra Indígena Munduruku ocupa cerca de 40% do território municipal, e a resposta federal em curso é uma força-tarefa de desintrusão multiagência, que não produz auto de infração por desmatamento. Nenhum desses casos invalida o índice, e nenhum deles é uma correção de cálculo: são quatro lembretes de que a mesma posição no ranking pode significar coisas institucionalmente muito diferentes. O que eles corrigem é o alcance da minha própria ressalva: eu dizia, no capítulo de limites, que nenhuma checagem de autorização havia sido feita para o topo atual. Isso continua verdadeiro como método, porque não consultei AUTEX nem DOF município a município, mas deixou de ser verdadeiro como estado de conhecimento. Em Acará (7º), cerca de 4.800 hectares foram convertidos para dendê entre 2007 e 2018, sobre 26.520 no painel, com autorização alegada pelas empresas e contestada por pesquisadores. E mesmo o caso nº 1 tem resposta federal que o índice não vê: em setembro de 2025 a Polícia Federal, com apoio do IBAMA, fechou cinco garimpos ilegais de ouro em Cachoeira do Piriá, e os três autos do município naquele ano são todos de tipo “Qualidade Ambiental”, nenhum de desmatamento. O motor da supressão ali é garimpo, e a fiscalização que ele atrai não é lavrada como infração de desmatamento. A busca externa encontrou, e o texto tem a obrigação de dizer que encontrou.</w:t>
      </w:r>
    </w:p>
    <w:p>
      <w:pPr>
        <w:pStyle w:val="Heading2"/>
      </w:pPr>
      <w:r>
        <w:t xml:space="preserve">6.1 O que sobreviveu à troca do método, e o que caiu</w:t>
      </w:r>
    </w:p>
    <w:p>
      <w:pPr>
        <w:ind w:firstLine="709"/>
      </w:pPr>
      <w:r>
        <w:t xml:space="preserve">Entre a versão anterior e a atual, a metodologia mudou por completo: streaks foram substituídos por médias zero-preenchidas, os dois rankings particionados por um só, o score de prioridade por uma identidade algébrica. Três municípios dos rankings descartados sobrevivem no novo top 20 (</w:t>
      </w:r>
      <w:r>
        <w:rPr>
          <w:b/>
          <w:bCs/>
        </w:rPr>
        <w:t xml:space="preserve">Porto de Moz, Jacareacanga e São Domingos do Maranhão</w:t>
      </w:r>
      <w:r>
        <w:t xml:space="preserve">): achados que persistem a uma troca completa de método são os mais fortes que o sistema produz. As quedas são tão informativas quanto as permanências, porque cada uma revela o que o novo desenho passou a pesar. </w:t>
      </w:r>
      <w:r>
        <w:rPr>
          <w:b/>
          <w:bCs/>
        </w:rPr>
        <w:t xml:space="preserve">Governador Luiz Rocha (MA)</w:t>
      </w:r>
      <w:r>
        <w:t xml:space="preserve">, o antigo nº 1 do ranking absoluto, com 18 anos consecutivos de desmatamento sem uma única multa federal em toda a série, cai para a posição 54. O streak é real e continua visível na tabela; o que mudou é que magnitude agora importa: sua mediana anual é de 4,65 km², 107 km² nos 18 anos do painel. O desenho antigo contava anos; o novo os pesa. </w:t>
      </w:r>
      <w:r>
        <w:rPr>
          <w:b/>
          <w:bCs/>
        </w:rPr>
        <w:t xml:space="preserve">Itaituba (PA) e Apuí (AM)</w:t>
      </w:r>
      <w:r>
        <w:t xml:space="preserve">, líderes do antigo ranking de “resposta presente mas desproporcional”, caem para 129 e 141. Ambos têm desmatamento enorme (2.780 e 3.192 km²), mas também duas das maiores respostas federais do dataset (561 e 845 autos; R$ 843 e R$ 1.027 milhões deflacionados: para escala, o máximo por valor é Altamira, R$ 3,75 bilhões, e por número de autos, Porto Velho, 2.938). O ranking antigo, ao ponderar streaks e volume, na prática os recompensava pelo tamanho do próprio desmatamento; o índice de razão reconhece que a resposta federal ali, seja ou não suficiente, não é desproporcionalmente pequena na escala que a métrica mede.</w:t>
      </w:r>
    </w:p>
    <w:p>
      <w:pPr>
        <w:ind w:firstLine="709"/>
      </w:pPr>
      <w:r>
        <w:t>Este gráfico de quadrante cruza o EGS médio histórico (18 anos) com o EGS médio recente (2023–2025) para identificar quem está piorando ou melhorando agora, e não apenas ao longo de toda a série. As faixas de cor são as do mapa de direção do EGS, no relatório estendido: a distância até a diagonal de identidade é exatamente a diferença que aquele mapa classifica. O cinza reúne os 381 municípios sem pressão material em 2023–2025, para os quais não há direção a medir: 220 nunca tiveram pressão em dezoito anos e 161 tiveram e deixaram de ter. Esses 161 antes apareciam como melhora, porque o 0-fill zera a média recente e a diferença fica negativa.</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06_quadrant.png"/>
                    <pic:cNvPicPr/>
                  </pic:nvPicPr>
                  <pic:blipFill>
                    <a:blip r:embed="rId9"/>
                    <a:stretch>
                      <a:fillRect/>
                    </a:stretch>
                  </pic:blipFill>
                  <pic:spPr>
                    <a:xfrm>
                      <a:off x="0" y="0"/>
                      <a:ext cx="5486400" cy="4114800"/>
                    </a:xfrm>
                    <a:prstGeom prst="rect"/>
                  </pic:spPr>
                </pic:pic>
              </a:graphicData>
            </a:graphic>
          </wp:inline>
        </w:drawing>
      </w:r>
    </w:p>
    <w:p>
      <w:pPr>
        <w:jc w:val="center"/>
      </w:pPr>
      <w:r>
        <w:rPr>
          <w:i/>
          <w:color w:val="000000"/>
          <w:sz w:val="18"/>
        </w:rPr>
        <w:t>Figura 2. Histórico (média 18a) × recente (2023-25), nas mesmas faixas do mapa de direção. Acima da diagonal = piorando; cinza = sem pressão recente (381). Os dois eixos se sobrepõem por construção: a média de dezoito anos contém os três anos recentes, o que introduz regressão à média. Os nomes destacados são os mesmos casos-âncora da figura 1. Aveiro (PA), o mais alto do top 20, é discutido no texto.</w:t>
      </w:r>
    </w:p>
    <w:p>
      <w:pPr>
        <w:pStyle w:val="Heading1"/>
      </w:pPr>
      <w:r>
        <w:t xml:space="preserve">7. O teste temporal: Apuí</w:t>
      </w:r>
    </w:p>
    <w:p>
      <w:pPr>
        <w:ind w:firstLine="709"/>
      </w:pPr>
      <w:r>
        <w:t xml:space="preserve">Há um teste que o sistema passa nos próprios dados, e ele merece seção própria porque é o argumento de validação mais consequente. Apuí (AM) teve em 2020–2022 seu pior trecho sustentado de EGS (média 0,743): desmatamento explodindo a 440 km²/ano, com pico de 732 km² em 2022, contra uma resposta federal estagnada em ~47 autos/ano, um terço acima do nível histórico de 2008–19 (~35/ano), e nada perto do triplo da pressão. O máximo pontual da série é 2009 (1,459), mas é um ano isolado de auto único: exatamente o tipo de pico de fronteira que o piso do denominador foi desenhado para tratar; o platô sustentado de 2020–22, não o pico de 2009, é o dado significativo.</w:t>
      </w:r>
    </w:p>
    <w:p>
      <w:pPr>
        <w:ind w:firstLine="709"/>
      </w:pPr>
      <w:r>
        <w:t xml:space="preserve">A resposta institucional chegou depois, documentadamente. Em 2023–2025, com 95 autos/ano, R$ 115 milhões/ano deflacionados, culminando em 118 autos e R$ 188 milhões só em 2025, em paralelo às operações noticiadas externamente: a operação do IBAMA com R$ 173 milhões em multas e ~27 mil hectares embargados, a prisão de um investigado por desmatamento ilegal, lavagem de dinheiro e invasão de terras públicas em março de 2025 (PF + IBAMA), a Tamoiotatá estadual. O desmatamento caiu a 173 km²/ano, e o EGS anual despencou para uma média de 0,564. As colunas de situação recente capturam a correção: média de 3 anos bem abaixo da histórica (0,564 vs. 0,668), tendência negativa, e Apuí cai para a posição 141 do ranking de 18 anos. Essa queda é o instrumento funcionando, não falhando: o sistema sinalizou o desequilíbrio </w:t>
      </w:r>
      <w:r>
        <w:rPr>
          <w:i/>
          <w:iCs/>
        </w:rPr>
        <w:t xml:space="preserve">antes</w:t>
      </w:r>
      <w:r>
        <w:t xml:space="preserve"> da chegada da resposta, e registrou a chegada quando ela veio. Um monitor que nunca rebaixa ninguém não está medindo nada.</w:t>
      </w:r>
    </w:p>
    <w:p>
      <w:pPr>
        <w:pStyle w:val="Heading1"/>
      </w:pPr>
      <w:r>
        <w:t xml:space="preserve">8. Uma explicação institucional, e o desenho que ela sugere</w:t>
      </w:r>
    </w:p>
    <w:p>
      <w:pPr>
        <w:ind w:firstLine="709"/>
      </w:pPr>
      <w:r>
        <w:t xml:space="preserve">A concentração geográfica da lacuna não se explica sozinha. O padrão temporal é consistente com uma restrição documentada do lado da oferta: entre 2019 e 2020, o orçamento de fiscalização do IBAMA foi cortado em cerca de 43% (de R$ 111,8 milhões para R$ 67,4 milhões); em 2021, apenas 41% do disponível foi executado (R$ 88 de R$ 219 milhões, contra 86–92% nos três anos anteriores), com o corpo de fiscais no mínimo histórico: 591 em 2020, uma redução de 55% em dez anos. O índice mede o resultado, resposta baixa em relação à pressão, sem identificar o mecanismo. Mas gera um perfil testável: municípios cujo EGS anual atinge o pico em 2019–2022 e declina após 2023 (Apuí é o caso-tipo; Porto de Moz e Mojuí dos Campos mostram a mesma assinatura nas médias recentes) são consistentes com pressão constante de demanda encontrando um choque temporário de oferta. Esse perfil sustentaria um desenho de estudo de eventos, se identificação formal for exigida: o sistema de monitoramento vira, aí, gerador de hipóteses para pesquisa causal.</w:t>
      </w:r>
    </w:p>
    <w:p>
      <w:pPr>
        <w:ind w:firstLine="709"/>
      </w:pPr>
      <w:r>
        <w:t>O gráfico de coeficientes resume as especificações do modelo com efeitos fixos de município e de ano: cada ponto é uma estimativa com intervalo de confiança de 95%. Dentro do mesmo município, mais desmatamento no ano corrente está associado a mais autuações; já um aumento do desmatamento está associado a menos autuações no ano seguinte. É associação condicional num painel observacional, e um indício frágil, que o event study da figura seguinte não confirma. E é reparametrização, não fato novo: como a variação anual entra ao lado do nível contemporâneo, o coeficiente negativo sobre a variação equivale, por álgebra, a um coeficiente positivo de mesmo tamanho sobre o nível do ano anterior. A especificação não identifica resposta ao aumento enquanto aumento, e é o event study que testa isso diretamente.</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12_coefficient_plot.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000000"/>
          <w:sz w:val="18"/>
        </w:rPr>
        <w:t>Figura 3. Coeficientes de painel com efeitos fixos de município e de ano, erros-padrão clusterizados por município. Ponto = estimativa; barra = intervalo de confiança de 95%; barra que cruza o zero é compatível com ausência de associação. Associação positiva no nível; aumentos anuais associados a MENOS fiscalização no ano seguinte (indício frágil, ver event study). Multas deflacionadas para a base de 2025.</w:t>
      </w:r>
    </w:p>
    <w:p>
      <w:pPr>
        <w:ind w:firstLine="709"/>
      </w:pPr>
      <w:r>
        <w:t xml:space="preserve">O event study examina essa anomalia de forma distribuída no tempo, mostrando a associação entre o aumento anual do desmatamento e os autos e multas numa janela de −2 a +2 anos, com dois coeficientes pré-evento, que funcionam como placebo; o padrão é direcionalmente consistente para autos, mas os intervalos de confiança cruzam zero: achado frágil, não confirmado.</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13_event_study.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000000"/>
          <w:sz w:val="18"/>
        </w:rPr>
        <w:t>Figura 4. Event study da resposta menor após aumento: autos e multas em torno de um aumento anual do desmatamento. O eixo horizontal é o tempo relativo ao aumento; -2 e -1 são coeficientes pré-evento e funcionam como placebo. Direcional para autos, frágil: ICs cruzam zero. Tempera o achado de defasagem única.</w:t>
      </w:r>
    </w:p>
    <w:p>
      <w:pPr>
        <w:pStyle w:val="Heading1"/>
      </w:pPr>
      <w:r>
        <w:t xml:space="preserve">9. O que este projeto não resolve, e por que isso importa</w:t>
      </w:r>
    </w:p>
    <w:p>
      <w:pPr>
        <w:ind w:firstLine="709"/>
      </w:pPr>
      <w:r>
        <w:t xml:space="preserve">Um índice construído sobre dados administrativos federais mede o que os dados administrativos federais registram: nada além disso. O PRODES não distingue desmatamento autorizado de ilegal: um caso verificado externamente em versão anterior deste trabalho (Barra do Bugres/MT, ~99% de um episódio legalmente autorizado segundo a secretaria estadual) permanece como lembrete de que a classificação pode estar tecnicamente correta e a leitura de “impunidade”, errada, e a ressalva se aplica ao topo atual, para o qual não fiz checagem sistemática de autorização, embora a busca externa por município tenha encontrado supressão licenciada em pelo menos dois dos vinte primeiros (§6). A resposta é medida por autos lavrados, não por embargos, apreensões, ação penal ou multas efetivamente pagas: o caso Cumaru do Norte mostra por que isso importa. O score é ordinal na prática. E a extensão para além da Amazônia Legal exigiria cruzamento espacial por coordenadas, não por geocode: trabalho de horizonte, não deste MVP, assim como a integração dos dados estaduais que os próprios achados mostraram existir e ser a extensão mais consequente.</w:t>
      </w:r>
    </w:p>
    <w:p>
      <w:pPr>
        <w:ind w:firstLine="709"/>
      </w:pPr>
      <w:r>
        <w:t xml:space="preserve">Essa cautela não é retórica de rodapé: é a mesma disposição que uso em pesquisa etnográfica, onde uma observação de campo pede verificação antes de virar afirmação, e onde o silêncio dos dados precisa ser registrado como tal, não preenchido por conveniência narrativa (para vários municípios do topo, a busca externa não retornou nada; ausência de evidência, registrada como ausência de evidência). Construir este sistema exigiu manter as duas posturas ao mesmo tempo: rigor formal suficiente para que o pipeline seja auditável (56 verificações com valores esperados versionados, cada decisão de fórmula com seu teste empírico, sucessivas auditorias adversariais independentes com suas correções documentadas) e desconfiança suficiente do próprio resultado para descartar um desenho inteiro quando a auditoria mostrou que ele não se sustentava, e para buscar ativamente, antes de publicar, os casos que contradiriam o que restou.</w:t>
      </w:r>
    </w:p>
    <w:p>
      <w:pPr>
        <w:spacing w:after="0"/>
      </w:pPr>
      <w:r>
        <w:t xml:space="preserve">Cada posição no ranking é uma hipótese priorizada para investigação, não um veredito sobre um município. É exatamente isso que um instrumento de monitoramento deve ser.</w:t>
      </w:r>
    </w:p>
    <w:p>
      <w:pPr/>
      <w:r>
        <w:br w:type="page"/>
      </w:r>
    </w:p>
    <w:p>
      <w:pPr>
        <w:pStyle w:val="Heading1"/>
      </w:pPr>
      <w:r>
        <w:t>10. Princípios de codificação das figuras</w:t>
      </w:r>
    </w:p>
    <w:p>
      <w:r>
        <w:t>Os gráficos não trazem título nem subtítulo, só rótulo de eixo e legenda: o título de cada figura vive na legenda numerada, para não duplicar texto nem descasar a fonte do gráfico e a do documento. EGS e pct_desmatado são ordinais, então a cor é sempre quintil de rank, nunca valor bruto. Uma rampa de cor por quantidade: marrom para o desmatamento, azul para a resposta federal, ameixa para o EGS, divergente vermelho-verde para a direção. Figuras geradas em R/ggplot2 (viz/) a partir dos parquets do pipeline.</w:t>
      </w:r>
    </w:p>
    <w:p>
      <w:pPr>
        <w:ind w:firstLine="709"/>
      </w:pPr>
      <w:r>
        <w:rPr>
          <w:i/>
          <w:color w:val="000000"/>
          <w:sz w:val="18"/>
        </w:rPr>
        <w:t>Figuras geradas pela suíte de visualização em R/ggplot2 (viz/), a partir dos parquets do pipeline; o event study foi produzido em R (fixest). EGS e pct_desmatado são ordinais: cor sempre por quintil de rank.</w:t>
      </w:r>
    </w:p>
    <w:p>
      <w:pPr>
        <w:pStyle w:val="Heading1"/>
      </w:pPr>
      <w:r>
        <w:t xml:space="preserve">Referências</w:t>
      </w:r>
    </w:p>
    <w:p>
      <w:pPr>
        <w:spacing w:after="200" w:line="240" w:lineRule="auto"/>
        <w:jc w:val="left"/>
      </w:pPr>
      <w:r>
        <w:t xml:space="preserve">AMAZONAS (Estado). Instituto de Proteção Ambiental do Amazonas (IPAAM). Operação Tamoiotatá 2025: Ipaam aplica R$ 144,7 milhões em multas por crimes ambientais no sul do Amazonas. Manaus: Agência Amazonas de Notícias, 2025. Disponível em: https://www.agenciaamazonas.am.gov.br/noticias/operacao-tamoiotata-2025-ipaam-aplica-r-1447-milhoes-em-multas-por-crimes-ambientais-no-sul-do-amazonas/. Acesso em: 27 jul. 2026.</w:t>
      </w:r>
    </w:p>
    <w:p>
      <w:pPr>
        <w:spacing w:after="200" w:line="240" w:lineRule="auto"/>
        <w:jc w:val="left"/>
      </w:pPr>
      <w:r>
        <w:t xml:space="preserve">BRASIL. Instituto Brasileiro do Meio Ambiente e dos Recursos Naturais Renováveis (IBAMA). Dados abertos: fiscalização, auto de infração. Brasília, DF: IBAMA. Disponível em: https://dadosabertos.ibama.gov.br/. Acesso em: 25 abr. 2026.</w:t>
      </w:r>
    </w:p>
    <w:p>
      <w:pPr>
        <w:spacing w:after="200" w:line="240" w:lineRule="auto"/>
        <w:jc w:val="left"/>
      </w:pPr>
      <w:r>
        <w:t xml:space="preserve">BRASIL. Instituto Brasileiro do Meio Ambiente e dos Recursos Naturais Renováveis (IBAMA). Ibama aplica R$ 173 milhões em multas por desmatamento no sul do Amazonas. Brasília, DF: IBAMA, 2025. Disponível em: https://www.gov.br/ibama/pt-br/assuntos/noticias/2025/ibama-aplica-r-173-milhoes-em-multas-por-desmatamento-no-sul-do-amazonas. Acesso em: 27 jul. 2026.</w:t>
      </w:r>
    </w:p>
    <w:p>
      <w:pPr>
        <w:spacing w:after="200" w:line="240" w:lineRule="auto"/>
        <w:jc w:val="left"/>
      </w:pPr>
      <w:r>
        <w:t xml:space="preserve">BRASIL. Instituto Nacional de Pesquisas Espaciais (INPE). Nota técnica: estimativa de desmatamento na Amazônia Legal para 2025. São José dos Campos: INPE, 15 out. 2025. Disponível em: https://data.inpe.br/wp-content/uploads/sites/3/2025/10/20251015Nota_tecnica_EstimativaPRODES_2025_F.pdf. Acesso em: 27 jul. 2026.</w:t>
      </w:r>
    </w:p>
    <w:p>
      <w:pPr>
        <w:spacing w:after="200" w:line="240" w:lineRule="auto"/>
        <w:jc w:val="left"/>
      </w:pPr>
      <w:r>
        <w:t xml:space="preserve">BRASIL. Instituto Nacional de Pesquisas Espaciais (INPE). Novos dados do Prodes são atualizados pelo Programa BiomasBR. São José dos Campos: INPE, Programa BiomasBR, 10 mar. 2026. Disponível em: https://data.inpe.br/biomasbr/novos-dados-do-prodes-sao-atualizados-pelo-programa-biomasbr/. Acesso em: 28 jul. 2026.</w:t>
      </w:r>
    </w:p>
    <w:p>
      <w:pPr>
        <w:spacing w:after="200" w:line="240" w:lineRule="auto"/>
        <w:jc w:val="left"/>
      </w:pPr>
      <w:r>
        <w:t xml:space="preserve">BRASIL. Instituto Nacional de Pesquisas Espaciais (INPE). PRODES: monitoramento do desmatamento da floresta amazônica brasileira por satélite. TerraBrasilis. São José dos Campos: INPE. Disponível em: https://terrabrasilis.dpi.inpe.br/. Acesso em: 25 abr. 2026.</w:t>
      </w:r>
    </w:p>
    <w:p>
      <w:pPr>
        <w:spacing w:after="200" w:line="240" w:lineRule="auto"/>
        <w:jc w:val="left"/>
      </w:pPr>
      <w:r>
        <w:t xml:space="preserve">BRASIL. Instituto Nacional de Pesquisas Espaciais (INPE). Resultado consolidado do PRODES mostra redução de 29% no desmatamento na Amazônia em 2012. São José dos Campos: INPE, jun. 2013. Disponível em: http://www.inpe.br/noticias/noticia.php?Cod_Noticia=3301. Acesso em: 28 jul. 2026.</w:t>
      </w:r>
    </w:p>
    <w:p>
      <w:pPr>
        <w:spacing w:after="200" w:line="240" w:lineRule="auto"/>
        <w:jc w:val="left"/>
      </w:pPr>
      <w:r>
        <w:t xml:space="preserve">BRASIL. Instituto Nacional de Pesquisas Espaciais (INPE). Sistema PRODES: metodologia. Coordenação-Geral de Observação da Terra. São José dos Campos: INPE. Disponível em: http://www.obt.inpe.br/OBT/assuntos/programas/amazonia/prodes. Acesso em: 28 jul. 2026.</w:t>
      </w:r>
    </w:p>
    <w:p>
      <w:pPr>
        <w:spacing w:after="200" w:line="240" w:lineRule="auto"/>
        <w:jc w:val="left"/>
      </w:pPr>
      <w:r>
        <w:t xml:space="preserve">BRASIL. Ministério do Meio Ambiente e Mudança do Clima (MMA). Portaria GM/MMA nº 1.202, de 11 de novembro de 2024. Dispõe sobre a atualização da lista de municípios prioritários para ações de prevenção, controle e redução dos desmatamentos e degradação florestal, e da lista de municípios com desmatamento monitorado e sob controle. Brasília, DF: Diário Oficial da União, ed. 220, seção 1, p. 121, 13 nov. 2024. Disponível em: https://www.in.gov.br/web/dou/-/portaria-gm/mma-n-1.202-de-11-de-novembro-de-2024-595667200. Acesso em: 27 jul. 2026.</w:t>
      </w:r>
    </w:p>
    <w:p>
      <w:pPr>
        <w:spacing w:after="200" w:line="240" w:lineRule="auto"/>
        <w:jc w:val="left"/>
      </w:pPr>
      <w:r>
        <w:t xml:space="preserve">BRASIL. Ministério do Meio Ambiente e Mudança do Clima (MMA). Portaria GM/MMA nº 1.717, de 2026. Atualiza a lista de municípios prioritários para ações de prevenção, controle e redução dos desmatamentos e degradação florestal. Brasília, DF: Diário Oficial da União, 2026. Disponível em: https://www.gov.br/mma/pt-br/assuntos/controle-ao-desmatamento-queimadas-e-ordenamento-ambiental-territorial/programa-uniao-com-municipios. Acesso em: 27 jul. 2026.</w:t>
      </w:r>
    </w:p>
    <w:p>
      <w:pPr>
        <w:spacing w:after="200" w:line="240" w:lineRule="auto"/>
        <w:jc w:val="left"/>
      </w:pPr>
      <w:r>
        <w:t xml:space="preserve">BRASIL. Polícia Federal. PF e Ibama prendem investigado por desmatamento ilegal, lavagem de dinheiro e invasões de terras públicas da União no Amazonas. Brasília, DF: Polícia Federal, mar. 2025. Disponível em: https://www.gov.br/pf/pt-br/assuntos/noticias/2025/03/pf-e-ibama-prendem-investigado-por-desmatamento-ilegal-lavagem-de-dinheiro-e-invasoes-de-terras-publicas-da-uniao-no-amazonas. Acesso em: 27 jul. 2026.</w:t>
      </w:r>
    </w:p>
    <w:p>
      <w:pPr>
        <w:spacing w:after="200" w:line="240" w:lineRule="auto"/>
        <w:jc w:val="left"/>
      </w:pPr>
      <w:r>
        <w:t xml:space="preserve">BRASIL. Polícia Federal. PF fecha cinco garimpos ilegais de ouro no nordeste do Pará. Brasília, DF: Polícia Federal, set. 2025. Disponível em: https://www.gov.br/pf/pt-br/assuntos/noticias/2025/09/pf-fecha-cinco-garimpos-ilegais-de-ouro-no-nordeste-do-para. Acesso em: 3 ago. 2026.</w:t>
      </w:r>
    </w:p>
    <w:p>
      <w:pPr>
        <w:spacing w:after="200" w:line="240" w:lineRule="auto"/>
        <w:jc w:val="left"/>
      </w:pPr>
      <w:r>
        <w:t xml:space="preserve">CLIMAINFO. Ibama perdeu 55% de seus fiscais em dez anos. São Paulo: ClimaInfo, 14 ago. 2020. Disponível em: https://climainfo.org.br/2020/08/14/ibama-perdeu-55-de-seus-fiscais-em-dez-anos/. Acesso em: 27 jul. 2026.</w:t>
      </w:r>
    </w:p>
    <w:p>
      <w:pPr>
        <w:spacing w:after="200" w:line="240" w:lineRule="auto"/>
        <w:jc w:val="left"/>
      </w:pPr>
      <w:r>
        <w:t xml:space="preserve">INSTITUTO BRASILEIRO DE GEOGRAFIA E ESTATÍSTICA (IBGE). API de localidades. Rio de Janeiro: IBGE. Disponível em: https://servicodados.ibge.gov.br/api/v1/localidades/municipios. Acesso em: 12 jul. 2026.</w:t>
      </w:r>
    </w:p>
    <w:p>
      <w:pPr>
        <w:spacing w:after="200" w:line="240" w:lineRule="auto"/>
        <w:jc w:val="left"/>
      </w:pPr>
      <w:r>
        <w:t xml:space="preserve">INSTITUTO BRASILEIRO DE GEOGRAFIA E ESTATÍSTICA (IBGE). Áreas territoriais: áreas dos municípios brasileiros, 2025. Rio de Janeiro: IBGE. Disponível em: https://www.ibge.gov.br/geociencias/organizacao-do-territorio/estrutura-territorial/15761-areas-dos-municipios.html. Acesso em: 20 jul. 2026.</w:t>
      </w:r>
    </w:p>
    <w:p>
      <w:pPr>
        <w:spacing w:after="200" w:line="240" w:lineRule="auto"/>
        <w:jc w:val="left"/>
      </w:pPr>
      <w:r>
        <w:t xml:space="preserve">INSTITUTO BRASILEIRO DE GEOGRAFIA E ESTATÍSTICA (IBGE). Sistema IBGE de Recuperação Automática (SIDRA). Tabela 1737: Índice Nacional de Preços ao Consumidor Amplo (IPCA), variável 2266 (número-índice, dez. 1993=100). Rio de Janeiro: IBGE. Disponível em: https://sidra.ibge.gov.br/tabela/1737. Acesso em: 10 jul. 2026.</w:t>
      </w:r>
    </w:p>
    <w:p>
      <w:pPr>
        <w:spacing w:after="200" w:line="240" w:lineRule="auto"/>
        <w:jc w:val="left"/>
      </w:pPr>
      <w:r>
        <w:t xml:space="preserve">LAUT. Orçamento para fiscalização ambiental no Ibama e ICMBio reduziu em mais de 100 milhões entre 2019 e 2020. Agenda de Emergência, fev. 2021. Disponível em: https://agendadeemergencia.laut.org.br/2021/02/orcamento-para-fiscalizacao-ambiental-no-ibama-e-icmbio-reduziu-em-mais-de-100-milhoes-entre-2019-e-2020/. Acesso em: 27 jul. 2026.</w:t>
      </w:r>
    </w:p>
    <w:p>
      <w:pPr>
        <w:spacing w:after="200" w:line="240" w:lineRule="auto"/>
        <w:jc w:val="left"/>
      </w:pPr>
      <w:r>
        <w:t xml:space="preserve">MATO GROSSO (Estado). Procuradoria-Geral do Estado (PGE-MT). Proprietários têm regularizado na Sema abertura de áreas em imóveis rurais. Cuiabá: PGE-MT, 2022. Disponível em: https://www.pge.mt.gov.br/web/mt/w/21739934-proprietarios-tem-regularizado-na-sema-abertura-de-areas-em-imoveis-rurais. Acesso em: 27 jul. 2026.</w:t>
      </w:r>
    </w:p>
    <w:p>
      <w:pPr>
        <w:spacing w:after="200" w:line="240" w:lineRule="auto"/>
        <w:jc w:val="left"/>
      </w:pPr>
      <w:r>
        <w:t xml:space="preserve">MONGABAY. Desmatamento e água contaminada: o lado obscuro do óleo de palma “sustentável” da Amazônia. mar. 2021. Disponível em: https://brasil.mongabay.com/2021/03/desmatamento-e-agua-contaminada-o-lado-obscuro-do-oleo-de-palma-sustentavel-da-amazonia/. Acesso em: 3 ago. 2026.</w:t>
      </w:r>
    </w:p>
    <w:p>
      <w:pPr>
        <w:spacing w:after="200" w:line="240" w:lineRule="auto"/>
        <w:jc w:val="left"/>
      </w:pPr>
      <w:r>
        <w:t xml:space="preserve">((O))ECO. Ibama usou menos da metade do orçamento disponível para fiscalização em 2021. Rio de Janeiro: ((o))eco, 2022. Disponível em: https://oeco.org.br/noticias/ibama-usou-menos-da-metade-do-orcamento-disponivel-para-fiscalizacao-em-2021/. Acesso em: 27 jul. 2026.</w:t>
      </w:r>
    </w:p>
    <w:p>
      <w:pPr>
        <w:spacing w:after="200" w:line="240" w:lineRule="auto"/>
        <w:jc w:val="left"/>
      </w:pPr>
      <w:r>
        <w:t xml:space="preserve">PARÁ (Estado). Secretaria de Estado de Meio Ambiente e Sustentabilidade (SEMAS). Em dois anos, Operação Curupira registra mais de 1,7 mil fiscalizações integradas. Belém: SEMAS, 9 fev. 2025. Disponível em: https://www.semas.pa.gov.br/2025/02/09/em-dois-anos-operacao-curupira-registra-mais-de-17-mil-fiscalizacoes-integradas/. Acesso em: 27 jul. 2026.</w:t>
      </w:r>
    </w:p>
    <w:p>
      <w:pPr>
        <w:spacing w:after="200" w:line="240" w:lineRule="auto"/>
        <w:jc w:val="left"/>
      </w:pPr>
      <w:r>
        <w:t xml:space="preserve">PARÁ (Estado). Secretaria de Estado de Meio Ambiente e Sustentabilidade (SEMAS). Operações de combate a crimes ambientais garantem redução do desmatamento no Pará. Belém: SEMAS, 4 dez. 2024. Disponível em: https://www.semas.pa.gov.br/2024/12/04/operacoes-de-combate-a-crimes-ambientais-garantem-reducao-do-desmatamento-no-para/. Acesso em: 27 jul. 2026.</w:t>
      </w:r>
    </w:p>
    <w:sectPr>
      <w:headerReference w:type="default" r:id="rId14"/>
      <w:headerReference w:type="first" r:id="rId15"/>
      <w:pgSz w:w="11906" w:h="16838"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jc w:val="right"/>
      <w:rPr>
        <w:rFonts w:ascii="Times New Roman" w:cs="Times New Roman" w:eastAsia="Times New Roman" w:hAnsi="Times New Roman"/>
        <w:sz w:val="24"/>
        <w:szCs w:val="24"/>
      </w:rPr>
    </w:pPr>
    <w:fldSimple w:instr=" PAGE ">
      <w:r>
        <w:rPr>
          <w:rFonts w:ascii="Times New Roman" w:cs="Times New Roman" w:eastAsia="Times New Roman" w:hAnsi="Times New Roman"/>
          <w:sz w:val="24"/>
          <w:szCs w:val="24"/>
        </w:rPr>
        <w:t>2</w:t>
      </w:r>
    </w:fldSimple>
  </w:p>
</w:hdr>
</file>

<file path=word/header2.xml><?xml version="1.0" encoding="utf-8"?>
<w:hdr xmlns:w="http://schemas.openxmlformats.org/wordprocessingml/2006/main">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80"/>
    </w:pPr>
    <w:rPr>
      <w:rFonts w:ascii="Times New Roman" w:cs="Times New Roman" w:eastAsia="Times New Roman" w:hAnsi="Times New Roman"/>
      <w:b/>
      <w:bCs/>
      <w:color w:val="000000"/>
      <w:sz w:val="25"/>
      <w:szCs w:val="25"/>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header" Target="header2.xml"/><Relationship Id="rId12"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2026-07-21T12:46:05.714Z</dcterms:created>
  <dcterms:modified xsi:type="dcterms:W3CDTF">2026-07-21T12:46:05.714Z</dcterms:modified>
</cp:coreProperties>
</file>

<file path=docProps/custom.xml><?xml version="1.0" encoding="utf-8"?>
<Properties xmlns="http://schemas.openxmlformats.org/officeDocument/2006/custom-properties" xmlns:vt="http://schemas.openxmlformats.org/officeDocument/2006/docPropsVTypes"/>
</file>