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1.1.0 (pipeline v5, documentação v8) · agosto de 2026</w:t>
      </w:r>
    </w:p>
    <w:p>
      <w:pPr/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sucessivas auditorias adversariais. Todos os números citados foram confirmados por replicação independente a partir dos dados brutos (última replicação: 2026-08-03; 56/56 verificações reproduzidas exatamente, coeficientes de painel reconstruídos em outro motor).</w:t>
      </w:r>
    </w:p>
    <w:p>
      <w:pPr>
        <w:pStyle w:val="Heading1"/>
        <w:spacing w:before="0" w:after="40"/>
        <w:ind w:left="0"/>
        <w:jc w:val="left"/>
      </w:pPr>
      <w:r>
        <w:t>Sumário</w:t>
      </w:r>
    </w:p>
    <w:p>
      <w:pPr>
        <w:spacing w:before="0" w:after="40"/>
        <w:ind w:firstLine="709" w:left="0"/>
        <w:jc w:val="left"/>
      </w:pPr>
      <w:r>
        <w:rPr>
          <w:sz w:val="21"/>
        </w:rPr>
        <w:t>1. Dados e arquitetura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1.1 Fontes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1.2 Camadas e pureza de camada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1.3 As 56 verificações</w:t>
      </w:r>
    </w:p>
    <w:p>
      <w:pPr>
        <w:spacing w:before="0" w:after="40"/>
        <w:ind w:firstLine="709" w:left="0"/>
        <w:jc w:val="left"/>
      </w:pPr>
      <w:r>
        <w:rPr>
          <w:sz w:val="21"/>
        </w:rPr>
        <w:t>2. Construção das variáveis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2.1 O filtro de desmatamento no IBAMA (60.707 autos)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2.2 O deflator IPCA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2.3 Normalização territorial</w:t>
      </w:r>
    </w:p>
    <w:p>
      <w:pPr>
        <w:spacing w:before="0" w:after="40"/>
        <w:ind w:firstLine="709" w:left="0"/>
        <w:jc w:val="left"/>
      </w:pPr>
      <w:r>
        <w:rPr>
          <w:sz w:val="21"/>
        </w:rPr>
        <w:t>3. A fórmula e o teste empírico de cada decisão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3.1 Piso no denominador (max(1, ·))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3.2 Limiar de materialidade (1 km²)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3.3 Média 0-fill como ordenação principal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3.4 Colunas de situação recente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3.5 Deflação e escala</w:t>
      </w:r>
    </w:p>
    <w:p>
      <w:pPr>
        <w:spacing w:before="0" w:after="40"/>
        <w:ind w:firstLine="709" w:left="0"/>
        <w:jc w:val="left"/>
      </w:pPr>
      <w:r>
        <w:rPr>
          <w:sz w:val="21"/>
        </w:rPr>
        <w:t>4. Validações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4.1 Âncoras estruturais do PRODES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4.2 Validação do same-year join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4.3 Replicações independentes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4.4 O que o índice acrescenta ao numerador</w:t>
      </w:r>
    </w:p>
    <w:p>
      <w:pPr>
        <w:spacing w:before="0" w:after="40"/>
        <w:ind w:firstLine="709" w:left="806"/>
        <w:jc w:val="left"/>
      </w:pPr>
      <w:r>
        <w:rPr>
          <w:sz w:val="21"/>
        </w:rPr>
        <w:t>4.4.1 Divergência do numerador</w:t>
      </w:r>
    </w:p>
    <w:p>
      <w:pPr>
        <w:spacing w:before="0" w:after="40"/>
        <w:ind w:firstLine="709" w:left="806"/>
        <w:jc w:val="left"/>
      </w:pPr>
      <w:r>
        <w:rPr>
          <w:sz w:val="21"/>
        </w:rPr>
        <w:t>4.4.2 O índice não é um proxy invertido de volume de fiscalização</w:t>
      </w:r>
    </w:p>
    <w:p>
      <w:pPr>
        <w:spacing w:before="0" w:after="40"/>
        <w:ind w:firstLine="709" w:left="806"/>
        <w:jc w:val="left"/>
      </w:pPr>
      <w:r>
        <w:rPr>
          <w:sz w:val="21"/>
        </w:rPr>
        <w:t>4.4.3 Os casos que nenhum componente encontra sozinho</w:t>
      </w:r>
    </w:p>
    <w:p>
      <w:pPr>
        <w:spacing w:before="0" w:after="40"/>
        <w:ind w:firstLine="709" w:left="0"/>
        <w:jc w:val="left"/>
      </w:pPr>
      <w:r>
        <w:rPr>
          <w:sz w:val="21"/>
        </w:rPr>
        <w:t>5. Resultados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5.1 Classificação (13.896 município-anos)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5.2 Top 20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5.3 Casos-teste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5.4 Verificação externa</w:t>
      </w:r>
    </w:p>
    <w:p>
      <w:pPr>
        <w:spacing w:before="0" w:after="40"/>
        <w:ind w:firstLine="709" w:left="403"/>
        <w:jc w:val="left"/>
      </w:pPr>
      <w:r>
        <w:rPr>
          <w:sz w:val="21"/>
        </w:rPr>
        <w:t>5.5 Responsividade ao longo do tempo</w:t>
      </w:r>
    </w:p>
    <w:p>
      <w:pPr>
        <w:spacing w:before="0" w:after="40"/>
        <w:ind w:firstLine="709" w:left="0"/>
        <w:jc w:val="left"/>
      </w:pPr>
      <w:r>
        <w:rPr>
          <w:sz w:val="21"/>
        </w:rPr>
        <w:t>6. Limitações sistêmicas</w:t>
      </w:r>
    </w:p>
    <w:p>
      <w:pPr>
        <w:spacing w:before="0" w:after="40"/>
        <w:ind w:firstLine="709" w:left="0"/>
        <w:jc w:val="left"/>
      </w:pPr>
      <w:r>
        <w:rPr>
          <w:sz w:val="21"/>
        </w:rPr>
        <w:t>7. Registro de mudanças: resumo para auditoria</w:t>
      </w:r>
    </w:p>
    <w:p>
      <w:pPr>
        <w:spacing w:before="0" w:after="40"/>
        <w:ind w:firstLine="709" w:left="0"/>
        <w:jc w:val="left"/>
      </w:pPr>
      <w:r>
        <w:rPr>
          <w:sz w:val="21"/>
        </w:rPr>
        <w:t>8. Princípios de codificação das figuras</w:t>
      </w:r>
    </w:p>
    <w:p>
      <w:pPr>
        <w:spacing w:before="0" w:after="40"/>
        <w:ind w:firstLine="709" w:left="0"/>
        <w:jc w:val="left"/>
      </w:pPr>
      <w:r>
        <w:rPr>
          <w:sz w:val="21"/>
        </w:rPr>
        <w:t>Referências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rPr>
          <w:cantSplit/>
          <w:tblHeader/>
        </w:trP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diverge -8,3% da taxa nacional consolidada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pode revisar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ind w:firstLine="709"/>
      </w:pPr>
      <w:r>
        <w:t xml:space="preserve">O painel usa 772 municípios, não os 805 do arquivo do TerraBrasilis: 33 geocodes do export rotulado "legal_amazon" estão em estados fora da Amazônia Legal, todos com desmatamento zero em todos os 18 anos. O recorte é feito por prefixo de UF, o que herda do TerraBrasilis a definição de quais municípios do Maranhão pertencem à Amazônia Legal, já que o estado entra parcialmente.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 Categorias excluídas: o IBAMA também classifica autos como INFRACAO_AREA = “Desmatamento e Queimada”, 2.051 lavrados e R$ 1,88 bilhão, deixados de fora porque o registro não separa a supressão da queima. A exclusão subestima a resposta federal, nunca o contrário. O custo foi medido: incluindo essa categoria e o código 409906 no caso (2), a base vai de 60.707 para 63.213 autos e o ranking praticamente não se move, com Spearman 0,9999 entre os rankings completos dos 772 municípios, os mesmos 20 no topo e 49 dos 50 primeiros. A maior troca de posição é Maués, de 9º para 16º. A decisão de recorte não sustenta o resultado. Também fica de fora o código 409999, o mais frequente da base (77.872 autos): é rótulo genérico, e os autos de desmatamento que o carregam já entram pelos casos 1 e 3, via INFRACAO_AREA. Os 14.710 restantes são de tipo Flora com área nula, e o código genérico não permite classificá-los.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tabs>
          <w:tab w:pos="4536" w:val="center"/>
          <w:tab w:pos="9072" w:val="right"/>
        </w:tabs>
        <w:spacing w:after="40" w:before="40"/>
        <w:ind w:left="360"/>
        <w:jc w:val="left"/>
      </w:pPr>
      <w:r>
        <w:tab/>
      </w:r>
      <w:r>
        <w:drawing>
          <wp:inline xmlns:a="http://schemas.openxmlformats.org/drawingml/2006/main" xmlns:pic="http://schemas.openxmlformats.org/drawingml/2006/picture">
            <wp:extent cx="4389120" cy="10849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0849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position w:val="76"/>
        </w:rPr>
        <w:tab/>
        <w:t>(1)</w:t>
      </w:r>
    </w:p>
    <w:p>
      <w:pPr/>
      <w:r>
        <w:t>onde A = km² desmatados no município no ano; N = n_autos; M = multas_reais, deflacionadas (IPCA, base 2025).</w:t>
      </w:r>
    </w:p>
    <w:p>
      <w:pPr>
        <w:ind w:firstLine="709"/>
      </w:pPr>
      <w:r>
        <w:rPr>
          <w:b/>
        </w:rPr>
        <w:t>Propriedades do índice.</w:t>
      </w:r>
      <w:r>
        <w:rPr/>
        <w:t xml:space="preserve"> (i) Imagem. O EGS é zero por construção quando A &lt; 1 km². Acima disso é positivo e tem teto estrutural, porque o denominador nunca é menor que 1 (seção 3.1) e nenhum município pode desmatar mais que o próprio território: o teto é log(1 + área do município), 5,2029 em Altamira (PA), o maior do país com 159.533 km², e 1,9042 em Raposa (MA), o menor do painel com 79,2 km². É teto por município, não do índice, e três dos 772 o têm abaixo do máximo anual já observado. O piso positivo não é estrutural, porque nem o número de autos nem o valor das multas têm limite superior; com os máximos anuais observados, 398 autos e R$ 496,4 milhões, ele fica em 0,0633. Observado: o EGS anual vai de 0,0726 (Manaus, 2018) a 2,1275 (Marcelândia, 2021), e a média de dezoito anos, de 0,0060 (Belém) a 1,1790 (Cachoeira do Piriá). (ii) O máximo é sempre lacuna absoluta. Marcelândia tem denominador no piso, e o topo da escala é, por construção, ausência de resposta. (iii) Descontinuidade no limiar. Em A = 1 km² o numerador salta de zero para log 2 = 0,3010, de modo que o salto vale 0,3010 com o denominador no piso e 0,0633 com ele no máximo observado. É deliberada: declara que abaixo de 1 km² não há pressão a medir. (iv) O piso tem limiar explícito. Com um único auto, qualquer multa abaixo de R$ 2.097,59 mantém o denominador em 1; com dois autos, R$ 123,71; com nove, R$ 9,00. Das 6.348 observações com EGS positivo, 3.091 estão no piso: 3.052 sem resposta alguma, 11 com autos e multa zerada, e os 28 da seção 3.1, com multa positiva absorvida. (v) Monotonicidade. Cresce em A, decresce em N e em M, estas duas fracamente por causa do piso. (vi) Retorno marginal decrescente. Com o denominador no piso, ir de 1 para 2 km² acrescenta 0,1761 ao índice e ir de 100 para 101 km² acrescenta 0,0043, razão de 41 vezes. É o que justifica a leitura ordinal e desautoriza ler diferenças de EGS como quantidades. (vii) Não é invariante a escala. A razão é entre logaritmos, não entre níveis, então dobrar área e resposta não preserva o índice.</w:t>
      </w:r>
    </w:p>
    <w:p>
      <w:pPr>
        <w:ind w:firstLine="709"/>
      </w:pPr>
      <w:r>
        <w:t>O denominador da equação (1) combina as duas dimensões da resposta federal por média geométrica, não por soma nem por média aritmética. A escolha decorre de uma propriedade: a média geométrica se anula quando qualquer um dos fatores é zero, enquanto a soma permite que um fator alto compense a ausência do outro. Autuação sem valor e valor sem autuação são tratados como resposta ausente, não como resposta parcial. A média geométrica também penaliza o desequilíbrio: para uma mesma soma dos fatores, ela é máxima quando os dois se igualam, de modo que muitos autos de valor irrisório, ou um auto isolado de valor alto, produzem denominador menor que uma combinação equilibrada, e portanto EGS maior. O caso extremo dessa propriedade tem nome e reaparece na seção 4.4.2: Piçarra (PA), um único auto em dezoito anos, de R$ 123 milhões, que pelo valor seria resposta máxima e no denominador cai para o primeiro quintil.</w:t>
      </w:r>
    </w:p>
    <w:p>
      <w:pPr>
        <w:ind w:firstLine="709"/>
      </w:pPr>
      <w:r>
        <w:t xml:space="preserve">Os pesos são iguais, o que corresponde à raiz quadrada do produto. Uma generalização ponderada é possível, na forma autos^w × multas^(1-w), e a literatura de dissuasão oferece argumento para w &gt; 0,5: a revisão de Nagin (2013) conclui que a certeza da punição tem efeito dissuasório mais consistente que sua severidade. A adaptação não foi adotada por duas razões. O número de autos registra resposta institucional, não probabilidade de apreensão, de modo que a correspondência com a certeza da literatura é analógica. E qualquer valor específico de w exigiria calibração que este trabalho não realiza. Fica registrada como extensão possível, sem teste de sensibilidade nesta versão.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 Propriedade que dele decorre: como o denominador nunca é inferior a 1, o EGS de qualquer ano é no máximo log10(1 + área). Esse teto é o valor da lacuna absoluta, de modo que nenhuma resposta ínfima pode pontuar acima de resposta nenhuma.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ha, valor herdado da escala 1:250.000 da fase analógica do PRODES e mantido desde então para preservar a harmonia da série histórica,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 Complemento descritivo. Sob o limiar de 6,25 ha, 135 municípios, e não 220, não registram nenhum ano de pressão. Destes, 105 têm desmatamento acumulado que arredonda a zero no PRODES e, ainda assim, R$ 473 milhões em 1.746 autos de desmatamento do IBAMA, concentrados em Tocantins (67), Maranhão (25) e Mato Grosso (13). A divergência não decorre de erro de atribuição municipal (92,9% dos autos com coordenada caem no próprio município, contra 93,5% no painel; cf. seção 6, item 8) nem de fatos anteriores ao período (nenhum dos 378 autos com data de fato é anterior a 2008). Esses autos são, em média, menores (29,9% abaixo de 6,25 ha, contra 11,3% no restante) e o campo CLASSIFICACAO_AREA do IBAMA os associa predominantemente a propriedade particular (35,5%, contra 4,0%) e reserva legal (10,1%, contra 4,4%), e raramente a floresta nativa (4,8%, contra 22,8%). Registra-se a divergência sem hipótese sobre sua causa.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  <w:r>
        <w:rPr>
          <w:b/>
          <w:bCs/>
        </w:rPr>
        <w:t xml:space="preserve"> A objeção do contador de anos: </w:t>
      </w:r>
      <w:r>
        <w:t>o EGS médio correlaciona 0,983 com o número de anos com pressão sobre os 772, e 0,955 sobre os 552 (Spearman). A correlação é esperada, porque a persistência é um dos dois fatores da identidade, e sozinha ela não responde à objeção. O que responde é manter a persistência constante: entre os 187 municípios com pressão nos dezoito anos, onde o segundo fator vale 1 para todos, o índice ainda vai de 0,336 a 1,179, um fator de 3,5, e esses 187 ocupam da primeira à 297ª posição do ranking. No topo a persistência está saturada, porque os vinte primeiros têm 18/18, e a ordenação ali é inteiramente severidade.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2025, cujo total no painel diverge -8,3% da taxa nacional consolidada, o maior dos quatro desvios de âncora (§4.1), e que segue sujeito a revisão em atualizações posteriores do PRODES.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tanto no DuckDB quanto no R (log10() explícito nas duas pontas, não o log() natural do R), sincronizado deliberadamente: o piso (GREATEST/pmax) compara o denominador com uma constante fixa que não escala com a base logarítmica, então bases diferentes fariam o piso disparar em casos distintos em cada implementação.</w:t>
      </w:r>
    </w:p>
    <w:p>
      <w:pPr>
        <w:ind w:firstLine="709"/>
      </w:pPr>
      <w:r>
        <w:t>Os eixos são os dois termos da fórmula, e não grandezas escolhidas por conveniência: no eixo horizontal o numerador, log10(1 + km² desmatados); no vertical o denominador, a média geométrica dos logaritmos de autos e de multas deflacionadas, com o mesmo piso de 1 que o pipeline aplica. Como o EGS é a razão entre os dois, as linhas de EGS constante são retas que passam pela origem, com inclinação 1/EGS, e as três tracejadas marcam EGS 0,25, 0,5 e 1. A figura é um nomograma do índice, não uma dispersão com uma referência escolhida à mão: a versão anterior cruzava desmatamento com o valor das multas contra uma diagonal fixa de R$ 100 mil por km², que a sexta auditoria já havia registrado como não sendo o lugar geométrico de EGS = 1. Três leituras dependem disso. O piso do denominador é uma linha visível, e os 106 municípios que repousam sobre ela, entre os 639 desenhados, são aqueles cuja resposta federal a fórmula trata como ausente; Governador Luiz Rocha, o caso-âncora de lacuna absoluta, está entre eles. Os 133 municípios cujo desmatamento acumulado arredonda a zero no período não aparecem, porque uma razão entre pressão e resposta não tem o que dizer onde não houve pressão. E o gráfico aplica a fórmula aos totais de dezoito anos, enquanto o índice publicado é a média das razões anuais com 0-fill: entre os 639 desenhados as duas ordenações concordam a um Spearman de 0,503, o que é fraco. A figura desenha a fórmula, não reproduz o ranking, e a diferença mede quanto a escolha de agregação pesa neste índice. A cor indica o tipo de lacuna dominante ao longo dos dezoito anos, com empates, 23 dos 772, resolvidos a favor da categoria mais grave, e os nomes destacam os seis casos-âncora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7_loglog_scatt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A fórmula do EGS desenhada: numerador (km² desmatados) contra denominador (média geométrica de log(1+autos) e log(1+multas)), com as retas de EGS constante. Abaixo de uma reta = EGS acima daquele valor. A horizontal em 1 é o piso do denominador, anotada na figura com os 106 municípios que repousam sobre ela. Os seis nomes destacados são os mesmos das figuras 8 e 9.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2025 −8,3% (5.258 vs. 5.731 consolidado).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maior. O export municipal usado aqui foi baixado em 25/04/2026, depois da consolidação de março de 2026; somas municipais e taxa estadual divergem por construção, e o ano mais recente segue sujeito a revisão em atualizações posteriores do PRODES: é a razão da nota “último ano sujeito a revisão”, mantida. Três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2025, e o desvio correto é −3,9%, não −0,4%; (iii) o âncora de 2025 vinha sendo comparado à estimativa preliminar de 5.796 km², de outubro de 2025, superada pela taxa consolidada de 5.731 km² divulgada pelo INPE em março de 2026, e o desvio correto é −8,3%, não −9,3%.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ind w:firstLine="709"/>
      </w:pPr>
      <w:r>
        <w:t xml:space="preserve">A evidência que de fato discrimina entre as duas janelas é estreita: 59,2% dos autos casam com pressão material nos dois anos e 35,1% em nenhum, de modo que apenas 5,7% (4,7 contra 1,0) separam uma hipótese da outra. A distribuição mensal dos autos, com pico em setembro e outubro, não decide: a estação seca facilita tanto a supressão quanto a operação de campo do IBAMA, e as duas leituras preveem o mesmo padrão. O custo da escolha foi medido: atribuindo o auto do ano seguinte ao desmatamento do ano anterior, 724 dos 3.063 município-anos de lacuna absoluta (23,6%) deixariam essa categoria. O teste documenta a sensibilidade da janela adotada, não a justifica. As quatro proporções são invariantes ao filtro de escopo: os 33 municípios descartados têm área zero em todos os anos e nunca casaram em nenhuma das duas janelas.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Auditorias externas sucessivas replicaram o pipeline inteiro a partir dos CSVs brutos em ambientes isolados; a mais recente (2026-08-03)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a ordem física das linhas de egs_final também não é determinística entre execuções, embora os valores sejam idênticos linha a linha. Comparações exigem tolerância, e a do egs_ranking, cuja ordem é o próprio ranking, está fixada pelo check export_ranking_stale.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2"/>
      </w:pPr>
      <w:r>
        <w:t xml:space="preserve">4.4 O que o índice acrescenta ao numerador</w:t>
      </w:r>
    </w:p>
    <w:p>
      <w:r>
        <w:t xml:space="preserve">Validação de construto, não resultado substantivo: as três verificações abaixo testam se o EGS mede algo que seus componentes não medem. As três são descritivas e usam apenas o painel publicado.</w:t>
      </w:r>
    </w:p>
    <w:p>
      <w:pPr>
        <w:pStyle w:val="Heading3"/>
      </w:pPr>
      <w:r>
        <w:t xml:space="preserve">4.4.1 Divergência do numerador</w:t>
      </w:r>
    </w:p>
    <w:p>
      <w:r>
        <w:t xml:space="preserve">O desmatamento acumulado correlaciona 0,967 com o EGS médio de 18 anos (Spearman, sobre os 772; sobre os 552 com pressão é 0,940, e o Pearson dos valores brutos é 0,417, porque a relação é monótona e não linear), e a leitura corrente dessa correlação é de redundância. Ela descreve o miolo, não as caudas. Entre os 552 municípios com pressão, o deslocamento mediano entre a posição no desmatamento e a posição no EGS é de 24 posições, o percentil 90 é 97, e 51 municípios (9%) se deslocam mais de 100 posições. Nos extremos: Novo Progresso (PA) é o 7º em desmatamento e o 205º em lacuna, com 1.148 autos e R$ 2,22 bilhões em multas; Lábrea (AM) é o 4º e o 201º, com 1.576 autos e R$ 2,28 bilhões; Porto Velho (RO) é o 3º e o 199º, com 2.938 autos e R$ 1,37 bilhão. Na direção oposta, Governador Luiz Rocha (MA) é o 200º em desmatamento e o 54º em lacuna, com zero autos e zero reais em dezoito anos, e Fortuna (MA) é o 197º e o 59º, com um auto. Um mapa de desmatamento aponta para o Pará; o índice aponta para o Maranhão.</w:t>
      </w:r>
    </w:p>
    <w:p>
      <w:pPr>
        <w:ind w:firstLine="709"/>
      </w:pPr>
      <w:r>
        <w:t>Desmatamento acumulado em km² absolutos por município, em quintis: o numerador bruto da fórmula do EGS. Correlaciona 0,967 com o índice, e essa correlação descreve o miolo, não as caudas: entre este mapa e a figura 5 o município mediano se desloca 24 posições e 51 se deslocam mais de cem (cf. 4.4.1). Duas advertências de leitura. A variável é extensiva, então o mapa desenha tamanho de município tanto quanto desmatamento, e é a figura 3 que corrige isso. E o quintil iguala a contagem de municípios, não a área: os quintis 4 e 5 reúnem 40% dos municípios e 74% do território desenhado, o que faz o mapa parecer mais escuro do que a classificação promete.</w:t>
      </w:r>
    </w:p>
    <w:p>
      <w:r>
        <w:t>O mesmo numerador da figura 2, normalizado pela área do município. É a resposta ao problema da unidade areal modificável: o desmatamento absoluto correlaciona 0,58 com a área territorial do próprio município, e o percentual, 0,16. A comparação entre as duas figuras é o argumento: o quintil mediano do Amazonas cai de 3,0 para 1,0 e o do Maranhão sobe de 2,0 para 4,0, porque a primeira infla municípios grandes e afunda municípios pequenos.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1_deforestation_ab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Desmatamento acumulado absoluto (km²) por quintil, entre os 552 municípios com pressão; cinza = sem pressão; contorno grosso = top 20 EGS.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2_deforestation_pc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Percentual do território municipal desmatado (2008-2025), por quintil; cinza = sem pressão; contorno grosso = top 20 EGS.</w:t>
      </w:r>
    </w:p>
    <w:p>
      <w:pPr>
        <w:pStyle w:val="Heading3"/>
      </w:pPr>
      <w:r>
        <w:t xml:space="preserve">4.4.2 O índice não é um proxy invertido de volume de fiscalização</w:t>
      </w:r>
    </w:p>
    <w:p>
      <w:r>
        <w:t>A objeção mais forte ao EGS é que ele apenas inverta a presença federal. A predição falseável é direta: se fosse esse o caso, os municípios que mais recebem fiscalização não poderiam estar piorando. Entre os 107 municípios cuja média recente de EGS supera a histórica em 0,05 ou mais, a maior mancha contígua reúne 35 no norte do Mato Grosso, com mediana de 79 autos e R$ 157,7 milhões em multas. O grupo de comparação sai da mesma regra, invertida e vizinha: os 33 municípios que melhoram em 0,05 ou mais e tocam essa mancha, distribuídos por MT (21), RO (6), PA (3), AM (2) e TO (1), com mediana de 46 autos e R$ 38,1 milhões. Os que pioram recebem quase o dobro dos autos e mais de quatro vezes as multas dos vizinhos imediatos que melhoram, e pioram assim mesmo. O índice está medindo proporção entre pressão e resposta, não volume de resposta.</w:t>
      </w:r>
    </w:p>
    <w:p>
      <w:r>
        <w:t xml:space="preserve">O denominador do índice tal como a fórmula o define: a média geométrica dos dois componentes da resposta, raiz de log(1+autos) vezes log(1+multas), calculada no grão municipal sobre os totais de dezoito anos. Mapear apenas o valor das multas contradiria o índice justamente nos casos que a seção 3 usa para justificar a média geométrica: Piçarra (PA) tem um único auto de R$ 123 milhões, que por valor seria resposta máxima e no denominador cai para o primeiro quintil, porque a média colapsa quando um dos fatores é pequeno. Quintil de rank pelo mesmo motivo das demais figuras. Duas categorias ficam fora da rampa: os 220 sem pressão medida, no mesmo cinza das outras figuras, e os 66 que tiveram pressão material e nunca foram multados, que são a lacuna absoluta no grão municipal. O piso GREATEST(1, .) da fórmula não é aplicado aqui: é um dispositivo anual, e sobre totais de dezoito anos ele seria inerte pelo mesmo motivo que a seção 3.1 mede no grão anual.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3_fines_map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Resposta federal (média geométrica dos logaritmos de autos e de multas deflacionadas), por quintil, entre os 486 municípios com pressão e com multa; vermelho = pressão sem multa (66); cinza = sem pressão (220).</w:t>
      </w:r>
    </w:p>
    <w:p>
      <w:pPr>
        <w:pStyle w:val="Heading3"/>
      </w:pPr>
      <w:r>
        <w:t xml:space="preserve">4.4.3 Os casos que nenhum componente encontra sozinho</w:t>
      </w:r>
    </w:p>
    <w:p>
      <w:r>
        <w:t xml:space="preserve">Os 107 municípios em piora formam 29 manchas contíguas, das quais duas concentram 59 deles e são regimes opostos. A primeira, 35 municípios no norte do Mato Grosso (34 em MT, 1 em RO), está no quintil 5 de desmatamento e no 4 de percentual desmatado, com mediana de 79 autos, nenhum município sem multa e R$ 7,14 bilhões acumulados. A segunda, 24 municípios no Solimões e no centro do Amazonas (23 em AM, 1 em RR), está no quintil 2,5 de desmatamento e no quintil 1 de percentual desmatado, com mediana de dois autos, um quarto nunca multado e R$ 116 milhões no total. A segunda mancha ocupa 583 mil km², mais território que a primeira, com um onze avos do desmatamento e um sessenta e dois avos das multas; a razão entre as multas medianas das duas é de 1 para 1.677. Nenhum mapa de pressão apontaria a segunda, porque em termos de desmatamento ela é irrelevante, e nenhum mapa de resposta a apontaria, porque fiscalização baixa em área sem pressão é o comportamento esperado. Apenas a razão entre os dois a encontra.</w:t>
      </w:r>
    </w:p>
    <w:p>
      <w:r>
        <w:t>Ressalva metodológica sobre 4.4.2 e 4.4.3: a medida de tendência é avg_egs_3y menos avg_egs_18y, e os três anos recentes integram a média de dezoito, o que introduz regressão à média. Entre os 552 com pressão em algum ano, o Spearman entre o nível histórico e a variação é -0,173, isto é, existe e é fraco, e a operacionalização concorrente, o coeficiente angular de 18 anos (slope_egs), concorda em sinal com esta em 71% (a comparação exclui o único município cuja variação é exatamente zero, onde não há sinal a comparar). Duas advertências sobre esses dois números. Eles descrevem os 552, e as figuras 7 e 8 classificam em faixas apenas os 391 com pressão material em 2023-2025: restrito a esses, o Spearman vai a -0,276 e a concordância com slope_egs cai a 63%. E o lado da melhora é o frágil: dos 401 municípios cuja média recente é menor que a histórica, 161, ou 40%, têm média recente exatamente zero, ou seja pressão que cessou e não lacuna que fechou. O lado da piora não sofre disso: nenhum dos 107 de 4.4.2 tem pressão recente zerada.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rPr>
          <w:cantSplit/>
          <w:tblHeader/>
        </w:trP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 A categoria absolute_gap agrega dois casos tratados de forma idêntica pela fórmula: ausência total de autuação e autuação lavrada com multa nula ou próxima de zero.</w:t>
      </w:r>
    </w:p>
    <w:p>
      <w:pPr>
        <w:ind w:firstLine="709"/>
      </w:pPr>
      <w:r>
        <w:t xml:space="preserve">O limiar de R$ 0,01 que separa absolute_gap de measured_gap não é um parâmetro calibrado: é o menor valor monetário representável, escolhido para que a categoria signifique ausência de resposta com valor, e não resposta de valor baixo. A fronteira é o zero, e o centavo apenas o operacionaliza em aritmética de ponto flutuante. Isso explica o segundo caso da categoria: autos com valor de multa ausente na fonte (356 dos 60.707, ou 0,6%) contam em n_autos mas somam zero em multas, e o município-ano cai em absolute_gap mesmo tendo autuação registrada. A classificação usa o valor deflacionado, não o nominal, o que afasta do limiar os valores mais antigos.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4_egs_mean18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EGS médio de 18 anos por quintil (ordinal), entre os 552 com pressão; cinza = sem pressão; contorno grosso = top 20 EGS.</w:t>
      </w:r>
    </w:p>
    <w:p>
      <w:pPr>
        <w:ind w:firstLine="709"/>
      </w:pPr>
      <w:r>
        <w:t>A série mostra, ano a ano, a situação anual dos 772 municípios (lacuna absoluta, lacuna medida ou sem pressão) e a área total desmatada, em dois painéis sobre o mesmo eixo de anos; revela o choque de capacidade fiscalizatória entre 2019 e 2022, com a inversão entre lacuna absoluta e lacuna medida em 2020, 2021 e 2022. A inversão não é exclusiva do choque: ela ocorre também em 2010 (213 contra 188) e em 2014 (185 contra 168), em magnitude muito menor que a de 2021 (246 contra 121). O que distingue o choque é a amplitude e a persistência por três anos seguidos, não o sinal.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6_annual_seri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Série anual: situação dos 772 municípios e área desmatada, em painéis separados sobre o mesmo eixo de anos. A faixa marca 2020-2022, o choque de capacidade fiscalizatória. A lacuna absoluta também supera a medida em 2010 e 2014, fora da faixa e em magnitude bem menor.</w:t>
      </w:r>
    </w:p>
    <w:p>
      <w:pPr>
        <w:pStyle w:val="Heading2"/>
      </w:pPr>
      <w:r>
        <w:t xml:space="preserve">5.2 Top 20</w:t>
      </w:r>
    </w:p>
    <w:tbl>
      <w:tblPr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W w:w="9072" w:type="dxa"/>
      </w:tblPr>
      <w:tblGrid>
        <w:gridCol w:w="500"/>
        <w:gridCol w:w="3100"/>
        <w:gridCol w:w="550"/>
        <w:gridCol w:w="1000"/>
        <w:gridCol w:w="1961"/>
        <w:gridCol w:w="1961"/>
      </w:tblGrid>
      <w:tr>
        <w:trPr>
          <w:tblHeader/>
          <w:cantSplit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 As duas últimas colunas somam 18 em todo município e mostram o que a média agrega: São Domingos do Maranhão tem 15 dos 18 anos sem multa alguma, enquanto Prainha tem 15 dos 18 com resposta presente e ainda assim desproporcional. Os dois chegam a posições vizinhas por caminhos opostos.</w:t>
      </w:r>
    </w:p>
    <w:p>
      <w:r>
        <w:t>A figura 5 mostra o nível; esta mostra a direção, medida como avg_egs_3y menos avg_egs_18y, a mesma quantidade que a figura 8 põe de um lado e de outro da diagonal de identidade. EGS subindo é a lacuna alargando. Duas ressalvas de leitura. Os vinte destacados pelo contorno foram selecionados pela média histórica, e a cor mede a variação contra essa mesma média, o que os puxa mecanicamente para o verde (Spearman -0,173 entre nível e variação). E verde não é veredito: o EGS cai quando a resposta sobe ou quando o desmatamento para, e o índice não distingue os dois casos. O caso extremo saiu da escala de cor: os 381 municípios sem pressão material em 2023–2025 estão agora em cinza, e 161 deles, que tiveram lacuna e deixaram de ter pressão, apareciam como melhora nas versões anteriores desta figura (76 em melhorando, 66 em estável, 19 em melhorando muito). Onde a pressão caiu sem zerar, a ambiguidade permanece, e esta figura deve ser lida contra a figura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5_egs_tren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Variação do EGS recente (2023-2025) contra a média histórica; faixa estável para variações abaixo de 0,05; cinza = sem pressão em 2023-2025 (381 municípios, dos quais 161 tiveram pressão antes e deixaram de ter); contorno grosso = top 20 EGS. Três ressalvas pertencem à própria figura. A operacionalização concorrente da direção, a inclinação OLS da série anual, concorda em sinal com esta em 244 dos 390 classificados com variação não nula: um em cada três municípios coloridos mudaria de lado sob uma escolha igualmente defensável. A faixa estável tem meia-largura 0,05 contra mediana absoluta de 0,122 entre os 391, de modo que ela cobre menos da metade do movimento típico. E o cinza aqui não é o cinza das figuras 2 a 5: lá são os 220 sem pressão alguma em dezoito anos, aqui os 381 sem pressão nos três anos recentes.</w:t>
      </w:r>
    </w:p>
    <w:p>
      <w:pPr>
        <w:ind w:firstLine="709"/>
      </w:pPr>
      <w:r>
        <w:t>Este gráfico de quadrante cruza o EGS médio histórico (18 anos) com o EGS médio recente (2023–2025) para identificar quem está piorando ou melhorando agora, e não apenas ao longo de toda a série. As faixas de cor são as mesmas da Figura 7, que mapeia esta mesma grandeza: a distância até a diagonal de identidade é exatamente a diferença que aquele mapa classifica. O cinza reúne os 381 municípios sem pressão material em 2023–2025, para os quais não há direção a medir: 220 nunca tiveram pressão em dezoito anos e 161 tiveram e deixaram de ter. Esses 161 antes apareciam como melhora, porque o 0-fill zera a média recente e a diferença fica negativa.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8_quadran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Histórico × recente, nas faixas da Figura 7. Acima da diagonal = piorando; cinza = sem pressão em 2023-2025 (381, dos quais 161 tiveram pressão antes). Os dois eixos se sobrepõem por construção: a média histórica de dezoito anos contém os três anos recentes, o que introduz regressão à média e é quantificado na ressalva metodológica ao fim da seção 4.4. Os nomes destacados são os mesmos seis casos-âncora das figuras 1 e 9, de modo que o leitor segue os mesmos municípios nas três. Aveiro (PA), o mais alto do top 20, com média recente de 1,508 contra 1,109 histórica, é o caso corrente mais alarmante do top 20 e é discutido no texto.</w:t>
      </w:r>
    </w:p>
    <w:p>
      <w:pPr>
        <w:pStyle w:val="Heading2"/>
      </w:pPr>
      <w:r>
        <w:t xml:space="preserve">5.3 Casos-teste</w:t>
      </w:r>
    </w:p>
    <w:p>
      <w:pPr>
        <w:ind w:firstLine="709"/>
      </w:pPr>
      <w:r>
        <w:t xml:space="preserve">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2026-08-03. A comparação com os rankings descartados das versões 2 e 3, que mostra quais achados sobrevivem a uma troca completa de método e o que cada queda revela sobre o que o desenho novo passou a pesar, está desenvolvida no writing sample, seção 6.1.</w:t>
      </w:r>
    </w:p>
    <w:p>
      <w:pPr>
        <w:ind w:firstLine="709"/>
      </w:pPr>
      <w:r>
        <w:t xml:space="preserve">As séries anuais dos seis casos-âncora mostram a distinção que a média de dezoito anos agrega e que uma tabela não exibe. Cachoeira do Piriá é alta e contínua; Cumaru do Norte sobe ao longo da série, apesar dos 112 autos e dos R$ 761,9 milhões que recebeu; Nova Nazaré tem dois anos não nulos em dezoito; Governador Luiz Rocha declina devagar. Santo Afonso (MT) é o caso que a regra antiga do cinza teria lido ao contrário: catorze anos consecutivos acima do limiar de materialidade, zero autos e zero reais nos dezoito, e então o desmatamento cessa e a série vai a zero. Pela definição anterior, em que o cinza era ausência de pressão em toda a série, ele não seria cinza, e sua diferença de −0,491 o poria na faixa de melhora mais forte do painel. Nada melhorou: o desmatamento acabou e a resposta nunca veio. Apuí é a exceção instrutiva: sua série é plana entre 0,5 e 0,8, e o pico de 2009 é o ano de auto único comentado no writing sample. A correção de 2023–2025 que aquele texto descreve não aparece aqui porque ela está do lado da resposta, que este gráfico não plota. Persistência e episódio têm formas diferentes, e é essa diferença que o ranking pondera.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64992"/>
            <wp:docPr id="1" name="18_anchor_small_multipl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EGS anual dos seis casos-âncora (2008-2025). A linha tracejada é a média de dezoito anos, o critério de ordenação do ranking: a distância entre ela e os pontos recentes é o que as figuras 7 e 8 classificam. O ponto vazado marca EGS igual a zero, que é zero estrutural, ano abaixo do limiar de 1 km², e não resposta federal medida como nula: Nova Nazaré tem dezesseis deles e Santo Afonso, quatro no fim da série. Escalas iguais entre painéis; o eixo y é o EGS anual, não o rank. Os seis municípios são os mesmos das figuras 1 e 8.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Mesmo o caso nº 1 tem resposta federal que o índice não vê: em setembro de 2025 a Polícia Federal, com apoio do IBAMA, fechou cinco garimpos ilegais de ouro em Cachoeira do Piriá, inutilizando nove tratores e cerca de 45 motores. Os três autos do município em 2025 são todos de tipo “Qualidade Ambiental”, nenhum de desmatamento: o motor da supressão ali é garimpo, e a fiscalização que ele atrai não é lavrada como infração de desmatamento.</w:t>
      </w:r>
    </w:p>
    <w:p>
      <w:pPr>
        <w:pStyle w:val="Heading2"/>
      </w:pPr>
      <w:r>
        <w:t xml:space="preserve">5.5 Responsividade ao longo do tempo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aumento do desmatamento deveria, por essa lógica, elevar a fiscalização no período seguinte. Testado em painel com efeitos fixos de município e de ano, erros-padrão clusterizados por município: o mesmo desenho planejado para a tese, reproduzido em R/fixest (viz/04_panel_effects.R, itens 10 e 11).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anual (Δlog-área de t−1 para t) como preditor da resposta em t+1, controlando o nível contemporâneo, o sinal é o oposto do esperado: um aumento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aumento (d_pos) e redução (d_neg), o efeito é específico do aumento (autos: −0,114, EP 0,032, p &lt; 0,001; queda: −0,005, n.s.): descartando reversão à média genérica como explicação mecânica. Essa assimetria vale para a contagem de autos e não para o valor: com a multa como desfecho, os dois lados se movem, aumento −0,501 (EP 0,211) e redução −0,274 (EP 0,159), este com intervalo que cruza zero por pouco (−0,586 a +0,038). Como d_neg é uma variável negativa, o coeficiente negativo significa que reduzir o desmatamento é seguido de mais dinheiro em multas, e não de menos, de modo que no valor o padrão é monótono nos dois sentidos, e não a assimetria que uma leitura de capacidade esgotada exigiria.</w:t>
      </w:r>
    </w:p>
    <w:p>
      <w:pPr>
        <w:ind w:firstLine="709"/>
      </w:pPr>
      <w:r>
        <w:t>O que esse coeficiente identifica, dito com precisão, porque a especificação convida ao engano. Como d_log_area é log_area em t menos log_area em t−1, e log_area em t entra no mesmo modelo, o par é uma reparametrização exata de um modelo em níveis defasados: a resposta em t+1 é (β_d + β_nível) vezes a área em t, menos β_d vezes a área em t−1. Com β_d igual a −0,057, o coeficiente sobre a área em t−1 é +0,057. Lida assim, a especificação não identifica resposta ao aumento enquanto aumento: ela diz que, mantida fixa a área deste ano, o município que desmatou mais no ano anterior recebe mais fiscalização no ano seguinte, e o sinal negativo sobre a diferença é o mesmo fato dito ao contrário, porque a nível corrente fixo um aumento maior significa um ano anterior menor. O mesmo vale para a multa: β_d de −0,399 corresponde a +0,399 sobre o nível defasado. A equivalência é algébrica, não estimada, e é falseável: rodando log_infra_f1 ~ log_area + log_area_l1 sobre a mesma amostra, o coeficiente defasado tem que sair em +0,057. É por isso que o event study, que estima leads e lags do aumento diretamente em vez de reparametrizar, é o teste que decide, e é ele que sai frágil.</w:t>
      </w:r>
    </w:p>
    <w:p>
      <w:pPr>
        <w:ind w:firstLine="709"/>
      </w:pPr>
      <w:r>
        <w:t xml:space="preserve">Event study: a especificação de um lag isolado é a mais favorável ao efeito. Estimando simultaneamente leads e lags do aumento (tempo-evento -2 a +2, com coeficientes pré-evento em -2 e -1, que funcionam como placebo,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(pré-evento)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+0,036 (0,029)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(0,195)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(pré-evento)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−0,001 (0,030)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+0,071 (0,218)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(aumento)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−0,063 (0,047)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−0,212 (0,273)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−0,034 (0,031)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0,000 (0,207)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−0,015 (0,024)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(0,181) n.s.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 xml:space="preserve">Estimativas geradas por viz/04_panel_effects.R (fixest 0.12.1); efeitos fixos de município e de ano, erros-padrão clusterizados por município entre parênteses; N = 10.036 nos dois desfechos.</w:t>
      </w:r>
    </w:p>
    <w:p>
      <w:pPr>
        <w:ind w:firstLine="709"/>
      </w:pPr>
      <w:r>
        <w:t xml:space="preserve">Para autos, a trajetória é direcionalmente compatível com o corte estreito (coeficientes pré-evento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resposta menor após aumento: o aumento do desmatamento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event study é precisamente o instrumento que a tese planeja construir com grão mensal e comparação Brasil-Indonésia.</w:t>
      </w:r>
    </w:p>
    <w:p>
      <w:pPr>
        <w:ind w:firstLine="709"/>
      </w:pPr>
      <w:r>
        <w:t xml:space="preserve">O gráfico de coeficientes resume as especificações do modelo com efeitos fixos de município e de ano: cada ponto é uma estimativa com intervalo de confiança de 95%. Dentro do mesmo município, mais desmatamento no ano corrente está associado a mais autuações; já um aumento do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14_coefficient_plo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Cinco coeficientes de três especificações, todas com efeitos fixos de município e de ano e erros-padrão clusterizados por município. Ponto = estimativa; barra = intervalo de confiança de 95%; barra que cruza a linha tracejada do zero é compatível com ausência de associação. As duas primeiras linhas medem o nível de desmatamento; a terceira mede a variação anual em relação ao ano anterior; as duas últimas decompõem essa variação em aumento e redução. As três linhas de variação controlam o nível contemporâneo, e as de aumento e redução controlam também o nível em t+1. As multas são deflacionadas para a base de 2025.</w:t>
      </w:r>
    </w:p>
    <w:p>
      <w:pPr>
        <w:ind w:firstLine="709"/>
      </w:pPr>
      <w:r>
        <w:t xml:space="preserve">O event study examina essa anomalia de forma distribuída no tempo, mostrando a associação entre o aumento anual do desmatamento e os autos e multas numa janela de −2 a +2 anos, com dois coeficientes pré-evento, que funcionam como placebo;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15_event_stud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Event study da resposta menor após aumento: direcional (autos), frágil (ICs cruzam zero). O eixo horizontal é o tempo relativo ao aumento; os tempos -2 e -1 são coeficientes pré-evento e funcionam como placebo, porque a resposta de hoje não pode reagir a um aumento que ainda não ocorreu. Multas deflacionadas para a base de 2025.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E há uma quarta situação, mensurável: presença federal em outro instrumento. O índice conta autos de tipo desmatamento; nos vinte do topo, são 1.187 dos 3.052 lavrados, cerca de 39%, ou 1.345 dos 3.513 registrados, 38,3%, se a contagem incluir os 360 cancelados, os 95 sem status e os 6 substituídos ou excluídos. As duas populações dão o mesmo diagnóstico, e a diferença entre elas não decide nada; os números por município abaixo correm sobre a população lavrada, que é a que o índice usa. Ficam de fora fauna, pesca, controle ambiental, cadastro e unidade de conservação. Esta última é a limitação de (2) vista pelo lado do dado: em Jacareacanga, 26 dos 215 autos lavrados e não contados são de tipo “Unidade de Conservação”, e 152 dos 429 se a população for a ampla, e a resposta em território gerido pelo ICMBio não é lavrada pelo braço que este índice conta. Nos extremos, Cachoeira do Piriá conta 19% e Acará, 14%. (2) PRODES ≠ desmatamento ilegal (caso Barra do Bugres; nenhuma checagem sistemática de AUTEX/DOF no top 20). A busca externa da sexta auditoria encontrou supressão licenciada em Oriximiná, 19º (Mineração Rio do Norte, 12.639 ha até 2022 na Flona Saracá-Taquera, sob licenciamento federal) em Autazes, 18º (projeto de potássio licenciado pelo IPAAM em abr/2024); e em Acará, 7º (cerca de 4.800 ha convertidos entre 2007 e 2018 para dendê, sobre 26.520 ha no painel, com autorização alegada pelas empresas e contestada por pesquisadores); e território sob regime especial em Porto de Moz, 2º (Resex federal Verde para Sempre, gerida pelo ICMBio) e Jacareacanga, 13º (TI Munduruku, cerca de 40% do território municipal,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O último ano do painel, 2025, já é taxa consolidada (INPE, 10/03/2026, anterior ao snapshot de 25/04/2026), e segue passível de revisão em reprocessamentos futuros do PRODES, como qualquer ano da série; o desvio de -8,3% contra a taxa oficial é diferença de objeto, não consolidação pendente, ver §4.1. (8) Atribuição municipal do auto: verificada, não presumida. O pipeline lê COD_MUNICIPIO como o município do fato. O CSV bruto traz também NUM_LATITUDE_AUTO e NUM_LONGITUDE_AUTO, que nenhuma camada deste projeto usa; um teste de ponto em polígono contra a malha municipal do IBGE, sobre os 39.486 autos do painel com coordenada plausível, situa 93,5% deles dentro do polígono do município declarado. A taxa é a mesma nas capitais (Belém 92,7%, Manaus 94,5%) e nas fronteiras de desmatamento (Altamira 94,0%, Itaituba 93,7%), o que afasta a hipótese de que a coluna registre o local de lavratura do auto e não o do fato. Dos 6,2% discordantes, 37% estão a menos de 5 km da fronteira do município declarado, compatível com precisão de GPS e vintage de malha; cerca de 460 autos, ou 1% do total, estão a mais de 100 km e são erro de registro. Outros 4.606 autos (7,9% dos 58.242 que trazem coordenada) têm coordenada impossível, com latitude chegando a 86 graus: irrelevante aqui, porque nenhuma coluna geográfica do auto é lida, e incontornável em qualquer extensão para o grão de coordenada. Esta verificação não integra o código publicado porque exige a pasta data/data_ibama/ completa, não versionada por conter nome e CPF/CNPJ do autuado.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(sucessivas rodadas de auditoria adversarial) foi mantido como registro de desenvolvimento interno, não incluído neste repositório; o resumo das mudanças que alteraram números publicados é a tabela abaixo: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rPr>
          <w:cantSplit/>
          <w:tblHeader/>
        </w:trP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Rodadas iniciais, v1 a 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de redesenho, v4/v5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de visualização e camada (17-18/08/2026)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Suíte de 14 para 11 figuras, integradas ao corpo dos documentos; egs_trend, numerador_18y e denominador_18y passam a colunas de egs_ranking; grupo de comparação de 4.4.2 recomputado (35 → 33 municípios, mediana 42 → 46 autos); três agregados do denominador removidos por não terem código que os produzisse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classificação de direção duplicada em duas figuras com faixas discordantes; números de 4.4.2 anteriores à classificação sobre valor de 3 decimais e à contiguidade rainha; Spearman 0,993 vivia como guarda de viz/01_maps.R, cálculo analítico na camada de desenho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Rodada de revisão visual (19/08/2026)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Siglas dos nove estados nos cinco mapas; zeros estruturais vazados na figura 9; piso do denominador anotado na figura 1; o denominador nomeado como o que é (média geométrica dos logaritmos) no eixo da figura 1 e na legenda da figura 4; categorias fora da ordem da rampa nas legendas; OUTCOME_COLOURS invertido e o geom_line do event study removido; tabela do top 20 no resumo executivo; a concordância das duas operacionalizações de direção (244 dos 391) declarada na legenda da figura 7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auditoria visual independente sobre as onze figuras; a linha do event study desenhava um V que os intervalos não sustentam; a série de autos, com os intervalos estreitos e o achado do texto, estava no azul mais claro da rampa, saliência inversa à precisão; o cinza da figura 7 e o das figuras 2 a 5 são conjuntos diferentes com a mesma tinta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Uma exceção de arquitetura fica declarada, e não é pendência: o cálculo dos modelos de painel da seção 5.5 vive no mesmo script que desenha as figuras 10 e 11, e não numa camada a montante como todas as demais decisões metodológicas do projeto. O motivo é técnico e não de conveniência: DuckDB não tem estimador de efeitos fixos, e reescrever à mão em SQL a transformação interna, a matriz sanduíche agrupada e os graus de liberdade seria mais lento, ilegível e não auditável, além de romper a correspondência que a própria seção 5.5 afirma, de que este é o desenho previsto para a tese. O que substitui a pureza de camada nesse ponto é o contrato de números publicados: os vinte coeficientes que os relatórios citam estão fixados como constantes ao lado do modelo que os produz e asseridos na execução, de modo que nenhum deles pode divergir da prosa sem que o script falhe primeiro.
Pendências conhecidas, nenhuma bloqueante: recomputar o overlap do top 20 contra a Portaria 1.717/2026 (lista já pública, 89 municípios); checksums SHA-256 dos brutos e fixture da lista MMA (ambos opcionais); três guardas sugeridas pela quarta auditoria (NULL em fine_value; chave de prodes_clean; checks de annual_summary).</w:t>
      </w:r>
    </w:p>
    <w:p>
      <w:pPr/>
      <w:r>
        <w:br w:type="page"/>
      </w:r>
    </w:p>
    <w:p>
      <w:pPr>
        <w:pStyle w:val="Heading1"/>
      </w:pPr>
      <w:r>
        <w:t>8. Princípios de codificação das figuras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foi produzido em R (fixest). EGS e pct_desmatado são ordinais: cor sempre por quintil de rank.</w:t>
      </w:r>
    </w:p>
    <w:p>
      <w:r>
        <w:t xml:space="preserve">As onze figuras seguem seis regras, e vale declará-las porque cada uma custa alguma coisa.</w:t>
      </w:r>
    </w:p>
    <w:p>
      <w:r>
        <w:t>(1) Cor é sempre quintil de rank, nunca valor bruto. EGS e percentual desmatado são ordinais, e as variáveis têm cauda longa: as multas vão de R$ 1.050 a R$ 3,75 bilhões, 926 vezes a mediana, e uma escala contínua colapsaria em meia dúzia de municípios escuros. O custo é apagar a magnitude dentro da classe, e o ganho é uma classificação estável entre execuções e comparável entre mapas, o que quebras naturais não seriam. O custo tem tamanho medido: no mapa do desmatamento acumulado o quintil mais escuro reúne municípios de 283,5 a 6.741,6 km², um fator de 23,8 sob a mesma cor, e no mapa do EGS a faixa relativamente mais larga é o quintil 1, de 0,006 a 0,093.</w:t>
      </w:r>
    </w:p>
    <w:p>
      <w:r>
        <w:t xml:space="preserve">(2) Os quintis dos mapas de nível correm sobre a mesma população, os 552 municípios com pressão material, de modo que um quintil significa a mesma coisa em figuras vizinhas. A figura 4 é a exceção, e é declarada na própria legenda: os 66 municípios que tiveram pressão e nunca foram multados saem da rampa como categoria própria, porque são a lacuna absoluta e não um nível baixo de resposta, e o quintil corre sobre os 486 restantes. A figura 7 não quintila: classifica em faixas de direção. Antes, com cada mapa quintilando o próprio universo, apenas 30% dos municípios caíam no mesmo quintil em figuras que se lêem em par, e esse número media a partição, não o dado.</w:t>
      </w:r>
    </w:p>
    <w:p>
      <w:r>
        <w:t>(3) Zeros estruturais são categoria, não classe baixa. Os 220 municípios sem nenhum ano acima do limiar de materialidade ficam fora da rampa, em cinza, e desde esta versão também fora da ordem da rampa na legenda. Distribuídos por quintil, valores idênticos apareceriam em duas cores diferentes por ordem de linha. O zero estrutural aparece em cinco recortes diferentes ao longo do relatório, e a diferença entre eles não é inconsistência: cada figura pergunta outra coisa. Nos mapas de nível o cinza são os 220 sem pressão material em dezoito anos, porque um nível de lacuna crônica exige pressão em algum momento. Na figura de direção o cinza são os 381 sem pressão em 2023-2025, porque uma direção exige pressão nos dois extremos da janela, e 161 dos 381 tiveram pressão antes e deixaram de ter. A figura 1 deixa de fora os 133 sem desmatamento algum em dezoito anos, porque uma razão entre pressão e resposta não é definida onde não houve pressão. E os 106 que aparecem no piso do denominador, entre os 639 desenhados na figura 1, não estão excluídos de nada: são municípios cuja resposta acumulada é tão baixa que a fórmula a trata como resposta mínima, e o piso os alinha numa reta horizontal que é um fato do índice, não do gráfico. A figura 9 mostra o quinto recorte no grão que os outros agregam: dentro de cada série anual o ponto vazado é o ano em que o município ficou abaixo do limiar, de modo que ali o zero estrutural aparece como evento, não como categoria.</w:t>
      </w:r>
    </w:p>
    <w:p>
      <w:r>
        <w:t xml:space="preserve">(4) Uma rampa de cor por quantidade: marrom para o desmatamento, azul para a resposta federal, ameixa para o EGS, e uma divergente vermelho-verde para a direção. Como a luminosidade já está ocupada codificando o quintil, o matiz é o único canal disponível para dizer ao leitor que duas figuras medem coisas diferentes.</w:t>
      </w:r>
    </w:p>
    <w:p>
      <w:r>
        <w:t>(5) Toda transformação é declarada. O logaritmo aparece nos eixos da figura 1 e no cálculo do denominador da figura 4; nos mapas de uma variável só ele seria inócuo, porque rank é invariante a transformação monótona.</w:t>
      </w:r>
    </w:p>
    <w:p>
      <w:r>
        <w:t xml:space="preserve">(6) Nenhuma figura traz título ou subtítulo embutido: o título vive como seção numerada neste texto, o que evita duplicar a mesma frase em dois lugares e qualquer descompasso de fonte entre o gráfico e o documento.</w:t>
      </w:r>
    </w:p>
    <w:p>
      <w:r>
        <w:t xml:space="preserve">Uma tensão fica declarada e não resolvida. A literatura experimental de percepção gráfica (Cleveland e McGill, 1984; replicada por Heer e Bostock, 2010) ordena os canais visuais por acurácia e põe cor de preenchimento perto do fim, atrás de posição e comprimento. Cinco das onze figuras deste relatório são coropléticos, isto é, codificam quantidade exatamente nesse canal. A justificativa é que a pergunta que elas respondem é espacial e nenhum gráfico de posição a responde; o preço é acurácia de leitura, e por isso nenhuma afirmação do texto depende de o leitor distinguir quintis vizinhos no mapa.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Resex Verde para Sempre. Brasília, DF: ICMBio. Área de 1.289.362,78 ha, criada pelo Decreto s/nº de 8 de novembro de 2004. Disponível em: https://www.gov.br/icmbio/pt-br/assuntos/biodiversidade/unidade-de-conservacao/unidades-de-biomas/amazonia/lista-de-ucs/resex-verde-para-sempre. Acesso em: 3 ago.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Novos dados do Prodes são atualizados pelo Programa BiomasBR. São José dos Campos: INPE, Programa BiomasBR, 10 mar. 2026. Disponível em: https://data.inpe.br/biomasbr/novos-dados-do-prodes-sao-atualizados-pelo-programa-biomasbr/.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Sistema PRODES: metodologia. Coordenação-Geral de Observação da Terra. São José dos Campos: INPE. Disponível em: http://www.obt.inpe.br/OBT/assuntos/programas/amazonia/prodes.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BRASIL. Polícia Federal. PF fecha cinco garimpos ilegais de ouro no nordeste do Pará. Brasília, DF: Polícia Federal, set. 2025. Disponível em: https://www.gov.br/pf/pt-br/assuntos/noticias/2025/09/pf-fecha-cinco-garimpos-ilegais-de-ouro-no-nordeste-do-para. Acesso em: 3 ago.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LAUT.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MONGABAY. Desmatamento e água contaminada: o lado obscuro do óleo de palma “sustentável” da Amazônia. mar. 2021. Disponível em: https://brasil.mongabay.com/2021/03/desmatamento-e-agua-contaminada-o-lado-obscuro-do-oleo-de-palma-sustentavel-da-amazonia/. Acesso em: 3 ago. 2026.</w:t>
      </w:r>
    </w:p>
    <w:p>
      <w:pPr>
        <w:spacing w:after="200" w:line="240" w:lineRule="auto"/>
        <w:jc w:val="left"/>
      </w:pPr>
      <w:r>
        <w:t xml:space="preserve">NAGIN, Daniel S. Deterrence in the twenty-first century: a review of the evidence. Crime and Justice, Chicago, v. 42, n. 1, p. 199-263, 2013. DOI: 10.1086/670398.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image" Target="media/image16.png"/><Relationship Id="rId90" Type="http://schemas.openxmlformats.org/officeDocument/2006/relationships/image" Target="media/image17.png"/><Relationship Id="rId91" Type="http://schemas.openxmlformats.org/officeDocument/2006/relationships/image" Target="media/image18.png"/><Relationship Id="rId14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