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68" w:after="0"/>
        <w:jc w:val="center"/>
      </w:pPr>
      <w:r>
        <w:rPr>
          <w:sz w:val="24"/>
          <w:szCs w:val="24"/>
        </w:rPr>
        <w:t xml:space="preserve">Diogo Grieco</w:t>
      </w:r>
    </w:p>
    <w:p>
      <w:pPr>
        <w:spacing w:before="1985" w:after="140"/>
        <w:jc w:val="center"/>
      </w:pPr>
      <w:r>
        <w:rPr>
          <w:b/>
          <w:bCs/>
          <w:color w:val="1a3d2e"/>
          <w:sz w:val="34"/>
          <w:szCs w:val="34"/>
        </w:rPr>
        <w:t xml:space="preserve">EGMS: Enforcement Gap Monitoring System</w:t>
      </w:r>
    </w:p>
    <w:p>
      <w:pPr>
        <w:spacing w:after="0"/>
        <w:jc w:val="center"/>
      </w:pPr>
      <w:r>
        <w:rPr>
          <w:i/>
          <w:iCs/>
          <w:color w:val="444444"/>
          <w:sz w:val="22"/>
          <w:szCs w:val="22"/>
        </w:rPr>
        <w:t xml:space="preserve">Um índice reproduzível da lacuna de fiscalização federal do desmatamento na Amazônia Legal</w:t>
      </w:r>
    </w:p>
    <w:p>
      <w:pPr>
        <w:spacing w:before="4260" w:after="0"/>
        <w:jc w:val="center"/>
      </w:pPr>
      <w:r>
        <w:rPr>
          <w:color w:val="666666"/>
          <w:sz w:val="18"/>
          <w:szCs w:val="18"/>
        </w:rPr>
        <w:t xml:space="preserve">resumo executivo · julho de 2026</w:t>
      </w:r>
    </w:p>
    <w:p>
      <w:r>
        <w:br w:type="page"/>
      </w:r>
    </w:p>
    <w:p>
      <w:r>
        <w:rPr>
          <w:b/>
          <w:bCs/>
        </w:rPr>
        <w:t xml:space="preserve">O problema. </w:t>
      </w:r>
      <w:r>
        <w:t xml:space="preserve">Dois sistemas públicos registram, de forma independente, os dois lados de uma mesma relação: o PRODES/INPE mede o desmatamento por satélite; o IBAMA registra as autuações federais que deveriam respondê-lo. Nenhum dos dois, sozinho, responde onde a fiscalização acompanha a pressão e onde ela simplesmente não aparece. O EGMS cruza as duas bases para os 772 municípios do painel municipal do PRODES (2008–2025, 13.896 município-anos) e transforma a pergunta em um índice auditável, o </w:t>
      </w:r>
      <w:r>
        <w:rPr>
          <w:b/>
          <w:bCs/>
        </w:rPr>
        <w:t xml:space="preserve">Enforcement Gap Score (EGS)</w:t>
      </w:r>
      <w:r>
        <w:t xml:space="preserve">.</w:t>
      </w:r>
    </w:p>
    <w:p>
      <w:pPr>
        <w:shd w:fill="F2F4F1" w:val="clear"/>
        <w:spacing w:after="40" w:before="4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EGS = log(1 + área desmatada) / max(1, √(log(1 + nº autos) × log(1 + multas reais)))</w:t>
      </w:r>
    </w:p>
    <w:p>
      <w:pPr>
        <w:shd w:fill="F2F4F1" w:val="clear"/>
        <w:spacing w:after="40" w:before="4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EGS = 0 quando a área do ano fica abaixo de 1 km²  ·  multas deflacionadas (IPCA, base 2025)</w:t>
      </w:r>
    </w:p>
    <w:p>
      <w:r>
        <w:t xml:space="preserve">Uma única fórmula para todas as observações: quando a resposta federal é zero, o denominador trava em 1 e o score vira o puro logaritmo da pressão: a “lacuna absoluta” é o caso-limite da mesma régua, não uma fórmula à parte. O ranking municipal ordena pela média do EGS nos 18 anos (anos sem pressão entram como zero), que é, por identidade algébrica verificada nos dados, severidade média × persistência.</w:t>
      </w:r>
    </w:p>
    <w:p>
      <w:r>
        <w:rPr>
          <w:b/>
          <w:bCs/>
        </w:rPr>
        <w:t xml:space="preserve">O que os dados mostram. </w:t>
      </w:r>
      <w:r>
        <w:t xml:space="preserve">Das 13.896 observações, 54,3% não têm pressão material; 22,0% são lacunas absolutas (desmatamento detectado, nenhuma multa federal no ano); 23,6% são lacunas medidas. O topo do ranking é estrutural, não episódico: os 20 primeiros têm pressão material em todos os 18 anos: 16 no Pará, 2 no Maranhão, 2 no Amazonas. O caso nº 1, Cachoeira do Piriá (PA): 410 km² desmatados contra 13 autos e R$ 4,3 milhões em 18 anos. Oito dos vinte constam da lista oficial de municípios prioritários do MMA (Portaria 1.202/2024): convergência de metodologias independentes em 40% do topo.</w:t>
      </w:r>
    </w:p>
    <w:p>
      <w:r>
        <w:rPr>
          <w:b/>
          <w:bCs/>
        </w:rPr>
        <w:t xml:space="preserve">O índice se deixa testar. </w:t>
      </w:r>
      <w:r>
        <w:t xml:space="preserve">Cumaru do Norte (PA, 12º) mostra o que o índice não distingue sozinho: 112 autos e R$ 761,9 milhões deflacionados em 12 dos 18 anos, com desmatamento persistente: presença federal sem efeito, não ausência. Apuí (AM) mostra o instrumento funcionando no tempo: pior trecho sustentado em 2020–22 (desmatamento a 440 km²/ano, resposta estagnada) e queda do EGS quando a resposta federal e estadual chega em 2023–25: o município cai para a posição 141. Um monitor que nunca rebaixa ninguém não está medindo nada.</w:t>
      </w:r>
    </w:p>
    <w:p>
      <w:r>
        <w:rPr>
          <w:b/>
          <w:bCs/>
        </w:rPr>
        <w:t xml:space="preserve">Stack e auditabilidade. </w:t>
      </w:r>
      <w:r>
        <w:t xml:space="preserve">DuckDB + SQL em camadas puras (staging → marts → analytics) + R (validação com stopifnot) + Power BI sobre 3 parquets. 54 checks com valores esperados versionados no próprio pipeline; toda decisão de fórmula tem teste empírico documentado (piso do denominador, limiar de materialidade, média 0-fill, deflator); 4 auditorias adversariais independentes, com replicação integral a partir dos dados brutos reproduzindo 54/54 checks.</w:t>
      </w:r>
    </w:p>
    <w:p>
      <w:pPr>
        <w:spacing w:after="0"/>
      </w:pPr>
      <w:r>
        <w:rPr>
          <w:b/>
          <w:bCs/>
        </w:rPr>
        <w:t xml:space="preserve">Limites, ditos como limites. </w:t>
      </w:r>
      <w:r>
        <w:t xml:space="preserve">O índice mede a lacuna de fiscalização </w:t>
      </w:r>
      <w:r>
        <w:rPr>
          <w:i/>
          <w:iCs/>
        </w:rPr>
        <w:t xml:space="preserve">federal</w:t>
      </w:r>
      <w:r>
        <w:t xml:space="preserve"> (aparatos estaduais ativos, como SEMAS-PA e IPAAM, são invisíveis ao dado); PRODES não distingue desmatamento autorizado de ilegal; a resposta é medida por autos lavrados, não por embargos ou arrecadação; o EGS é ordinal. Cada posição do ranking é uma hipótese priorizada para investigação: não um veredito.</w:t>
      </w:r>
    </w:p>
    <w:p>
      <w:r>
        <w:br w:type="page"/>
      </w:r>
    </w:p>
    <w:p>
      <w:pPr>
        <w:pStyle w:val="Heading1"/>
      </w:pPr>
      <w:r>
        <w:t xml:space="preserve">Visualizações</w:t>
      </w:r>
    </w:p>
    <w:p>
      <w:r>
        <w:rPr>
          <w:i/>
          <w:color w:val="5A655C"/>
          <w:sz w:val="18"/>
        </w:rPr>
        <w:t>Figuras geradas pela suíte de visualização em R/ggplot2 (viz/), a partir dos parquets do pipeline; o event study (fig. do surto) foi produzido em R (fixest). EGS e pct_desmatado são ordinais: cor sempre por quintil de rank.</w:t>
      </w:r>
    </w:p>
    <w:p>
      <w:pPr>
        <w:pStyle w:val="Heading2"/>
      </w:pPr>
      <w:r>
        <w:t xml:space="preserve">EGS médio de 18 anos, por quintil</w:t>
      </w:r>
    </w:p>
    <w:p>
      <w:r>
        <w:t xml:space="preserve">O mapa classifica os 772 municípios por quintil do EGS médio ao longo de 18 anos (2008–2025), o indicador central do sistema; quanto mais escura a cor, maior a lacuna crônica entre desmatamento e resposta fiscal.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c_egs_mean18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1. Enforcement Gap Score médio (2008–2025) por quintil. Escala ordinal (rank), nunca valor bruto; pinos verdes = top 20 do ranking.</w:t>
      </w:r>
    </w:p>
    <w:p>
      <w:pPr>
        <w:pStyle w:val="Heading2"/>
      </w:pPr>
      <w:r>
        <w:t xml:space="preserve">Exposição ao desmatamento x resposta federal em multas</w:t>
      </w:r>
    </w:p>
    <w:p>
      <w:r>
        <w:t xml:space="preserve">Este mapa bivariado combina duas informações no mesmo desenho: a cor mostra o quintil de desmatamento percentual e o tamanho da bolha mostra o total de multas aplicadas, com contorno para o top 20 em EGS, permitindo ver de forma direta onde pressão alta coincide (ou não) com resposta robusta.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67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d_bivariate_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2. Exposição ao desmatamento (cor = quintil de % desmatado) versus resposta federal (bolha com área ∝ multas deflacionadas); contorno grosso = top 20 EGS.</w:t>
      </w:r>
    </w:p>
    <w:p>
      <w:pPr>
        <w:pStyle w:val="Heading2"/>
      </w:pPr>
      <w:r>
        <w:t xml:space="preserve">Lacuna de fiscalização e desmatamento, por ano</w:t>
      </w:r>
    </w:p>
    <w:p>
      <w:r>
        <w:t xml:space="preserve">A série mostra, ano a ano, quantos municípios estão em cada tipo de lacuna (absoluta ou medida) e a área total desmatada no período (eixo secundário); revela o choque de capacidade fiscalizatória entre 2019 e 2022, com 2025 ainda sujeito a revisão.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nnual_ser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3. Série anual da lacuna por tipo (absoluta/medida) e área total desmatada; banda 2025 sujeita a revisão.</w:t>
      </w:r>
    </w:p>
    <w:p>
      <w:pPr>
        <w:pStyle w:val="Heading1"/>
      </w:pPr>
      <w:r>
        <w:t xml:space="preserve">Referências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Dados abertos: fiscalização, auto de infração. Brasília, DF: IBAMA. Disponível em: https://dadosabertos.ibama.gov.br/. Acesso em: 25 abr.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1.202, de 2024. Lista de municípios prioritários para ações de controle e prevenção do desmatamento na Amazônia Legal. Brasília, DF: Diário Oficial da União, 2024.</w:t>
      </w:r>
    </w:p>
    <w:p>
      <w:pPr>
        <w:spacing w:after="200" w:line="240" w:lineRule="auto"/>
        <w:jc w:val="left"/>
      </w:pPr>
      <w:r>
        <w:t xml:space="preserve">INSTITUTO BRASILEIRO DE GEOGRAFIA E ESTATÍSTICA (IBGE). Sistema IBGE de Recuperação Automática (SIDRA). Tabela 1737: Índice Nacional de Preços ao Consumidor Amplo (IPCA), variável 2266 (número-índice, dez. 1993=100). Rio de Janeiro: IBGE. Disponível em: https://sidra.ibge.gov.br/tabela/1737. Acesso em: 10 jul. 2026.</w:t>
      </w:r>
    </w:p>
    <w:p>
      <w:pPr>
        <w:spacing w:after="200" w:line="240" w:lineRule="auto"/>
        <w:jc w:val="left"/>
      </w:pPr>
      <w:r>
        <w:t xml:space="preserve">INSTITUTO NACIONAL DE PESQUISAS ESPACIAIS (INPE). PRODES: monitoramento do desmatamento da floresta amazônica brasileira por satélite. TerraBrasilis. São José dos Campos: INPE. Disponível em: https://terrabrasilis.dpi.inpe.br/. Acesso em: 25 abr. 2026.</w:t>
      </w:r>
    </w:p>
    <w:sectPr>
      <w:headerReference w:type="default" r:id="rId11"/>
      <w:headerReference w:type="first" r:id="rId12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right"/>
      <w:rPr>
        <w:rFonts w:ascii="Times New Roman" w:cs="Times New Roman" w:eastAsia="Times New Roman" w:hAnsi="Times New Roman"/>
        <w:sz w:val="24"/>
        <w:szCs w:val="24"/>
      </w:rPr>
    </w:pPr>
    <w:fldSimple w:instr=" PAGE ">
      <w:r>
        <w:rPr>
          <w:rFonts w:ascii="Times New Roman" w:cs="Times New Roman" w:eastAsia="Times New Roman" w:hAnsi="Times New Roman"/>
          <w:sz w:val="24"/>
          <w:szCs w:val="24"/>
        </w:rPr>
        <w:t>2</w:t>
      </w:r>
    </w:fldSimple>
  </w:p>
</w:hdr>
</file>

<file path=word/header2.xml><?xml version="1.0" encoding="utf-8"?>
<w:hdr xmlns:w="http://schemas.openxmlformats.org/wordprocessingml/2006/main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60" w:line="360" w:lineRule="auto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Times New Roman" w:cs="Times New Roman" w:eastAsia="Times New Roman" w:hAnsi="Times New Roman"/>
      <w:b/>
      <w:bCs/>
      <w:color w:val="1a3d2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Times New Roman" w:cs="Times New Roman" w:eastAsia="Times New Roman" w:hAnsi="Times New Roman"/>
      <w:b/>
      <w:bCs/>
      <w:color w:val="1a3d2e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Times New Roman" w:cs="Times New Roman" w:eastAsia="Times New Roman" w:hAnsi="Times New Roman"/>
      <w:b/>
      <w:bCs/>
      <w:i/>
      <w:iCs/>
      <w:color w:val="333333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2026-07-21T12:38:43.619Z</dcterms:created>
  <dcterms:modified xsi:type="dcterms:W3CDTF">2026-07-21T12:38:43.620Z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