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1a3d2e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444444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666666"/>
          <w:sz w:val="18"/>
          <w:szCs w:val="18"/>
        </w:rPr>
        <w:t xml:space="preserve">pipeline v5 / documentação v6 · julho de 2026</w:t>
      </w:r>
    </w:p>
    <w:p>
      <w:r>
        <w:br w:type="page"/>
      </w:r>
    </w:p>
    <w:p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quatro auditorias adversariais. Todos os números citados foram confirmados por replicação independente a partir dos dados brutos (última replicação: 2026-07-21; 54/54 verificações reproduzidas exatamente).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não registrada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r>
        <w:t xml:space="preserve">Os valores esperados das verificações são fotografias desses snapshots: o IBAMA revisa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54 verificações</w:t>
      </w:r>
    </w:p>
    <w:p>
      <w:r>
        <w:t xml:space="preserve">Cada arquivo termina numa única query consolidada (UNION ALL) que retorna check_name | actual | expected | status, com falhas ordenadas para o topo do grid: 7 checks em staging, 26 em marts, 20 em analytics e 1 pós-export: 54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</w:t>
      </w:r>
    </w:p>
    <w:p>
      <w:pPr>
        <w:pStyle w:val="Heading2"/>
      </w:pPr>
      <w:r>
        <w:t xml:space="preserve">2.2 O deflator IPCA</w:t>
      </w:r>
    </w:p>
    <w:p>
      <w:r>
        <w:t xml:space="preserve">Série mensal real do Sidra (tabela 1737, variável 2266, número-índice base dez/1993 = 100), agregada por média anual: os autos são lavrados o ano inteiro, com pico em setembro–outubro (11,1% dos autos),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0,796: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r>
        <w:t xml:space="preserve">Uma ordem de grandeza acima da unidade mínima de mapeamento real do PRODES (6,25 ha: verificada em documentação do INPE,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(23,4%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0,985 entre os rankings completos (772 municípios, empates por posto médio). O limiar move apenas a estatística descritiva (os 54,3% sem pressão), não a ordenação: resultado de robustez citável, não suposição.</w:t>
      </w:r>
    </w:p>
    <w:p>
      <w:pPr>
        <w:pStyle w:val="Heading2"/>
      </w:pPr>
      <w:r>
        <w:t xml:space="preserve">3.3 Média 0-fill como ordenação principal</w:t>
      </w:r>
    </w:p>
    <w:p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valor: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r>
        <w:t xml:space="preserve">Painel balanceado confirmado (772 × 18, sem lacunas); trajetória anual cruzada com a taxa oficial do INPE em quatro anos-âncora: 2008 +2,9% (13.289 aqui vs. 12.911 oficial), 2012 −3,2% (4.427 vs. ~4.571), 2024 −0,4% (6.263 vs. 6.288): três dentro de ~3%; 2025 diverge −8,3% a −9,3% (5.258 vs. 5.731–5.796), muito provavelmente porque o arquivo antecede a consolidação do ano em andamento (a mesma razão da nota “último ano sujeito a revisão”). Versões anteriores afirmavam “&lt;5%” para os quatro âncoras, correção já aplicada aqui: os âncoras são reportados individualmente, e o quarto não passa no critério.</w:t>
      </w:r>
    </w:p>
    <w:p>
      <w:pPr>
        <w:pStyle w:val="Heading2"/>
      </w:pPr>
      <w:r>
        <w:t xml:space="preserve">4.2 Validação do same-year join</w:t>
      </w:r>
    </w:p>
    <w:p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civil: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resultante, não estrutural. Três auditorias externas replicaram o pipeline inteiro a partir dos CSVs brutos em ambientes isolados; a quarta (2026-07-21) reproduziu os 54 valores esperados exatamente, confirmou a ordem física dos parquets de produção e recomputou todos os números de caso citados em prosa. Nota de reprodutibilidade: somas em ponto flutuante não são bit-reproduzíveis entre motores/threads: total_desmatado_km2 pode divergir em ±0,1 em ~10 municípios, e egs/fine_values no último bit (~1e-16); comparações exigem tolerância.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8.142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600"/>
        <w:gridCol w:w="1000"/>
        <w:gridCol w:w="450"/>
        <w:gridCol w:w="2300"/>
        <w:gridCol w:w="600"/>
        <w:gridCol w:w="1000"/>
      </w:tblGrid>
      <w:t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S. Domingos do Maranhão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Sta. Maria das Barreiras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</w:tr>
    </w:tbl>
    <w:p/>
    <w:p>
      <w:r>
        <w:t xml:space="preserve">Todos os 20 têm pressão material em 18/18 anos. Empate aparente no top 3/4: Monte Alegre (1,10893) precede Aveiro (1,10870) pela média não-arredondada: o desempate determinístico pela grandeza original, não pela versão de exibição, foi ele próprio um achado de auditoria (S18).</w:t>
      </w:r>
    </w:p>
    <w:p>
      <w:pPr>
        <w:pStyle w:val="Heading2"/>
      </w:pPr>
      <w:r>
        <w:t xml:space="preserve">5.3 Robustez entre versões e casos-teste</w:t>
      </w:r>
    </w:p>
    <w:p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2026-07-21.</w:t>
      </w:r>
    </w:p>
    <w:p>
      <w:pPr>
        <w:pStyle w:val="Heading2"/>
      </w:pPr>
      <w:r>
        <w:t xml:space="preserve">5.4 Verificação externa</w:t>
      </w:r>
    </w:p>
    <w:p>
      <w:r>
        <w:t xml:space="preserve">8/20 do topo constam da Portaria GM/MMA 1.202/2024 (81 municípios prioritários; lista de 2026, Portaria 1.717, ainda não obtida: o overlap real pode ser maior).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ausência de evidência (ex.: nada específico sobre Cachoeira do Piriá) é registrada como tal.</w:t>
      </w:r>
    </w:p>
    <w:p>
      <w:pPr>
        <w:pStyle w:val="Heading2"/>
      </w:pPr>
      <w:r>
        <w:t xml:space="preserve">5.5 Teste dinâmico de responsividade: efeitos fixos e event study</w:t>
      </w:r>
    </w:p>
    <w:p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item 16).</w:t>
      </w:r>
    </w:p>
    <w:p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r>
        <w:t xml:space="preserve">Corte estreito (um lag): isolando a variação abrupta (Δlog-área de t−1 para t) como preditor da resposta em t+1, controlando o nível contemporâneo, o sinal é o oposto do esperado: um salto abrupto prevê MENOS autos e MENOS multa no ano seguinte (autos: -0,057, p=0,002; multa: -0,401, p&lt;0,001), efeito que sobrevive ao controle por área em t+1 e persiste em t+2. Separado em alta (d_pos) e queda (d_neg) abruptas, o efeito é específico da alta (autos: -0,113, p&lt;0,001; queda: n.s.): descartando reversão à média genérica como explicação mecânica.</w:t>
      </w:r>
    </w:p>
    <w:p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+0,037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-0,001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+0,074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-0,062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-0,212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-0,033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+0,007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-0,016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(n.s.)</w:t>
            </w:r>
          </w:p>
        </w:tc>
      </w:tr>
    </w:tbl>
    <w:p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r>
        <w:t xml:space="preserve">(1) Lacuna federal, não lacuna simpliciter: três situações indistinguíveis com este dado: ausência real, substituição estadual, presença sem efeito; o viés é conservador numa direção só (onde há fiscalização estadual não capturada, a lacuna total é menor que a medida, nunca maior). (2) PRODES ≠ desmatamento ilegal (caso Barra do Bugres; nenhuma checagem AUTEX/DOF no top 20).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r>
        <w:t xml:space="preserve">O histórico linha a linha de cada correção (quatro rodadas de auditoria adversarial) foi mantido como registro de desenvolvimento interno, não incluído neste repositório. A tabela abaixo resume as mudanças de substância entre versões: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 (Fix 19)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</w:tbl>
    <w:p/>
    <w:p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lista da Portaria 1.717/2026; checksums SHA-256 dos brutos e fixture da lista MMA (opcionais, S15/E6); nota de dicionário de dados para n_infractions &gt; 0 em absolute_gap (S16.2); três guardas sugeridas pela quarta auditoria (NULL em fine_value; chave de prodes_clean; checks de annual_summary).</w:t>
      </w:r>
    </w:p>
    <w:p>
      <w:r>
        <w:br w:type="page"/>
      </w:r>
    </w:p>
    <w:p>
      <w:pPr>
        <w:pStyle w:val="Heading1"/>
      </w:pPr>
      <w:r>
        <w:t xml:space="preserve">8. Visualizações</w:t>
      </w:r>
    </w:p>
    <w:p>
      <w:r>
        <w:rPr>
          <w:i/>
          <w:color w:val="5A655C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1. Desmatamento acumulado absoluto (km²) por quintil; pinos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2. EGS médio 18 anos por quintil (ordinal).</w:t>
      </w:r>
    </w:p>
    <w:p>
      <w:pPr>
        <w:pStyle w:val="Heading2"/>
      </w:pPr>
      <w:r>
        <w:t xml:space="preserve">8.3 Exposição ao desmatamento x resposta federal em multas</w:t>
      </w:r>
    </w:p>
    <w:p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r>
        <w:t xml:space="preserve">O gráfico compara, em escala logarítmica, o desmatamento total e o total de multas de cada município: a diagonal tracejada marca a fronteira de resposta proporcional (EGS = 1). Pontos abaixo dela representam lacunas de fiscalização;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7. Concentração de multas entre infratores (Gini).</w:t>
      </w:r>
    </w:p>
    <w:p>
      <w:pPr>
        <w:pStyle w:val="Heading2"/>
      </w:pPr>
      <w:r>
        <w:t xml:space="preserve">8.8 Taxa de cancelamento de autos, por ano</w:t>
      </w:r>
    </w:p>
    <w:p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a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8. Taxa de cancelamento por ano (pico 2017–2019).</w:t>
      </w:r>
    </w:p>
    <w:p>
      <w:pPr>
        <w:pStyle w:val="Heading2"/>
      </w:pPr>
      <w:r>
        <w:t xml:space="preserve">8.9 Taxa de cancelamento por estado</w:t>
      </w:r>
    </w:p>
    <w:p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9. Taxa de cancelamento por UF (≥100 autos).</w:t>
      </w:r>
    </w:p>
    <w:p>
      <w:pPr>
        <w:pStyle w:val="Heading2"/>
      </w:pPr>
      <w:r>
        <w:t xml:space="preserve">8.10 Defasagem entre o fato e a autuação</w:t>
      </w:r>
    </w:p>
    <w:p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r>
        <w:t xml:space="preserve">O gráfico de coeficientes resume as especificações do modelo de efeitos fixos bidirecionais (município e ano): cada ponto é uma estimativa com intervalo de confiança de 95%, mostrando que o desmatamento contemporâneo aumenta a fiscalização, mas surtos abruptos preveem menos autuações no ano seguinte.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15. Distribuição anual do EGS (anos de pressão): deslocamento no tempo.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2024. Lista de municípios prioritários para ações de controle e prevenção do desmatamento na Amazônia Legal. Brasília, DF: Diário Oficial da União, 2024.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1a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1a3d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