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v7)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valor,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pStyle w:val="Heading2"/>
      </w:pPr>
      <w:r>
        <w:t xml:space="preserve">5.2 Top 20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viz/05_panel_effects.R (fixest 0.12.1); efeitos fixos de município 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contorno grosso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(ordinal); contorno grosso = top 20 EGS.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 Base: 32.836 autuados distintos com multa maior que zero, entre os 43.576 autos de desmatamento lavrados e não cancelados nos 772 municípios do painel.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2"/>
      </w:pPr>
      <w:r>
        <w:t xml:space="preserve">8.16 EGS anual dos cinco casos-âncora</w:t>
      </w:r>
    </w:p>
    <w:p>
      <w:pPr>
        <w:ind w:firstLine="709"/>
      </w:pPr>
      <w:r>
        <w:t xml:space="preserve">As séries anuais dos cinco casos discutidos no texto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85" cy="35328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nchor_small_multipl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16. EGS anual dos cinco casos-âncora (2008–2025). Escalas iguais entre painéis; o eixo y é o EGS anual, não o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