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Adriano Alves de Lima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Ethics as an Engineering Discipline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20 de julho às 10h30m, </w:t>
      </w:r>
      <w:hyperlink r:id="rId6">
        <w:r w:rsidDel="00000000" w:rsidR="00000000" w:rsidRPr="00000000">
          <w:rPr>
            <w:b w:val="1"/>
            <w:color w:val="333333"/>
            <w:sz w:val="24"/>
            <w:szCs w:val="24"/>
            <w:highlight w:val="white"/>
            <w:rtl w:val="0"/>
          </w:rPr>
          <w:t xml:space="preserve">Ethics and STICs</w:t>
        </w:r>
      </w:hyperlink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Thomas Baudel, IBM Research – Franca,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333333"/>
            <w:sz w:val="24"/>
            <w:szCs w:val="24"/>
            <w:highlight w:val="white"/>
            <w:rtl w:val="0"/>
          </w:rPr>
          <w:t xml:space="preserve">https://bbb.c3sl.ufpr.br/b/lui-gv2-9xx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iniciou a apresentação com a questão “O que é uma decisão de Engenharia?”. A indagação buscou iniciar uma discussão acerca dos processos aplicados no desenvolvimento de sistemas </w:t>
      </w:r>
      <w:r w:rsidDel="00000000" w:rsidR="00000000" w:rsidRPr="00000000">
        <w:rPr>
          <w:i w:val="1"/>
          <w:sz w:val="24"/>
          <w:szCs w:val="24"/>
          <w:rtl w:val="0"/>
        </w:rPr>
        <w:t xml:space="preserve">enterprise</w:t>
      </w:r>
      <w:r w:rsidDel="00000000" w:rsidR="00000000" w:rsidRPr="00000000">
        <w:rPr>
          <w:sz w:val="24"/>
          <w:szCs w:val="24"/>
          <w:rtl w:val="0"/>
        </w:rPr>
        <w:t xml:space="preserve">, por exemplo. Na prática, os processos são conceitualmente simples e não exigem computação intensa. Já a manutenção se torna difícil, na maioria das vezes, por razões humanas: conhecimento sobre como as funções lógicas de processo/decisão não são universais como os processos são. Isso decorre da falta de contexto, dificuldade na manipulação de casos especiais e fragmentação de tarefas.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sequência, foram apresentadas as novas direções para decisões de engenharia. Dentro da grande quantidade de evoluções de decisão de engenharia, foram apresentadas duas mais atuais, as quais estão sendo aplicadas: Pulsar e AIDA (</w:t>
      </w:r>
      <w:r w:rsidDel="00000000" w:rsidR="00000000" w:rsidRPr="00000000">
        <w:rPr>
          <w:i w:val="1"/>
          <w:sz w:val="24"/>
          <w:szCs w:val="24"/>
          <w:rtl w:val="0"/>
        </w:rPr>
        <w:t xml:space="preserve">Artificial Intelligence for Decision Automation</w:t>
      </w:r>
      <w:r w:rsidDel="00000000" w:rsidR="00000000" w:rsidRPr="00000000">
        <w:rPr>
          <w:sz w:val="24"/>
          <w:szCs w:val="24"/>
          <w:rtl w:val="0"/>
        </w:rPr>
        <w:t xml:space="preserve">). A Pulsar coloca o usuário de volta no controle, permitindo customizações locais dos processos e as compartilhando/reutilizando. A AIDA aumenta o uso de memória artificial no tomador de decisão e inferência, assim, as mesmas causas produzem os mesmos efeitos, aproveitando o histórico de decisões passadas, o que deveria ajudar os usuários.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Pulsar permite o compartilhamento de conhecimento do negócio, através um catálogo de “habilidades”, permitindo assim: introduzir flexibilidade no processo de projeto, compartilhar os melhores exemplos de boas práticas, compartilhar conhecimento, melhoria contínua. Os usuários são vistos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designers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AIDA consiste no treinamento de classificadores baseados em instâncias passadas de aprovações, e propõe a recomendação do classificador como uma sugestão para o usuário. As recomendações podem ser por: vizinhos mais próximos, árvore de decisão, incluir nível de confiança ou incluir “explanações”. Um exemplo em que a AIDA poderia ser aplicada: tarefa de aprovar empréstimo (“Baseado em decisões passadas nós recomendamos aprovar o empréstimo com um grau de confiança de 95%”).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protótipo da AIDA propõe questões de engenharia como: esta informação é útil?; qual é o impacto qualitativo das recomendações?; qual é o impacto quantitativo das recomendações?; em qual grau de certeza o classificador pode mostrar os resultados?; se o sistema é realmente útil, pode substituir humanos?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continuou indagando sobre as questões reais de engenharia: responsabilidade, transparência, viés (cultural, cognitivo, estatístico, algorítmico, etc.), apropriação de tecnologia, escolhas de sociedade. Tais questões levam a dilemas éticos, e mais importante, estas questões recaem sobre os profissionais de informática, quando estes apenas querem entregar a funcionalidade.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resolução de dilemas éticos, são consideradas teses e antíteses. Por exemplo: a) aos autores são garantidos os direitos sobre a criação original deles (teses); b) o compartilhamento gratuito de coisas imateriais é um benefício da sociedade da internet (antítese). Ambas são verdadeiras, mas se contradizem em tudo. Isso leva a seguinte pergunta: fazer o que é bom, ou fazer o que é certo? Pois a questão ética envolve diversos temas, como: Lei, moralidade, integridade científica, opinião pessoal contra construção de um consenso. Assim, um conjunto de análises éticas possibilita decisões concretas serem tomadas na presença de dilemas éticos.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Importante ressaltar que a ciência e tecnologia alteram nossas vidas. A ciência objetivando aumentar o conhecimento como um fim. E a tecnologia obter progressos tecnológicos de forma transformativa.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foram apresentadas as categorias em que a área de pesquisa em Ética da Informação trabalha: impacto dos sistemas de computação, impacto social, econômico e humano, efeitos na natureza e impactos de transformação profunda (desmaterialização de si mesmo).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Revisão Sistemática de Literatura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27 de julho às 10h30m,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Revisão Sistemática de Literatura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Katia Romero Felizardo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Professora na UTFPR-Cornélio Procópio.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oradora iniciou a apresentação do conteúdo chamando a atenção para a importância da revisão da literatura de forma sistemática, apresentando assim, os principais benefícios proporcionados, os quais serão discorridos na sequência. Inclusive, tornou evidente que é um protocolo recente na área de computação, em que algumas etapas foram estabelecidas a partir do estudo de outras áreas, como, por exemplo, a medicina.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tópico abordado foi a respeito dos estudos secundários, os quais sumarizam os estudos primários, através de Mapeamento Sistemático (MS) e/ou Revisão Sistemática (RS). Os estudos primários (estudos de caso, experimentos controlados, </w:t>
      </w:r>
      <w:r w:rsidDel="00000000" w:rsidR="00000000" w:rsidRPr="00000000">
        <w:rPr>
          <w:i w:val="1"/>
          <w:sz w:val="24"/>
          <w:szCs w:val="24"/>
          <w:rtl w:val="0"/>
        </w:rPr>
        <w:t xml:space="preserve">surveys</w:t>
      </w:r>
      <w:r w:rsidDel="00000000" w:rsidR="00000000" w:rsidRPr="00000000">
        <w:rPr>
          <w:sz w:val="24"/>
          <w:szCs w:val="24"/>
          <w:rtl w:val="0"/>
        </w:rPr>
        <w:t xml:space="preserve">) podem ser encontrados em fontes de busca como: IEEE Xplore, Scopus e ACM, por exemplo. E, para buscar esses artigos, é possível utilizar uma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de busca, a qual contém palavras chave da área de pesquisa a ser investigada.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característica importante a ser diferenciada nos componentes do estudo secundário é o escopo. Sendo que no MS é mais genérico do que na RS. Ou seja, no MS tem-se uma visão ampla do tópico de pesquisa. Enquanto que na RS busca-se identificar, selecionar, avaliar, interpretar e sumarizar os estudos primários considerados relevantes no tópico de pesquisa. Assim, um MS pode ser feito antes da RS, e esta, por sua vez, complementar de forma mais detalhada o mapeamento inicial.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da compreensão da importância do MS e da RS, inicia-se a fase de planejamento. Nessa fase, o objetivo é definir o protocolo e posteriormente avaliá-lo. Na definição cria-se um plano predefinido que formaliza todo o processo para a execução de uma RS ou de um MS. Esse protocolo tem como objetivo principal a redução de vieses ou ambiguidades que possam ocorrer durante a execução do MS ou da RS. O protocolo pode ser estruturado nas seguintes seções: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1 “Informações gerais”: que são as informações do título do mapeamento, os pesquisadores, a descrição e os objetivos.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2 “Questões de pesquisa”: são questões que quando respondidas ajudam a alcançar os objetivos do Mapeamento Sistemático.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3 “Identificação de estudos”: são as palavras chave,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de busca, os critérios de seleção das fontes de busca, lista das fontes de busca e estratégia de busca.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4 “Seleção e avaliação dos estudos”: são os critérios de inclusão e de exclusão dos estudos primários, estratégia para a seleção e avaliação da qualidade desses estudos.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Seção 5 “Síntese dos dados”: síntese dos dados e apresentação dos estudos. Nesta seção estão as informações sobre a estratégia de extração de dados, estratégia de sumarização dos dados e estratégia de publicação.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seleção dos estudos pode ser realizada através de critérios. Os critérios de inclusão ajudam a incluir estudos relevantes. E os critérios de exclusão descartam os estudos que não são de interesse, ou seja, que não serão usados para responder às questões de pesquisa.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verifica-se a validade do protocolo, a qual deve ser realizada por meio do teste do protocolo, chamado de teste piloto. O objetivo do teste é verificar a viabilidade de execução do mapeamento, permitindo também, com base nos resultados do teste, identificar modificações que sejam necessárias.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oradora finalizou a apresentação com exemplos reais em que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de busca e as questões de pesquisa não foram bem estabelecidas, o que impactou em negativas de publicação e retrabalho para realizar todo o MS e RS novamente. Assim, destacou-se a importância de ater-se ao protocolo, executando todas as suas etapas e validando-as.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Princípios da Educação Online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24 de julho às 13h30m,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Princípios da Educação Online,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Mariano Pimentel, Professor na UNIRIO e editor da coluna Educação da SBC Horizontes. Transmissão via Canal Youtube da Sociedade Brasileira de Computação: </w:t>
      </w:r>
      <w:hyperlink r:id="rId8">
        <w:r w:rsidDel="00000000" w:rsidR="00000000" w:rsidRPr="00000000">
          <w:rPr>
            <w:color w:val="333333"/>
            <w:sz w:val="24"/>
            <w:szCs w:val="24"/>
            <w:highlight w:val="white"/>
            <w:rtl w:val="0"/>
          </w:rPr>
          <w:t xml:space="preserve">https://www.youtube.com/watch?v=BDUJvwlrUJY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iniciou a apresentação chamando a atenção para a ascensão da Educação a Distância e Educação Online. De forma preliminar, buscou-se diferenciar as abordagens que podem ser praticadas no Ensino a Distância. Foram apresentados os conceitos que envolvem Educação a Distância, que é uma modalidade educacional alternativa à educação presencial, da Educação OnLine (EOL), que é uma abordagem didático-pedagógica.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Mais especificamente, na Educação a Distância os computadores em rede são usados para difusão de conteúdo, corrigir automaticamente as respostas dos alunos, recomendar o estudo de novos conteúdos em função do desempenho. Ou seja, o aluno estuda sozinho (autoaprendizagem, autoestudo), e o computador é utilizado como uma “máquina de ensinar”. Essa abordagem é caracterizada como instrucionista-massiva, na qual os computadores representam uma evolução das mídias, mas não modificam o modelo de comunicação de massa, sendo este predominantemente unidirecional.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detrimento da Educação a Distância instrucionista-massiva, é proposta a Educação OnLine. Esta proposta se traduz em aprendizagem em rede, ou seja, um conjunto de ações de ensino-aprendizagem ou atos de currículo mediadas por interfaces digitais que potencializam práticas comunicacionais interativas e hipertextuais. Assim, o orador propõe oito princípios para guiar a adoção desta prática de ensino, sendo: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Conhecimento como “obra aberta”: em construção contínua, que busca a ressignificação, interferência, completação, cocriação. A ideia é evitar a percepção do conhecimento como um produto acabado, na qual os alunos não possam questionar os conteúdos.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Curadoria de conteúdos + síntese e roteiros de estudo: em vez da produção de conteúdos próprios para EAD. Busca-se uma evolução na apresentação dos conteúdos em forma de hipermídia: vídeos, páginas da Wikipédia, apresentação no SlideShare, matéria de um blog, artigo científico, página do Facebook, grupo no WhatsApp, etc. Ou seja, a estratégia é que o docente ressalte os conteúdos de maior importância e não apresente texto específicos para EAD.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Ambiências computacionais diversas: em vez de se restringir aos serviços do Ambiente de Aprendizagem.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Aprendizagem em rede, colaborativa: em vez de aprendizagem solo. Neste conceito, o professor participa das interações entre os alunos, em forma de mediador, valorizando os múltiplos saberes.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Conversação entre todos, em interatividade: em vez de apresentação de conteúdos. Transpor a abordagem padrão em que o professor fala e os alunos escutam, possibilitando o uso de diversas ferramentas em conjunto, como: reuniões por videoconferência de forma síncrona, bate-papo online (chat), atendimento individualizado por mensagem instantânea e e-mail.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Atividades autorais inspiradas nas práticas da cibercultura: em vez de “estudo dirigido”. Baseia-se no método de aprendizado através da prática, levando o aluno a aplicar e transformar os conhecimentos da disciplina, ressignificando-os.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Mediação docente online para colaboração: em vez de “tutoria reativa”. Busca-se uma mediação ativa, em que o professor desempenha um papel dinamizador no grupo.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Avaliação formativa e colaborativa, baseada em competências: em vez de apenas exames presenciais.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 orador encerrou a apresentação ressaltando o alcance do artigo com este conteúdo publicado na revista SBC Horizontes, o qual teve mais de 40 mil visualizações, demonstrando a importância do tema e o interesse da comunidade.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Socialmente Consciente de Sistemas Computacionais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 de agosto às 10h30m,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 Socialmente Consciente de Sistemas Computacionais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Cecilia Baranauskas</w:t>
      </w:r>
      <w:r w:rsidDel="00000000" w:rsidR="00000000" w:rsidRPr="00000000">
        <w:rPr>
          <w:sz w:val="24"/>
          <w:szCs w:val="24"/>
          <w:rtl w:val="0"/>
        </w:rPr>
        <w:t xml:space="preserve">, IC/UNICAMP.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https://bbb.c3sl.ufpr.br/b/lui-gv2-9xx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oradora começou abordando as implicações sociais da tecnologia computacional, chamando a atenção para o lado humano e os dilemas éticos e sociais que envolvem a construção de um sistema. E, na sequência, trouxe informações a respeito dos principais cientistas da computação e as áreas de trabalho e pesquisa destes: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Kristen Nigaard: criador da programação Orientada a Objetos e pioneiro do design participativo. Ele incluiu na computação os aspectos sociais e políticos, além dos técnicos.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Peter Naur: criou o ALGOL 60 e pesquisava o lado humano na programação e desenvolvimento de sistemas.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Christiane Floyd: pioneira do design de software participativo evolucionário (precursora do desenvolvimento de software de código aberto). O foco de pesquisa dela é voltado para a área de paradigmas em Engenharia de Software e necessidade de múltiplas perspectivas na área.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Ronald Stamper: pesquisa semiótica organizacional e fundamentos de sistemas de informação.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Terry Winograd: trouxe novo entendimento para o design de ferramentas computacionais adequadas a propósitos humanos.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 a oradora chamou a atenção para a evolução da computação ao longo dos anos, saindo de tarefas humanas automatizadas e 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mainframes </w:t>
      </w:r>
      <w:r w:rsidDel="00000000" w:rsidR="00000000" w:rsidRPr="00000000">
        <w:rPr>
          <w:sz w:val="24"/>
          <w:szCs w:val="24"/>
          <w:rtl w:val="0"/>
        </w:rPr>
        <w:t xml:space="preserve">para a computação ubíqua (computação onipresente na vida humana). Assim, listou os principais desafios do presente e para o futuro, como: interdependência entre humanos e máquinas, coleta de dados (individual, casas inteligentes, cidades inteligentes, quantificação de si, etc.), armazenamento de dados combinados com algoritmos sofisticados de aprendizado de máquina e nível de “inteligência” no artificial e quem deveria ser responsabilizado.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Acerca da questão da responsabilidade, a oradora discorreu sobre dilemas e responsabilidades éticas que envolvem a construção e manutenção de sistemas computacionais, apresentando um exemplo de experimento: o “problema do bonde”. Em torno disso, a oradora ressaltou que não é possível que um sistema resolve dilemas éticos em todos os casos e em todos os lugares/países, devido principalmente a diferenças culturais e de legislação.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 foi abordada a projeção e criação de sistemas, na qual foi ressaltada a importância do envolvimento de todos (usuários e engenheiros de software) no processo, coexistindo assim, na interação do processo elementos informais, formais e técnicos. Há assim, a possibilidade de criar sistemas criativos e com um envolvimento responsável no processo.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contexto, o designer deve apenas ser um facilitador no processo compartilhado de criação e as pessoas devem estar ativamente envolvidas tendo influência mútua. Desta forma, o processo permite o senso de criação de artefato, possibilitando a co-autoria do produto em criação.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oradora também apresentou a plataforma “OpenDesign”, na qual técnicas e artefatos socialmente conscientes de sistemas computacionais estão disponíveis, sendo inspirada no fenômeno do código aberto.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foi discorrido sobre os sistemas socio(enativos), nos quais a ação é guiada pela percepção e estruturas cognitivas emergem a partir dos padrões sensores e motores para permitir a ação guiada pela percepção. A partir da apresentação do conceito, a oradora apresentou 3 experimentos realizados: Museu Exploratório de Ciências, Hospital Sobrapar e o Portal DEdIC (Unicamp).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ressaltou a presença de novas tecnologias (interfaces tangíveis, vestíveis e naturais) e novas formas de interação no contexto da computação ubíqua e pervasiva e do futuro apresentam desafios que exigem uma nova mentalidade.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Inclusividade e Comportamento em Comunidades Open Source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10 de agosto às 13h30m,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Inclusividade e Comportamento em Comunidades Open Source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,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9"/>
            <w:szCs w:val="29"/>
            <w:highlight w:val="white"/>
            <w:u w:val="single"/>
            <w:rtl w:val="0"/>
          </w:rPr>
          <w:t xml:space="preserve">Igor Steinmacher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, Professor na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9"/>
            <w:szCs w:val="29"/>
            <w:highlight w:val="white"/>
            <w:u w:val="single"/>
            <w:rtl w:val="0"/>
          </w:rPr>
          <w:t xml:space="preserve">Northern Arizona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, e na UTFPR-Campo Mourão.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9"/>
            <w:szCs w:val="29"/>
            <w:highlight w:val="white"/>
            <w:u w:val="single"/>
            <w:rtl w:val="0"/>
          </w:rPr>
          <w:t xml:space="preserve">https://bbb.c3sl.ufpr.br/b/lui-gv2-9xx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começou abordando a dificuldade de entrada em grandes projetos, considerando a necessidade de aprendizado de forma rápida. Além disso, a alta rotatividade de pessoas nas equipes de desenvolvimento dificulta a manutenção de um trabalho contínuo. Assim, o orador ressaltou que a engenharia de software é um ato social, demonstrando as contribuições de programadores no desenvolvimento do Mozilla Firefox.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 o Professor continuou abordando a relação social entre os desenvolvedores, demonstrando que estes participam de mais de uma comunidade de software open source. Apresentou também a comunidade OpenStack, a qual possui as seguintes características: 1.7 milhão de linhas de código, 19 linguagens de programação, 17 mil membros, 4,5 mil contribuidores de código, 38 mil mensagens de e-mail e 51 mil seguidores no Twitter.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continuou ressaltando a importância do software livre  na indústria, com os seguintes dados (de acordo com um survey de 2017): 60% das organizações usam código aberto, o impacto do software livre nas organizações foi de 55% de aumento na inovação e 44% na qualidade, e 66% dessas organizações também contribuíram com projetos de código aberto. Algumas dessas companhias são: Apple, Google e Microsoft.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palestra continuou com o software de código aberto voltado para a academia. O orador comentou que atualmente não é mais necessário desenvolver um sistema, mas sim reutilizar projetos que já se encontram disponíveis. Assim, o palestrante citou que os softwares de código aberto podem ser utilizados para o ensino em disciplinas, por exemplo, avaliação de interfaces ou refatoramento de código. E que, em alguns casos, os alunos chegaram a ser chamados para contribuir com projetos open source.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abordou o objetivo da pesquisa realizada por ele. Demonstrou a metodologia utilizada: estudos empíricos, engenharia e avaliação. Assim, primeiramente há a necessidade de mineração dos repositórios de software, buscando entender a interação entre os membros da comunidade (commits, processos, comportamento, ferramentas, etc.). E, em um segundo momento, faz-se necessário o uso de um método qualitativo, buscando entender a socialização entre os membros da comunidade de forma subjetiva.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 o palestrante ressaltou o problema central que desenvolvedores enfrentam ao tentar participar da comunidade de código aberto: documentação. Citou que existem outros problemas como código legado, comunicação, etc. Mas a documentação mal estruturada foi o ponto chave que dificulta a entrada de novos membros na comunidade. Assim, o Professor fez um experimento tentando entender melhor como superar as barreiras levantadas e propôs um portal para estruturar a documentação e facilitar o entendimento desta.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Outro assunto abordado foi o comportamento em vários projetos de software de código aberto. Percebeu-se que em vários destes, mais de 50% dos commits eram únicos e feitos por uma pessoa. Ressaltou-se que apesar de ser um commit único, eram funcionalidades inteiras desenvolvidas e não apenas modificações simples de texto, por exemplo. Ademais, percebeu-se que vários commits eram ignorados pela comunidade.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 palestrante citou um projeto que criou para gamificação em desenvolvimento de software livre. O intuito era ensinar o passo a passo para entender a documentação, a arquitetura e como contribuir com o desenvolvimento. E finalizou ressaltando que leciona apenas com software livre e que está desenvolvendo uma ferramenta para facilitar a recomendação de projetos para os desenvolvedores, a qual através do perfil sugere software de código aberto que pode melhorar as habilidades deste desenvolvedor.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PAINEL: EXCELÊNCIA EM PESQUISA EM COMPUTAÇÃO</w:t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333333"/>
          <w:sz w:val="29"/>
          <w:szCs w:val="29"/>
          <w:highlight w:val="white"/>
          <w:rtl w:val="0"/>
        </w:rPr>
        <w:t xml:space="preserve">10 de agosto às 18H00m, </w:t>
      </w:r>
      <w:r w:rsidDel="00000000" w:rsidR="00000000" w:rsidRPr="00000000">
        <w:rPr>
          <w:b w:val="1"/>
          <w:color w:val="333333"/>
          <w:sz w:val="29"/>
          <w:szCs w:val="29"/>
          <w:highlight w:val="white"/>
          <w:rtl w:val="0"/>
        </w:rPr>
        <w:t xml:space="preserve">Excelência em Pesquisa em Computação</w:t>
      </w:r>
      <w:r w:rsidDel="00000000" w:rsidR="00000000" w:rsidRPr="00000000">
        <w:rPr>
          <w:color w:val="333333"/>
          <w:sz w:val="29"/>
          <w:szCs w:val="29"/>
          <w:highlight w:val="white"/>
          <w:rtl w:val="0"/>
        </w:rPr>
        <w:t xml:space="preserve">, Painel 1 UFF, </w:t>
      </w:r>
      <w:hyperlink r:id="rId17">
        <w:r w:rsidDel="00000000" w:rsidR="00000000" w:rsidRPr="00000000">
          <w:rPr>
            <w:color w:val="333333"/>
            <w:sz w:val="29"/>
            <w:szCs w:val="29"/>
            <w:highlight w:val="white"/>
            <w:rtl w:val="0"/>
          </w:rPr>
          <w:t xml:space="preserve">http://ev-ppgc.ic.uff.br/2020-2/paineis.html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Professor Doutor da Universidade Federal Fluminense (UFF), Célio Albuquerque, começou a apresentação explicando o PROEX (CAPES): Programa de Excelência Acadêmica. No PROEX, os conceitos 6 e 7 são considerados de excelência internacional, desempenho equivalente a dos centros internacionais de excelência na área, nível diferenciado em relação aos demais programas da área, solidariedade e nucleação e impacto na sociedade.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 apresentou características da UFF: 60 anos de história, 3.200 professores, 66.000 estudantes e 10 campus. E o Instituto de Computação da UFF possui: 3 prédios próprios, 65 professores, 500 alunos de ciência da computação e 500 de sistemas de informação e mais de 270 alunos no programa de pós-graduação, sendo que já formou mais de 700 mestres e doutores. A partir dos números de egressos apresentados, o orador detalhou a ocupação atual dos ex-alunos, sendo que a maioria dos mestres formados (55%) trabalham em empresas e os doutores trabalham em sua maioria em universidades e institutos.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continuou a apresentação ressaltando o impacto da UFF na sociedade: projetos P&amp;D (ANP, ANEEL), parceria NVIDIA (super computador DGX-1) e computação aplicada à indústria do petróleo. Além disso, também trouxe informações acerca da internacionalização da instituição: projetos com EUA, UK e França; 10% do corpo docente realiza estágio pós-doutoral no exterior; atração de professores de renome internacional; organização de eventos internacionais (SIBGRAPI 2017, IPDPS 2019, LANOMS 2019, IWSSIP 2020); participação em comitê de programa de conferências e corpo editorial de periódicos internacionais; prêmios internacionais (VectorizeMove), Google Research Award e Microsoft Latin America PhD Awards.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próxima Professora a falar foi a Doutora da Universidade Federal do Rio Grande do Sul (UFRGS), Luciana Buriol, a qual começou a apresentação elencando dados da UFRGS: programa de mestrado (criado em 1973) e doutorado (1989), nota 7 (desde 2013), 54 docentes no programa de pós-graduação em computação (mais 3 colaboradores), 96 doutorandos e 198 mestrandos (com 365 doutores formados e 1.659 mestres), 7 áreas de concentração (divididas em 18 linhas de pesquisa).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sequência, a oradora destacou os casos de sucesso da UFRGS: ranking internacional AI 2000, Aegro, COVID-19 Analysis Tools, docente colaborador na UNESCO e na ONU. Além disso, ressaltou a produção científica de impacto da UFRGS (1ª na América do Sul) e participação em comitês editoriais (20 periódicos internacionais).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terceiro orador, Artur Zivani, do Laboratório Nacional de Computação Científica (LNCC), começou apresentando a estrutura do LNCC: 50 pesquisadores, conceito 6 pela CAPES e faz parte do Ministério da Ciência, Tecnologia, Inovação (MCTI). Além disso, possuem o supercomputador Santos Dumont (top 500 mundial).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prosseguiu detalhando números históricos do LNCC: 3 prêmios CAPES de melhor tese e 3 menções honrosas, 49 doutorandos e 29 mestrandos, e 140 doutores e 173 mestres formados. Destes egressos, 79 estão no setor público acadêmico, 5 não acadêmico, 4 setor privado acadêmico, 4 privado, 20 em pós-doutorado no país, 5 no exterior e 5 em atividades acadêmicas no exterior. O corpo docente do LNCC é formado por 41 pessoas, sendo 29 membros permanentes e 12 colaboradores.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 orador finalizou a apresentação destacando a inserção nacional e internacional do LNCC: articulação com empresas de petróleo, publicações docentes em veículos importantes, 81 artigos em periódicos, 86 trabalhos completos em anais de congressos e 22 livros, coordenação e participação em 23 projetos internacionais em 2019, vários docentes participam do Editorial Boards de periódicos importantes e comitês de avaliação internacional, e mais recentemente, o LNCC fez um acordo com o INRIA (França) para cooperação nas áreas de Big Data e Inteligência Artificial.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PAINEL: A Inovação em Computação Aplicada à Indústria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11 de agosto às 18H00m,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A Inovação em Computação Aplicada à Indústria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, Painel 2 UFF,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http://ev-ppgc.ic.uff.br/2020-2/paineis.html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palestra contou com a participação do empresário Marcelo Sales da CyberLabs e do Doutor Pedro M. Cruz e Silva da NVIDIA. O gerente de arquitetura de soluções da NVIDIA iniciou a apresentação falando sobre as áreas de atuação e a evolução da NVIDIA ao longo dos anos. Destacou principalmente o processamento gráfico (em jogos e filmes), os supercomputadores que a NVIDIA possui para pesquisa em algoritmos de deep learning, e Inteligência Artificial (treinamento, inferência e robótica). Assim, o orador demonstrou a ampla atuação da NVIDIA, saindo do nicho de mercado voltado para jogos e atualmente atuando em soluções para diversos mercados.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 foi abordada a atuação da NVIDIA no combate ao COVID-19, através de: análise de dados em tempo real, classificação de imagens, sequenciamento do genoma viral, etc. Assim, o orador continuou apresentando os resultados recentes obtidos em deep learning utilizando GPUs, inclusive, ressaltando a superação de algoritmos tradicionais de visão computacional. Adicionalmente, o orador trouxe o exemplo do método BERT que foi treinado com a base de dados da Wikipedia e reportou os resultados do algoritmo que superou um humano para responder questões. Na sequência o orador ressaltou o aumento da complexidade de modelos de redes neurais, saindo dos 340 milhões parâmetros do método BERT para mais de 2 bilhões para o projeto Megatron.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uma segunda parte, o empresário Marcelo Sales começou apresentando a empresa CyberLabs e os produtos em desenvolvimento que utilizam algoritmos de Inteligência Artificial. O primeiro produto comentado foi o InSightNow, o qual faz análise de imagens de vídeo em tempo real, permitindo contagem de pessoas, determinar o que está acontecendo ou vai acontecer. Ainda ressaltou que o produto já é utilizado em várias cidades do Brasil.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Outro produto apresentado foi o KeyApp, o qual faz reconhecimento facial e possibilita controle de acesso a sistemas de segurança integrados. Acerca disso, na sequência surgiram dúvidas em relação a questão ética da aplicação dos algoritmos, sendo que o orador indicou que há necessidade de uma ampla discussão na sociedade para determinar as responsabilidades de cada um na concepção dos métodos computacionais.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os oradores ainda responderam questões acerca de tecnologias da NVIDIA, parcerias da CyberLabs com as Universidades do Brasil, desafios no desenvolvimento dos métodos em relação a fake news e a relação interdisciplinar da Inteligência Artificial nas áreas jurídicas, política e indústria. Assim, a palestra foi finalizada com os oradores ressaltando a importância da área de Inteligência Artificial e o futuro promissor para a área, na qual espera-se um desenvolvimento exponencial nos próximos anos, tomando como base os últimos tempos e principalmente nessa época de pandemia, que demonstrou a importância da computação para auxiliar na resolução de vários problemas da sociedade.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PAINEL: Desafios da Computação no Cenário de Cidades Inteligentes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12 de agosto às 18H00m,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Desafios da Computação no Cenário de Cidades Inteligentes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, Painel 3 UFF,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http://ev-ppgc.ic.uff.br/2020-2/paineis.html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primeiras palestrantes a falarem sobre o tópico foram a Professora Doutora Flavia Bernardini e Flávia C. Delicato, ambas da Universidade Federal Fluminense (UFF), as quais discorreram sobre a experiência com projetos de P&amp;D em Aprendizado de Máquina, Big Data e Cidades Inteligentes (projeto piloto em Rio das Ostras). Ressaltaram o fortalecimento do relacionamento com a prefeitura, a transparência passiva por parte desta e muitos problemas que ainda não foram resolvidos.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sequência, foram apresentados alguns dados: nas próximas décadas mais da metade da população mundial viverá em cidades, sendo que a América Latina pode atingir 80%. A partir dessa alta densidade demográfica surgem várias necessidades: energia, transporte, prédios, infraestrutura, etc.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Neste contexto, o tema “Cidades Inteligentes” surge em 1997 e passa a receber mais foco a partir de 2010. Sendo que, em 2007, Giffinger e Gudrun, definiram cidade inteligente, quando seus investimentos em capital humano e social, em transporte urbano e infraestrutura de TIC alimentam o desenvolvimento econômico sustentável e uma melhor qualidade de vida, com sábio gerenciamento de recursos naturais, através do governo participativo.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requisitos que plataformas de cidades inteligentes devem atender: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Gestão dos dados;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Gestão dos sensores;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Processamento dos dados;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Acesso aos dados da plataforma;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recursos;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Ambientes para o desenvolvimento de aplicações para a cidade;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Ambientes para execução de aplicações;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Interoperabilidade;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Escalabilidade;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Elasticidade, adaptabilidade e ciência de contexto;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Segurança e privacidade;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Uma camada de software inserida nas aplicações de cidades inteligentes é o Middleware. Esta camada fornece soluções para lidar com heterogeneidade em sistemas distribuídos e é necessário para promover interoperabilidade.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sequência, a Professora Doutora Thais Batista da Universidade Federal do Rio Grande do Norte (UFRN), continuou a palestra ressaltando a sinergia necessária entre tecnologias, conhecimento e habilidades para possibilitar cidades inteligentes. Desta forma, abordou também a questão da interoperabilidade entre sensores de múltiplos fornecedores, sistemas em diferentes linguagens de programação e dados em diferentes formatos.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oradora continuou abordando questões que envolvem cidades inteligentes, como: integração (necessidade de padrões mundiais), big data, adaptação dinâmica, escalabilidade e segurança. Ainda foi apresentado o SGeoL, um sistema de geoprocessamento que a UFRN desenvolveu em parceria com o governo estadual, o qual proporciona diversos serviços à população, como: camada de aglomeração de pessoas, educação, serviços diversos, etc.</w:t>
        <w:br w:type="textWrapping"/>
        <w:tab/>
        <w:t xml:space="preserve">Por fim, o último palestrante a falar foi o Professor Doutor Luiz Satoru Ochi da UFF, o qual abordou o contexto de logística e transportes em cidades inteligentes. Assim, o orador comentou sobre exemplos reais de uso de drones para resolver problemas cotidianos, como: inspeção e avaliação na cidade, entrega de produtos e vigilância em áreas específicas. Desta forma, os trabalhos resultaram em diversas participações em congressos internacionais e publicação de livros acerca do assunto por parte do grupo de pesquisa da UFF.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PAINEL: Aplicações e Desafios de Pesquisa na Computação em Nuvem e Alto Desempenho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13 de agosto às 18H00m,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Aplicações e Desafios de Pesquisa na Computação em Nuvem e Alto Desempenho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, Painel 4 UFF,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http://ev-ppgc.ic.uff.br/2020-2/paineis.html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apresentação começou com a mediação da Professora Doutora Lúcia Drummond da Universidade Federal Fluminense (UFF), a qual definiu computação em nuvem como: paradigma de computação distribuída de larga escala, onde recursos computacionais estão disponíveis aos usuários através da Internet. A oradora também elencou os tipos de serviços em nuvem: IaaS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Infrastructure as a Service</w:t>
      </w:r>
      <w:r w:rsidDel="00000000" w:rsidR="00000000" w:rsidRPr="00000000">
        <w:rPr>
          <w:sz w:val="24"/>
          <w:szCs w:val="24"/>
          <w:rtl w:val="0"/>
        </w:rPr>
        <w:t xml:space="preserve">), SaaS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Software as a Service</w:t>
      </w:r>
      <w:r w:rsidDel="00000000" w:rsidR="00000000" w:rsidRPr="00000000">
        <w:rPr>
          <w:sz w:val="24"/>
          <w:szCs w:val="24"/>
          <w:rtl w:val="0"/>
        </w:rPr>
        <w:t xml:space="preserve">), PaaS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Platform as a Service</w:t>
      </w:r>
      <w:r w:rsidDel="00000000" w:rsidR="00000000" w:rsidRPr="00000000">
        <w:rPr>
          <w:sz w:val="24"/>
          <w:szCs w:val="24"/>
          <w:rtl w:val="0"/>
        </w:rPr>
        <w:t xml:space="preserve">) e FaaS (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 as a Service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sequência, a oradora abordou aplicações que demandam uso de supercomputadores, como: mecânica quântica, previsão de tempo, exploração de óleo e gás, modelagem molecular e simulações físicas. Assim, ressaltou a importância que HPC (</w:t>
      </w:r>
      <w:r w:rsidDel="00000000" w:rsidR="00000000" w:rsidRPr="00000000">
        <w:rPr>
          <w:i w:val="1"/>
          <w:sz w:val="24"/>
          <w:szCs w:val="24"/>
          <w:rtl w:val="0"/>
        </w:rPr>
        <w:t xml:space="preserve">High Performance Computing</w:t>
      </w:r>
      <w:r w:rsidDel="00000000" w:rsidR="00000000" w:rsidRPr="00000000">
        <w:rPr>
          <w:sz w:val="24"/>
          <w:szCs w:val="24"/>
          <w:rtl w:val="0"/>
        </w:rPr>
        <w:t xml:space="preserve">) vem recebendo na computação em nuvem, devido a: aumento dos custos das instalações, maior disponibilidade de recursos, aumento de demanda por aplicações de aprendizado de máquina e demanda por recursos especiais.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próxima palestrante foi  a Professora Doutora Alba C. M. A. de Melo da Universidade de Brasília (UnB), a qual começou abordando o histórico de evolução dos supercomputadores a partir de 1968. A partir disso, a oradora citou aplicações que fazem uso de HPC, como aplicações biológicas: alinhamento pairwise (DNA, RNA e proteína) e alinhamento e dobramento pairwise (RNA).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sequência, a oradora elencou os principais serviços de HPC em nuvem: Amazon EC2 (AWS), Google GCP e Microsoft Azure. Neste contexto, foram listados os principais desafios dos provedores: consumo de energia (necessidade de investimentos em energia limpa e algoritmos para reduzir o consumo) e recursos ociosos (diferenças entre modelos spot e preemptive e escalonamento). Assim, também foram elencados desafios para o cliente: federação (como escolher o provedor), seleção (qual modelo de precificação e instância) e escalonamento eficiente de recursos.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último palestrante a falar foi o Professor Doutor Philippe Navaux da Universidade Federal do Rio Grande do Sul (UFRGS), o qual iniciou a apresentação abordando os desafios de migração de clusters para cloud, como: portabilidade (linguagem de programação e plataforma, domínio específico e requer alto conhecimento da aplicação), custos (número de instâncias de processamento e tempo aceitável para a solução) e recursos (rede, armazenamento e processamento).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 o orador apresentou casos reais de migração, como o modelo climático BRAMS (</w:t>
      </w:r>
      <w:r w:rsidDel="00000000" w:rsidR="00000000" w:rsidRPr="00000000">
        <w:rPr>
          <w:i w:val="1"/>
          <w:sz w:val="24"/>
          <w:szCs w:val="24"/>
          <w:rtl w:val="0"/>
        </w:rPr>
        <w:t xml:space="preserve">Brazilian Regional Atmospheric Modeling System Mesoscale</w:t>
      </w:r>
      <w:r w:rsidDel="00000000" w:rsidR="00000000" w:rsidRPr="00000000">
        <w:rPr>
          <w:sz w:val="24"/>
          <w:szCs w:val="24"/>
          <w:rtl w:val="0"/>
        </w:rPr>
        <w:t xml:space="preserve">), o qual possuía mais de 30000 (trinta mil) linhas de código e exigiu meses de trabalho para a finalização. O sistema foi migrado para a Azure, sendo que o orador listou os seguintes itens positivos: alta escalabilidade, replicação e fácil de configurar. Já os pontos negativos citados foram: sem permissões de arquivo, limitações e perda de metadados.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os oradores responderam questionamentos acerca do conteúdo apresentado, como: comparação da HPC com computação quântica, mecanismos de tolerância a falhas, energias renováveis e segurança dos dados. Assim, a palestra foi encerrada com os oradores ressaltando a importância dessa área de pesquisa, o desenvolvimento exponencial das tecnologias e as direções futuras.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computação e a pesquisa aplicada no Combate ao COVID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14 de agosto às 18H00m,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 A Computação e a pesquisa aplicada no Combate ao COVID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, Painel 5 UFF,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http://ev-ppgc.ic.uff.br/2020-2/paineis.html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palestra iniciou com a Doutora Cristina Fontes do Hospital Universitário Antônio Pedro e Professora na Universidade Federal Fluminense (UFF), a qual falou sobre o trabalho que realiza no hospital e na UFF. Um dos projetos citados é a pesquisa realizada de tomografia computadorizada do tórax nos profissionais de saúde expostos a COVID-19. A oradora ainda comentou sobre o protocolo que seguem no hospital através de características das lesões, topografia destas, derrame pleural, achados mediastinais e outros achados pulmonares.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segunda palestrante foi a Doutora Paula Santos da Universidade de São Paulo (USP), a qual iniciou a apresentação comentando sobre o sistema para diagnóstico de COVID-19 que está em desenvolvimento, chamado “Marie”. Assim, a oradora explicou as etapas que seguiram de pesquisa para a criação do sistema, como: obtenção dos dados, definição de métodos (PCA), construção de interface e disponibilização. A oradora finalizou explicando as dificuldades envolvidas na elaboração do método, como: entendimento da área médica (em relação às características das imagens), falta de imagens de exemplos/validação e definição do modelo matemático.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próximo palestrante a apresentar foi o Doutor Fabio Porto do Laboratório Nacional de Computação Científica (LNCC), o qual iniciou descrevendo os trabalhos realizados pelo laboratório Data Extreme Lab (DEXL) que pesquisa na área de Inteligência Artificial, Ciência dos Dados e Big Data. De forma mais detalhada, o orador comentou sobre o trabalho que estão realizando em relação às pesquisas sobre COVID, sendo que a filtragem de fake news é um tema bem relevante neste momento em que há uma grande quantidade de informações e pesquisas sendo publicadas. O orador ainda comentou sobre os sistemas que estão desenvolvendo como o monitorador de contatos, para avisar as pessoas que tiveram contatos com positivados para a COVID.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palestrante continuou explicando sobre um trabalho que envolveu vários pesquisadores do LNCC, no qual identificaram genomas mostrando introdução e dispersão geográfica da transmissão do vírus no Brasil. O estudo ainda indicou a evolução da epidemia e os efeitos do distanciamento social no Brasil. Ainda foi comentado sobre o estudo estatístico desenvolvido para prever a necessidade de leitos por dia de acordo com o formato de distanciamento social, sendo que o detalhamento foi feito para cada estado da federação.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ainda comentou sobre a ferramenta desenvolvida no LNCC, chamada DockThor. Essa ferramenta permite modelar proteínas para o desenho de fármacos em busca do entendimento do vírus SARS-CoV-2. Ainda finalizou apresentando a ferramenta PcDars em parceria com a Fio Cruz, que possibilita o monitoramento da COVID para verificar a evolução da pandemia.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os palestrantes comentaram sobre as relações interdisciplinares da medicina com a computação, as novas aberturas e os desafios. Na sequência, também responderam perguntas acerca das ferramentas de detecção de COVID (raio-x e ultrassom), estudos recentes sobre pacientes recuperados e privacidade envolvendo os aplicativos desenvolvidas para atender a população (voltados a COVID).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jogo de xadrez e a educação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17 de agosto às 10h30m,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Xadrez e Educação,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Prof. Wilson Silva, CEX,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333333"/>
            <w:sz w:val="29"/>
            <w:szCs w:val="29"/>
            <w:highlight w:val="white"/>
            <w:rtl w:val="0"/>
          </w:rPr>
          <w:t xml:space="preserve">https://bbb.c3sl.ufpr.br/b/lui-gv2-9xx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começou abordando a história do xadrez a partir do ano 500 d.C., explicando os jogos que deram origem ao xadrez e como foi a disseminação entre os continentes, saindo da Índia e passando por diversos países da África, Europa e também da Ásia. O Professor ainda continuou comentando sobre um jogo mais antigo chamado Chaturanga, o qual foi sofrendo adaptações ao longo dos anos com relação a quantidade de jogadores (caindo de 4 jogadores para 2), peças (troca do Al-fil e Alferza por Bispo e Dama) e movimentos, até chegar às últimas versões mais aproximadas do xadrez.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sequência, foi abordada a linha do tempo do xadrez em relação a inteligência artificial. A ênfase principal foi dada ao primeiro autômato genuíno para jogar xadrez desenvolvido em 1912, o Turochamp criado em 1953 por Alan Turing até chegar ao Deep Blue, primeiro programa a vencer uma partida contra um campeão mundial em 1996.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Professor comentou sobre a ferramenta Xadrez Livre da Universidade Federal do Paraná. Sendo que esta conta com um servidor que permite aos jogadores praticarem xadrez contra o computador (na qual é possível definir o nível de dificuldade) ou contra outros jogadores que estejam online. Ressaltou que é uma das ferramentas mais utilizadas no Brasil e que ainda existem pesquisas em aberto sobre esta que podem ser trabalhadas em programas de pós-graduação.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Outro assunto abordado foi a relação do xadrez com a educação, sendo pontuado que o jogo melhora diversas habilidades como: memória, raciocínio lógico-matemático, abstração, resolução de problemas e concentração. Além disso, o xadrez também é útil para fins educacionais, científicos, artísticos/culturais e desportivos. Assim, o xadrez possibilita maior integração social, autoestima, inclusão social e possui ótimo relação custo-benefício.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Professor também abordou metodologias de pré-jogo que são utilizadas para o ensino de xadrez. Alguns exemplos citados foram: quadrado mágico, batalha naval, jogo da velha, corrida do cavalo, etc. Acerca disso, foi comentado que existem ferramentas que facilitam esses tipos de jogabilidades de pré-jogo.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o orador respondeu diversas questões em relação aos seguintes assuntos: inclusão de alunos com deficiência cognitiva, idade inicial para aprender xadrez, a aplicação do jogo para idosos, o tempo de estudo do xadrez para se tornar mestre nacional e internacional e as divisões entre campeonatos de máquinas e humanos.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 em Redes e Inteligência Artificial: será que ‘dá match?’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08 de setembro às 19h,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9"/>
          <w:szCs w:val="29"/>
          <w:highlight w:val="white"/>
          <w:rtl w:val="0"/>
        </w:rPr>
        <w:t xml:space="preserve">Segurança em Redes e Inteligência Artificial: será que ‘dá match?’,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9"/>
          <w:szCs w:val="29"/>
          <w:highlight w:val="white"/>
          <w:rtl w:val="0"/>
        </w:rPr>
        <w:t xml:space="preserve">Prof. Lucas Sampaio, UTF-PR Cornélio Procópio,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9"/>
            <w:szCs w:val="29"/>
            <w:highlight w:val="white"/>
            <w:u w:val="single"/>
            <w:rtl w:val="0"/>
          </w:rPr>
          <w:t xml:space="preserve">https://www.youtube.com/watch?v=qqMLUkdOLX8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Professor começou a palestra explicando a área de Inteligência Artificial, a qual é um campo da ciência da computação que se dedica à criação de sistemas computacionais capazes de realizar tarefas que outrora necessitariam de um ser humano. Ele ainda destacou a diferença entre Inteligência Artificial, Aprendizado de Máquina e Deep Learning, sendo que os dois últimos são sub campos da IA.</w:t>
        <w:br w:type="textWrapping"/>
        <w:tab/>
        <w:t xml:space="preserve">Na sequência foi explicado como funciona o aprendizado de máquina, no qual se faz necessário uma grande quantidade de dados, elevado poder computacional e é uma tarefa a ser reproduzida/automatizada. Entre as possíveis aplicações estão: jogos, reconhecimento óptico de caracteres, corretor ortográfico, contratação de funcionários, classificação de clientes e veículos autônomos.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continuou a palestra demonstrando números acerca do mercado de segurança em redes: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Prejuízo causado em 2017 entre 445 e 608 bilhões de dólares;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equivale a 24% - 32,6% do PIB brasileiro;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Comparado a pirataria marítima, a qual gerou um prejuízo de 5,7 a 6,1 bilhões de dólares em 2013 caindo para 2,5 bilhões em 2017.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Professor Lucas continuou a palestra comentando sobre a quantidade de ataques diários que as redes de computadores sofrem ao redor do mundo, por exemplo, aproximadamente 4 mil ocorrências diárias de ransomware (sequestro de dados) e até 80 bilhões de scans maliciosos. Foram citados alguns exemplos por tipos de ataques em redes como: distributed denial of service (botnets, teardrop, flooding, smurf), man-in-the-middle (TCP Hijacking, KRACK), ataques utilizando DNS (tunneling e Hijacking), spoofing (MAC, IP, GPS).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orador seguiu demonstrando exemplos de uso de algoritmos de aprendizado de máquina para lidar com problemas de segurança, por exemplo, na identificação de contas maliciosas. Em 2017 o Google removeu 700 mil apps da Play Store e 100 mil contas de desenvolvedores, através de reconhecimento de padrões para detectar código malicioso e ocorrências que infringem os termos de uso.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Professor seguiu a palestra descrevendo sistemas de detecção de intrusão (IDS) e sistemas de prevenção de intrusão (IPS), sendo que o primeiro apenas notifica o usuário sobre uma eventual intrusão detectada na rede e o IPS além de detectar ainda evita o ataque.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Ainda foi comentado sobre as assinaturas que os ataques possuem (que podem ser utilizadas por algoritmos de IA) como: aumento de tráfego, uso de portas específicas e uso de payloads em situações atípicas. No entanto, nem sempre os ataques são conhecidos. Neste sentido, é possível utilizar características conhecidas da própria rede como: comportamento típico, garantir que os dados típicos não contém ataques e levar em consideração que essas características mudam com o tempo.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Por fim, foram respondidas questões acerca da palestra como: garantia de segurança e confiabilidade da base de dados de treinamento dos algoritmos, Lei Geral de Proteção de Dados, criptografia e IA, evolução de hardware e algoritmos de IA, relação da Internet das Coisas e IA, novos modelos de negócios, segurança de sistemas que operam com vidas, ética e moral em IA e divulgação do Simpósio Brasileiro em Segurança da Informação e de Sistemas Computacionais (SBSeg).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v-ppgc.ic.uff.br/2020-2/paineis.html" TargetMode="External"/><Relationship Id="rId11" Type="http://schemas.openxmlformats.org/officeDocument/2006/relationships/hyperlink" Target="http://www.igor.pro.br/" TargetMode="External"/><Relationship Id="rId22" Type="http://schemas.openxmlformats.org/officeDocument/2006/relationships/hyperlink" Target="https://bbb.c3sl.ufpr.br/b/lui-gv2-9xx" TargetMode="External"/><Relationship Id="rId10" Type="http://schemas.openxmlformats.org/officeDocument/2006/relationships/hyperlink" Target="https://bbb.c3sl.ufpr.br/b/lui-gv2-9xx" TargetMode="External"/><Relationship Id="rId21" Type="http://schemas.openxmlformats.org/officeDocument/2006/relationships/hyperlink" Target="http://ev-ppgc.ic.uff.br/2020-2/paineis.html" TargetMode="External"/><Relationship Id="rId13" Type="http://schemas.openxmlformats.org/officeDocument/2006/relationships/hyperlink" Target="http://nau.edu/SICCS/" TargetMode="External"/><Relationship Id="rId12" Type="http://schemas.openxmlformats.org/officeDocument/2006/relationships/hyperlink" Target="http://www.igor.pro.br/" TargetMode="External"/><Relationship Id="rId23" Type="http://schemas.openxmlformats.org/officeDocument/2006/relationships/hyperlink" Target="https://www.youtube.com/watch?v=qqMLUkdOLX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bb.c3sl.ufpr.br/b/lui-gv2-9xx" TargetMode="External"/><Relationship Id="rId15" Type="http://schemas.openxmlformats.org/officeDocument/2006/relationships/hyperlink" Target="https://bbb.c3sl.ufpr.br/b/lui-gv2-9xx" TargetMode="External"/><Relationship Id="rId14" Type="http://schemas.openxmlformats.org/officeDocument/2006/relationships/hyperlink" Target="http://nau.edu/SICCS/" TargetMode="External"/><Relationship Id="rId17" Type="http://schemas.openxmlformats.org/officeDocument/2006/relationships/hyperlink" Target="http://ev-ppgc.ic.uff.br/2020-2/paineis.html" TargetMode="External"/><Relationship Id="rId16" Type="http://schemas.openxmlformats.org/officeDocument/2006/relationships/hyperlink" Target="https://bbb.c3sl.ufpr.br/b/lui-gv2-9xx" TargetMode="External"/><Relationship Id="rId5" Type="http://schemas.openxmlformats.org/officeDocument/2006/relationships/styles" Target="styles.xml"/><Relationship Id="rId19" Type="http://schemas.openxmlformats.org/officeDocument/2006/relationships/hyperlink" Target="http://ev-ppgc.ic.uff.br/2020-2/paineis.html" TargetMode="External"/><Relationship Id="rId6" Type="http://schemas.openxmlformats.org/officeDocument/2006/relationships/hyperlink" Target="https://www.fun-campus.fr/courses/course-v1:ParisSaclay+71004SP+SPOC_STIC_20_2/about" TargetMode="External"/><Relationship Id="rId18" Type="http://schemas.openxmlformats.org/officeDocument/2006/relationships/hyperlink" Target="http://ev-ppgc.ic.uff.br/2020-2/paineis.html" TargetMode="External"/><Relationship Id="rId7" Type="http://schemas.openxmlformats.org/officeDocument/2006/relationships/hyperlink" Target="https://bbb.c3sl.ufpr.br/b/lui-gv2-9xx" TargetMode="External"/><Relationship Id="rId8" Type="http://schemas.openxmlformats.org/officeDocument/2006/relationships/hyperlink" Target="https://www.youtube.com/watch?v=BDUJvwlrU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