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12E69D3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F2141E">
        <w:rPr>
          <w:rFonts w:ascii="Santander Text" w:hAnsi="Santander Text"/>
        </w:rPr>
        <w:t>Satélite 83</w:t>
      </w:r>
    </w:p>
    <w:p w14:paraId="55B85B40" w14:textId="038EB97F" w:rsidR="008B024F" w:rsidRPr="00A46BA0" w:rsidRDefault="001C71B6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1C71B6">
        <w:rPr>
          <w:rFonts w:ascii="Santander Text" w:hAnsi="Santander Text"/>
          <w:i/>
        </w:rPr>
        <w:t>O</w:t>
      </w:r>
      <w:r w:rsidR="00FC3ABA" w:rsidRPr="001C71B6">
        <w:rPr>
          <w:rFonts w:ascii="Santander Text" w:hAnsi="Santander Text"/>
          <w:i/>
        </w:rPr>
        <w:t>verview</w:t>
      </w:r>
    </w:p>
    <w:p w14:paraId="3DB5F68A" w14:textId="1803B9CE" w:rsidR="004303D7" w:rsidRPr="000C3638" w:rsidRDefault="00F2141E" w:rsidP="00F2141E">
      <w:pPr>
        <w:jc w:val="both"/>
      </w:pPr>
      <w:bookmarkStart w:id="2" w:name="_Hlk181737199"/>
      <w:r>
        <w:t>O Satélite 83 tem como objetivo r</w:t>
      </w:r>
      <w:r w:rsidRPr="00390F14">
        <w:t xml:space="preserve">eportar ações de mitigação para as alterações climáticas que não são </w:t>
      </w:r>
      <w:r>
        <w:t>alinhadas</w:t>
      </w:r>
      <w:r w:rsidRPr="00390F14">
        <w:t xml:space="preserve"> </w:t>
      </w:r>
      <w:r>
        <w:t>à T</w:t>
      </w:r>
      <w:r w:rsidRPr="00390F14">
        <w:t xml:space="preserve">axonomia </w:t>
      </w:r>
      <w:r>
        <w:t>E</w:t>
      </w:r>
      <w:r w:rsidRPr="00390F14">
        <w:t>uropeia. Este reporte tem como objetivo reportar o montante de exposição que permite mitigar os riscos relacionados com as alterações climáticas que cumprem com os critérios do SF</w:t>
      </w:r>
      <w:r>
        <w:t>I</w:t>
      </w:r>
      <w:r w:rsidRPr="00390F14">
        <w:t>CS (</w:t>
      </w:r>
      <w:r w:rsidRPr="00D24B31">
        <w:rPr>
          <w:i/>
        </w:rPr>
        <w:t>Sustainable Finance and Investment Classification</w:t>
      </w:r>
      <w:r w:rsidRPr="00390F14">
        <w:t xml:space="preserve">), mas não </w:t>
      </w:r>
      <w:r>
        <w:t xml:space="preserve">alinhadas </w:t>
      </w:r>
      <w:r w:rsidRPr="00390F14">
        <w:t xml:space="preserve">com a </w:t>
      </w:r>
      <w:r>
        <w:t>T</w:t>
      </w:r>
      <w:r w:rsidRPr="00390F14">
        <w:t xml:space="preserve">axonomia </w:t>
      </w:r>
      <w:r>
        <w:t>E</w:t>
      </w:r>
      <w:r w:rsidRPr="00390F14">
        <w:t>uropeia.</w:t>
      </w:r>
    </w:p>
    <w:bookmarkEnd w:id="2"/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33AC2F8A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5"/>
        <w:gridCol w:w="3280"/>
        <w:gridCol w:w="2332"/>
        <w:gridCol w:w="1320"/>
        <w:gridCol w:w="949"/>
      </w:tblGrid>
      <w:tr w:rsidR="007E64F0" w:rsidRPr="00A46BA0" w14:paraId="50E82206" w14:textId="77777777" w:rsidTr="004303D7">
        <w:trPr>
          <w:trHeight w:val="275"/>
          <w:tblHeader/>
          <w:jc w:val="center"/>
        </w:trPr>
        <w:tc>
          <w:tcPr>
            <w:tcW w:w="2205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280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332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143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4303D7">
        <w:trPr>
          <w:trHeight w:val="605"/>
          <w:jc w:val="center"/>
        </w:trPr>
        <w:tc>
          <w:tcPr>
            <w:tcW w:w="2205" w:type="dxa"/>
            <w:vMerge w:val="restart"/>
            <w:shd w:val="clear" w:color="auto" w:fill="E7E6E6" w:themeFill="background2"/>
            <w:vAlign w:val="center"/>
          </w:tcPr>
          <w:p w14:paraId="746E13A6" w14:textId="3384862A" w:rsidR="00D67486" w:rsidRPr="00A46BA0" w:rsidRDefault="00F2141E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83</w:t>
            </w: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3DF4AE7B" w14:textId="5B5FAD77" w:rsidR="00D67486" w:rsidRPr="004303D7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</w:pPr>
            <w:r w:rsidRPr="004303D7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ag083_miti_cto_gra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6ED6832A" w14:textId="08FD601B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F2141E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83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143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4303D7">
        <w:trPr>
          <w:trHeight w:val="605"/>
          <w:jc w:val="center"/>
        </w:trPr>
        <w:tc>
          <w:tcPr>
            <w:tcW w:w="2205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280" w:type="dxa"/>
            <w:shd w:val="clear" w:color="auto" w:fill="FFFFFF" w:themeFill="background1"/>
            <w:noWrap/>
            <w:vAlign w:val="center"/>
          </w:tcPr>
          <w:p w14:paraId="0457F216" w14:textId="046AE099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F2141E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ag083_miti_cto_agr</w:t>
            </w:r>
          </w:p>
        </w:tc>
        <w:tc>
          <w:tcPr>
            <w:tcW w:w="2332" w:type="dxa"/>
            <w:shd w:val="clear" w:color="auto" w:fill="FFFFFF" w:themeFill="background1"/>
            <w:vAlign w:val="center"/>
          </w:tcPr>
          <w:p w14:paraId="3CEEF2AF" w14:textId="0E4026BB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final de marcação de métricas ESG agregada por </w:t>
            </w:r>
            <w:r w:rsidR="008873A9" w:rsidRPr="008873A9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idcomb</w:t>
            </w:r>
            <w:r w:rsidR="008873A9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143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1DAC5BFF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E42E391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F2141E">
        <w:rPr>
          <w:rFonts w:cstheme="minorHAnsi"/>
        </w:rPr>
        <w:t>Satélite 83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57EC3012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2A1F947D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46E720B7" w:rsidR="00DF54EA" w:rsidRDefault="00DF54EA" w:rsidP="00525504"/>
    <w:p w14:paraId="2D7FB5AA" w14:textId="5E1AA9EE" w:rsidR="00525504" w:rsidRPr="00DF54EA" w:rsidRDefault="00183BCB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r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54655C96" wp14:editId="04165A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8891270" cy="2049145"/>
            <wp:effectExtent l="0" t="0" r="5080" b="8255"/>
            <wp:wrapTight wrapText="bothSides">
              <wp:wrapPolygon edited="0">
                <wp:start x="0" y="0"/>
                <wp:lineTo x="0" y="21486"/>
                <wp:lineTo x="21566" y="21486"/>
                <wp:lineTo x="215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grama Sat 8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EC982" w14:textId="72279BAA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7ACCC0C1" w:rsidR="00720BCE" w:rsidRPr="00A46BA0" w:rsidRDefault="0073517E" w:rsidP="00513FA4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ag083_miti_cto_gra</w:t>
      </w:r>
      <w:r w:rsidR="00513FA4">
        <w:rPr>
          <w:rFonts w:ascii="Santander Text" w:hAnsi="Santander Text" w:cstheme="minorHAnsi"/>
          <w:i/>
        </w:rPr>
        <w:t xml:space="preserve"> 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6872C288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F2141E">
        <w:rPr>
          <w:rFonts w:cstheme="minorHAnsi"/>
        </w:rPr>
        <w:t>Satélite 83</w:t>
      </w:r>
      <w:r w:rsidRPr="00A46BA0">
        <w:rPr>
          <w:rFonts w:cstheme="minorHAnsi"/>
        </w:rPr>
        <w:t xml:space="preserve"> e construção de métricas ESG.</w:t>
      </w:r>
    </w:p>
    <w:p w14:paraId="473A66BB" w14:textId="1E268629" w:rsidR="00547C3D" w:rsidRPr="00547C3D" w:rsidRDefault="00547C3D" w:rsidP="00987EA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2CC986C1" w14:textId="5697A650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F2141E">
        <w:rPr>
          <w:rFonts w:cstheme="minorHAnsi"/>
          <w:b/>
          <w:bCs/>
          <w:i/>
        </w:rPr>
        <w:t>ag083_miti_cto_gra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apresenta </w:t>
      </w:r>
      <w:r w:rsidRPr="008873A9">
        <w:rPr>
          <w:rFonts w:cstheme="minorHAnsi"/>
        </w:rPr>
        <w:t>granularidade</w:t>
      </w:r>
      <w:r w:rsidR="000128CC" w:rsidRPr="008873A9">
        <w:rPr>
          <w:rFonts w:cstheme="minorHAnsi"/>
        </w:rPr>
        <w:t xml:space="preserve"> </w:t>
      </w:r>
      <w:r w:rsidR="009B1CCD" w:rsidRPr="008873A9">
        <w:rPr>
          <w:rFonts w:cstheme="minorHAnsi"/>
        </w:rPr>
        <w:t>a</w:t>
      </w:r>
      <w:r w:rsidR="009B1CCD" w:rsidRPr="00A46BA0">
        <w:rPr>
          <w:rFonts w:cstheme="minorHAnsi"/>
        </w:rPr>
        <w:t xml:space="preserve">o nível do </w:t>
      </w:r>
      <w:r w:rsidR="00547C3D">
        <w:rPr>
          <w:rFonts w:cstheme="minorHAnsi"/>
        </w:rPr>
        <w:t xml:space="preserve">cliente, </w:t>
      </w:r>
      <w:r w:rsidR="00DF54EA" w:rsidRPr="00A46BA0">
        <w:rPr>
          <w:rFonts w:cstheme="minorHAnsi"/>
        </w:rPr>
        <w:t>responsabilidade</w:t>
      </w:r>
      <w:r w:rsidR="00547C3D">
        <w:rPr>
          <w:rFonts w:cstheme="minorHAnsi"/>
        </w:rPr>
        <w:t xml:space="preserve"> e</w:t>
      </w:r>
      <w:r w:rsidR="008873A9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DF54EA" w:rsidRPr="00A46BA0">
        <w:rPr>
          <w:rFonts w:cstheme="minorHAnsi"/>
        </w:rPr>
        <w:t>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574B0F24" w14:textId="25DD962C" w:rsidR="004303D7" w:rsidRDefault="00987EA2" w:rsidP="004303D7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8873A9">
        <w:rPr>
          <w:rFonts w:cstheme="minorHAnsi"/>
        </w:rPr>
        <w:t>’),</w:t>
      </w:r>
      <w:r w:rsidR="0014633D">
        <w:rPr>
          <w:rFonts w:cstheme="minorHAnsi"/>
        </w:rPr>
        <w:t xml:space="preserve">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 w:rsidRPr="008873A9">
        <w:rPr>
          <w:rFonts w:cstheme="minorHAnsi"/>
          <w:iCs/>
        </w:rPr>
        <w:t>)</w:t>
      </w:r>
      <w:r w:rsidR="00547C3D">
        <w:rPr>
          <w:rFonts w:cstheme="minorHAnsi"/>
        </w:rPr>
        <w:t xml:space="preserve"> e</w:t>
      </w:r>
      <w:r w:rsidR="00484610">
        <w:rPr>
          <w:rFonts w:cstheme="minorHAnsi"/>
        </w:rPr>
        <w:t xml:space="preserve"> </w:t>
      </w:r>
      <w:r w:rsidR="008873A9" w:rsidRPr="008873A9">
        <w:rPr>
          <w:rFonts w:cstheme="minorHAnsi"/>
          <w:i/>
        </w:rPr>
        <w:t>idcomb</w:t>
      </w:r>
      <w:r w:rsidR="008873A9">
        <w:rPr>
          <w:rFonts w:cstheme="minorHAnsi"/>
        </w:rPr>
        <w:t xml:space="preserve"> (‘</w:t>
      </w:r>
      <w:r w:rsidR="008873A9" w:rsidRPr="0014633D">
        <w:rPr>
          <w:rFonts w:cstheme="minorHAnsi"/>
          <w:i/>
        </w:rPr>
        <w:t>idcomb_</w:t>
      </w:r>
      <w:r w:rsidR="008873A9">
        <w:rPr>
          <w:rFonts w:cstheme="minorHAnsi"/>
          <w:i/>
        </w:rPr>
        <w:t>satelite’</w:t>
      </w:r>
      <w:r w:rsidR="008873A9">
        <w:rPr>
          <w:rFonts w:cstheme="minorHAnsi"/>
        </w:rPr>
        <w:t>)</w:t>
      </w:r>
      <w:r w:rsidR="00547C3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  <w:bookmarkEnd w:id="1"/>
    </w:p>
    <w:p w14:paraId="025F40CE" w14:textId="0A681DC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1117B904" w14:textId="438B306A" w:rsidR="00484610" w:rsidRDefault="00484610" w:rsidP="00484610">
      <w:pPr>
        <w:jc w:val="both"/>
        <w:rPr>
          <w:rFonts w:cstheme="minorHAnsi"/>
          <w:iCs/>
        </w:rPr>
      </w:pPr>
      <w:r>
        <w:t xml:space="preserve">A </w:t>
      </w:r>
      <w:r w:rsidR="0074015E" w:rsidRPr="00A46BA0">
        <w:t xml:space="preserve">tabela </w:t>
      </w:r>
      <w:r w:rsidR="009B1CCD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="000A56DD">
        <w:rPr>
          <w:rFonts w:cstheme="minorHAnsi"/>
          <w:iCs/>
        </w:rPr>
        <w:t xml:space="preserve">é </w:t>
      </w:r>
      <w:r w:rsidR="000A56DD" w:rsidRPr="00834EBC">
        <w:rPr>
          <w:rFonts w:cstheme="minorHAnsi"/>
          <w:iCs/>
        </w:rPr>
        <w:t>obtida excluindo todas as operações de MC</w:t>
      </w:r>
      <w:r w:rsidR="00ED4B89">
        <w:rPr>
          <w:rFonts w:cstheme="minorHAnsi"/>
          <w:iCs/>
        </w:rPr>
        <w:t>10</w:t>
      </w:r>
      <w:r w:rsidR="000A56DD" w:rsidRPr="00834EBC">
        <w:rPr>
          <w:rFonts w:cstheme="minorHAnsi"/>
          <w:iCs/>
        </w:rPr>
        <w:t xml:space="preserve"> </w:t>
      </w:r>
      <w:r w:rsidR="00051907">
        <w:rPr>
          <w:rFonts w:cstheme="minorHAnsi"/>
          <w:iCs/>
        </w:rPr>
        <w:t xml:space="preserve">(representação de imóveis adjudicados no idcomb) </w:t>
      </w:r>
      <w:r w:rsidR="000A56DD">
        <w:rPr>
          <w:rFonts w:cstheme="minorHAnsi"/>
          <w:iCs/>
        </w:rPr>
        <w:t xml:space="preserve">e </w:t>
      </w:r>
      <w:r w:rsidR="0074015E" w:rsidRPr="00A46BA0">
        <w:rPr>
          <w:rFonts w:cstheme="minorHAnsi"/>
          <w:iCs/>
        </w:rPr>
        <w:t xml:space="preserve">através </w:t>
      </w:r>
      <w:r>
        <w:rPr>
          <w:rFonts w:cstheme="minorHAnsi"/>
          <w:iCs/>
        </w:rPr>
        <w:t>do cruzamento da tabela</w:t>
      </w:r>
      <w:r w:rsidR="0074015E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b/>
          <w:bCs/>
          <w:i/>
        </w:rPr>
        <w:t>bu_esg_work.rf_pilar3_universo_full</w:t>
      </w:r>
      <w:r w:rsidR="0074015E"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="0074015E" w:rsidRPr="00A46BA0">
        <w:rPr>
          <w:rFonts w:cstheme="minorHAnsi"/>
          <w:iCs/>
        </w:rPr>
        <w:t xml:space="preserve">’, pelo </w:t>
      </w:r>
      <w:r w:rsidR="0074015E" w:rsidRPr="00A46BA0">
        <w:rPr>
          <w:rFonts w:cstheme="minorHAnsi"/>
          <w:i/>
        </w:rPr>
        <w:t>id</w:t>
      </w:r>
      <w:r w:rsidR="0074015E"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="0074015E"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="0074015E"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ED4B89">
        <w:rPr>
          <w:rFonts w:cstheme="minorHAnsi"/>
          <w:iCs/>
        </w:rPr>
        <w:t>8</w:t>
      </w:r>
      <w:r w:rsidR="00F2141E">
        <w:rPr>
          <w:rFonts w:cstheme="minorHAnsi"/>
          <w:iCs/>
        </w:rPr>
        <w:t>3</w:t>
      </w:r>
      <w:r w:rsidR="0074015E"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="0074015E"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</w:t>
      </w:r>
      <w:r>
        <w:rPr>
          <w:rFonts w:cstheme="minorHAnsi"/>
          <w:iCs/>
        </w:rPr>
        <w:t>as seguintes tabela:</w:t>
      </w:r>
    </w:p>
    <w:p w14:paraId="4C44FF50" w14:textId="2D476788" w:rsidR="0058057C" w:rsidRPr="0058057C" w:rsidRDefault="0058057C" w:rsidP="00F2141E">
      <w:pPr>
        <w:pStyle w:val="ListParagraph"/>
        <w:numPr>
          <w:ilvl w:val="0"/>
          <w:numId w:val="28"/>
        </w:numPr>
        <w:jc w:val="both"/>
        <w:rPr>
          <w:rFonts w:cstheme="minorHAnsi"/>
          <w:b/>
          <w:i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="00FE197D">
        <w:rPr>
          <w:rStyle w:val="FootnoteReference"/>
          <w:rFonts w:cstheme="minorHAnsi"/>
          <w:b/>
          <w:bCs/>
          <w:i/>
        </w:rPr>
        <w:footnoteReference w:id="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contrato das tabelas </w:t>
      </w:r>
      <w:r w:rsidRPr="00A46BA0">
        <w:rPr>
          <w:rFonts w:cstheme="minorHAnsi"/>
          <w:b/>
          <w:bCs/>
          <w:i/>
        </w:rPr>
        <w:t>bu_esg_work.rf_pilar3_universo_full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e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dos seguintes campos: </w:t>
      </w:r>
      <w:r w:rsidRPr="0035403B">
        <w:rPr>
          <w:rFonts w:cstheme="minorHAnsi"/>
          <w:bCs/>
          <w:i/>
        </w:rPr>
        <w:t>‘nome_purpose_esg_</w:t>
      </w:r>
      <w:r w:rsidR="00F2141E">
        <w:rPr>
          <w:rFonts w:cstheme="minorHAnsi"/>
          <w:bCs/>
          <w:i/>
        </w:rPr>
        <w:t>nalinh_tax’</w:t>
      </w:r>
      <w:r w:rsidR="00F2141E">
        <w:rPr>
          <w:rFonts w:cstheme="minorHAnsi"/>
          <w:bCs/>
        </w:rPr>
        <w:t xml:space="preserve"> e </w:t>
      </w:r>
      <w:r w:rsidR="00F2141E" w:rsidRPr="00F2141E">
        <w:rPr>
          <w:rFonts w:cstheme="minorHAnsi"/>
          <w:bCs/>
          <w:i/>
        </w:rPr>
        <w:t>‘nome_ctgr_sfics’</w:t>
      </w:r>
      <w:r w:rsidR="00F2141E">
        <w:rPr>
          <w:rFonts w:cstheme="minorHAnsi"/>
          <w:b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67F2725C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ag083_miti_cto_gra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8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5"/>
        <w:gridCol w:w="5391"/>
      </w:tblGrid>
      <w:tr w:rsidR="002B59C4" w:rsidRPr="00311F0D" w14:paraId="0E5F080A" w14:textId="77777777" w:rsidTr="00306123">
        <w:trPr>
          <w:trHeight w:val="270"/>
          <w:tblHeader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11F0D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311F0D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311F0D" w14:paraId="1A9603B2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09EB153A" w:rsidR="000F272A" w:rsidRPr="00311F0D" w:rsidRDefault="008873A9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="000F272A"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31F1B78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1123D" w:rsidRPr="00311F0D" w14:paraId="47D0B977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9381D0" w14:textId="51423F35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777C67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46EC36B0" w14:textId="77777777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F5E1" w14:textId="6EFACB69" w:rsidR="0061123D" w:rsidRPr="00311F0D" w:rsidRDefault="0061123D" w:rsidP="006112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92E1B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726BD8E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0D519C1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311F0D" w14:paraId="6B8549A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311F0D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311F0D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311F0D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450BF8CE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74F08B68" w:rsidR="000002E4" w:rsidRPr="00311F0D" w:rsidRDefault="000002E4" w:rsidP="000E1ADD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A21271C" w14:textId="023B5394" w:rsidR="000A300E" w:rsidRPr="00311F0D" w:rsidRDefault="000A300E" w:rsidP="000A300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 saldo contabilístico que corresponde ao contrato.</w:t>
            </w:r>
          </w:p>
          <w:p w14:paraId="562C85B1" w14:textId="77777777" w:rsidR="000002E4" w:rsidRDefault="000002E4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5EBB8C41" w:rsidR="00C42AAC" w:rsidRPr="00311F0D" w:rsidRDefault="00C42AAC" w:rsidP="000002E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311F0D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(</w:t>
            </w:r>
            <w:r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campo </w:t>
            </w:r>
            <w:r w:rsidRPr="00C42AAC">
              <w:rPr>
                <w:rFonts w:eastAsia="Times New Roman" w:cs="Calibri"/>
                <w:bCs/>
                <w:i/>
                <w:iCs/>
                <w:color w:val="000000"/>
                <w:sz w:val="18"/>
                <w:szCs w:val="18"/>
                <w:lang w:eastAsia="pt-PT"/>
              </w:rPr>
              <w:t>‘msaldo_final’</w:t>
            </w:r>
            <w:r w:rsidRPr="00C42AAC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>)</w:t>
            </w:r>
            <w:r w:rsidRPr="00311F0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002E4" w:rsidRPr="00311F0D" w14:paraId="6382482D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AC84BB1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cs="Calibri"/>
                <w:color w:val="000000"/>
                <w:sz w:val="18"/>
                <w:szCs w:val="18"/>
              </w:rPr>
              <w:t>green_financial_instrument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18ED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operações verdes.</w:t>
            </w:r>
          </w:p>
          <w:p w14:paraId="3A012C98" w14:textId="77777777" w:rsidR="00306123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87B83E" w14:textId="77777777" w:rsidR="00C42AAC" w:rsidRPr="00857DB4" w:rsidRDefault="00C42AAC" w:rsidP="00C42AA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A4AD141" w14:textId="1FACC0B9" w:rsidR="000002E4" w:rsidRPr="00C42AAC" w:rsidRDefault="00C42AAC" w:rsidP="003820CD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534AA3EC" w14:textId="0F211A52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E1B6DEA" w14:textId="61CB3FA5" w:rsidR="00C42AAC" w:rsidRPr="00CD790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D6A0D6B" w14:textId="682429FE" w:rsidR="00C42AAC" w:rsidRPr="00074BFE" w:rsidRDefault="00C42AAC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C42AAC">
              <w:rPr>
                <w:rFonts w:cs="Arial"/>
                <w:sz w:val="18"/>
                <w:szCs w:val="18"/>
              </w:rPr>
              <w:t>GFI1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="00074BFE"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20CE38C" w14:textId="6CC4ADC6" w:rsidR="00C42AAC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com o valor ‘GFI2’.</w:t>
            </w:r>
          </w:p>
        </w:tc>
      </w:tr>
      <w:tr w:rsidR="000002E4" w:rsidRPr="00074BFE" w14:paraId="63E89A6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781ADB85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purpose_esg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CF4961" w14:textId="77777777" w:rsidR="00306123" w:rsidRPr="000C3638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</w:t>
            </w:r>
          </w:p>
          <w:p w14:paraId="5C08AB46" w14:textId="77777777" w:rsidR="000002E4" w:rsidRDefault="000002E4" w:rsidP="000002E4">
            <w:pPr>
              <w:spacing w:after="0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4AC857B5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02D99EB6" w14:textId="6BD4D138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PESG1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C42AAC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renovation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1AA6B6E" w14:textId="00530C40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Motor vehicle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1E84776" w14:textId="45008E3F" w:rsidR="00074BFE" w:rsidRPr="00CD790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‘PESG3’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Building acquisition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7D2C26" w14:textId="488000D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‘PESG4’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</w:t>
            </w:r>
            <w:r w:rsidRPr="00C42AAC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alinh_tax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valor ‘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Other purpose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EBEAC66" w14:textId="7DDC9A31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0002E4" w:rsidRPr="00311F0D" w14:paraId="2C258EFA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6B3C59B" w:rsidR="000002E4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fundyng_type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3D879B3" w14:textId="77777777" w:rsidR="00306123" w:rsidRPr="00D24B31" w:rsidRDefault="00306123" w:rsidP="003061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da tipologia de atividade verde.</w:t>
            </w:r>
          </w:p>
          <w:p w14:paraId="65D71E47" w14:textId="77777777" w:rsidR="000002E4" w:rsidRDefault="000002E4" w:rsidP="000002E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B17BC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1BE5A5E2" w14:textId="118925D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‘FUTY1’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'A.7.7.','A.7.12.','A.7.18.'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2CD12CC7" w14:textId="567BCD1E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‘FUTY2’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'Sustainability Linked Finance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7F0D0B18" w14:textId="2BA66E99" w:rsidR="00074BFE" w:rsidRPr="00C42AAC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‘FUTY4’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'A.6.19.'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0283B159" w14:textId="0F1896C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‘FUTY5’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'A.1.1.','A.1.3.','A.1.5.','A.1.6.','A.1.9.'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691317B3" w14:textId="7BD4F969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‘FUTY6’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'A.2.5.',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'A.2.14.',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'A.3.1.',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'A.3.7.',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'A.5.2.',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'A.8.10.',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'A.8.23.',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'KPI Linked - Green','Pure Green counterparty - Default','Student loans'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3820CD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3820CD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3820CD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3820CD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o valor ‘No’ ou ‘Nao Aplicavel’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;</w:t>
            </w:r>
          </w:p>
          <w:p w14:paraId="3F39EC28" w14:textId="570215B7" w:rsidR="00074BFE" w:rsidRPr="00311F0D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  <w:tr w:rsidR="00C06A26" w:rsidRPr="00311F0D" w14:paraId="5F6380B5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4FCD08" w14:textId="2E425096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risk_mitigated_cct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3674E5" w14:textId="77777777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CCT.</w:t>
            </w:r>
          </w:p>
          <w:p w14:paraId="0BC3A009" w14:textId="77777777" w:rsidR="00C06A26" w:rsidRDefault="00C06A26" w:rsidP="00311F0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60443D" w14:textId="77777777" w:rsidR="00591A61" w:rsidRPr="00857DB4" w:rsidRDefault="00591A61" w:rsidP="00591A61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2AA3F036" w14:textId="77777777" w:rsidR="00591A61" w:rsidRPr="00591A61" w:rsidRDefault="00591A61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457973FD" w14:textId="2A721146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Assume valor fixo ‘RMCT1’</w:t>
            </w:r>
            <w:r w:rsid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nos restantes casos</w:t>
            </w:r>
            <w:r w:rsidRPr="00591A6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C06A26" w:rsidRPr="00311F0D" w14:paraId="3AB74B89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61634A" w14:textId="5B9142F4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risk_mitigated_ccp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568480" w14:textId="79690758" w:rsidR="00306123" w:rsidRPr="00D24B31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Identificação </w:t>
            </w:r>
            <w:r>
              <w:rPr>
                <w:rFonts w:cs="Arial"/>
                <w:sz w:val="18"/>
                <w:szCs w:val="18"/>
              </w:rPr>
              <w:t>do tipo de mitigação de risco CCP.</w:t>
            </w:r>
          </w:p>
          <w:p w14:paraId="5F009F49" w14:textId="77777777" w:rsidR="00C06A26" w:rsidRDefault="00C06A26" w:rsidP="00C06A2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B9168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6B298EAC" w14:textId="0BC728D1" w:rsidR="00591A61" w:rsidRPr="00591A61" w:rsidRDefault="00591A61" w:rsidP="00C06A26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 xml:space="preserve">Assume o valor vazio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caso o campo ‘</w:t>
            </w:r>
            <w:r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5F1194C4" w14:textId="77777777" w:rsidR="00074BFE" w:rsidRPr="00591A61" w:rsidRDefault="00074BFE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RMCP1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'A.7.2','A.7.4','A.7.5.','A.7.6.'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e o campo ‘</w:t>
            </w:r>
            <w:r w:rsidR="00591A61" w:rsidRPr="003820CD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</w:t>
            </w:r>
            <w:r w:rsidR="00591A61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(proveniente da tabela </w:t>
            </w:r>
            <w:r w:rsidR="00591A61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591A61"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 w:rsidR="00591A6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não assuma o valor ‘No’ ou ‘Nao Aplicavel’;</w:t>
            </w:r>
          </w:p>
          <w:p w14:paraId="062B004D" w14:textId="5972E3E6" w:rsidR="00591A61" w:rsidRPr="00591A61" w:rsidRDefault="00591A61" w:rsidP="00591A61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Assume o valor ‘RMCP3’ nos restantes casos.</w:t>
            </w:r>
          </w:p>
        </w:tc>
      </w:tr>
      <w:tr w:rsidR="00C06A26" w:rsidRPr="0094524F" w14:paraId="7AF1B274" w14:textId="77777777" w:rsidTr="00306123">
        <w:trPr>
          <w:trHeight w:val="304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636EE1" w14:textId="6BFD97E1" w:rsidR="00C06A26" w:rsidRPr="00311F0D" w:rsidRDefault="00306123" w:rsidP="00306123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0612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8D237D" w14:textId="77777777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1E97309A" w14:textId="72D1D294" w:rsidR="00306123" w:rsidRDefault="00306123" w:rsidP="00306123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7AD1B83" w14:textId="77777777" w:rsidR="00074BFE" w:rsidRPr="00857DB4" w:rsidRDefault="00074BFE" w:rsidP="00074BF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da seguinte forma:</w:t>
            </w:r>
          </w:p>
          <w:p w14:paraId="76885FB0" w14:textId="4F613A6F" w:rsidR="00074BFE" w:rsidRPr="00074BFE" w:rsidRDefault="00074BFE" w:rsidP="00306123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using solar photovoltaic technology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1.1.’;</w:t>
            </w:r>
          </w:p>
          <w:p w14:paraId="596A6BB9" w14:textId="0E635415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wind 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1.3.’;</w:t>
            </w:r>
          </w:p>
          <w:p w14:paraId="58910122" w14:textId="203B0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hydropower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1.5.’;</w:t>
            </w:r>
          </w:p>
          <w:p w14:paraId="569A151D" w14:textId="6BC2A25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Electricity generation from geothermal energy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1.6.’;</w:t>
            </w:r>
          </w:p>
          <w:p w14:paraId="5A1B1B9C" w14:textId="5A5CB0E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Transmission and distribution of electricity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1.9.’;</w:t>
            </w:r>
          </w:p>
          <w:p w14:paraId="2065077F" w14:textId="3668AF23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Passenger interurban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2.1.’;</w:t>
            </w:r>
          </w:p>
          <w:p w14:paraId="1D124D3E" w14:textId="74F3AB1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Freight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2.2.’;</w:t>
            </w:r>
          </w:p>
          <w:p w14:paraId="27D6399B" w14:textId="08B1EAE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Urban and suburban transport, road passenger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2.3.’;</w:t>
            </w:r>
          </w:p>
          <w:p w14:paraId="0C2BC4CE" w14:textId="276B8AC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074BFE">
              <w:rPr>
                <w:rFonts w:cs="Arial"/>
                <w:sz w:val="18"/>
                <w:szCs w:val="18"/>
              </w:rPr>
              <w:t>'Transport by motorbikes, passenger cars and light commercial vehicles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2.5.’;</w:t>
            </w:r>
          </w:p>
          <w:p w14:paraId="6EAF3887" w14:textId="2116415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Inland passenger water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2.7.’;</w:t>
            </w:r>
          </w:p>
          <w:p w14:paraId="7277A488" w14:textId="35D1CE7B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Infrastructure for rail transport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2.14.’;</w:t>
            </w:r>
          </w:p>
          <w:p w14:paraId="6A82FBAB" w14:textId="0B40154F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Construction of new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lastRenderedPageBreak/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3.1.’;</w:t>
            </w:r>
          </w:p>
          <w:p w14:paraId="2B0F9F70" w14:textId="082A5C00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Renovation of existing buildings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3.2.’;</w:t>
            </w:r>
          </w:p>
          <w:p w14:paraId="1CD26D67" w14:textId="7777777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Acquisition and ownership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3.7.’;</w:t>
            </w:r>
          </w:p>
          <w:p w14:paraId="4FBBC3FC" w14:textId="2F0B5F32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Emergency services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5.2.’;</w:t>
            </w:r>
          </w:p>
          <w:p w14:paraId="4E5B994D" w14:textId="5B67927E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Treatment of hazardous waste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6.19.’;</w:t>
            </w:r>
          </w:p>
          <w:p w14:paraId="54FE8022" w14:textId="15730578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Sustainable growing of crops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7.7.’;</w:t>
            </w:r>
          </w:p>
          <w:p w14:paraId="16723E9D" w14:textId="504E7396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074BFE">
              <w:rPr>
                <w:rFonts w:cs="Arial"/>
                <w:sz w:val="18"/>
                <w:szCs w:val="18"/>
              </w:rPr>
              <w:t>Agricultural Structures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7.12.’;</w:t>
            </w:r>
          </w:p>
          <w:p w14:paraId="241DDB12" w14:textId="65C25147" w:rsidR="00074BFE" w:rsidRPr="00074BFE" w:rsidRDefault="00074BFE" w:rsidP="00074BFE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="0094524F" w:rsidRPr="0094524F">
              <w:rPr>
                <w:rFonts w:cs="Arial"/>
                <w:sz w:val="18"/>
                <w:szCs w:val="18"/>
              </w:rPr>
              <w:t>Sustainable Agricultural Production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7.18.’;</w:t>
            </w:r>
          </w:p>
          <w:p w14:paraId="0C97C1B7" w14:textId="4871FED1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iron and steel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8.10.’;</w:t>
            </w:r>
          </w:p>
          <w:p w14:paraId="572BC22C" w14:textId="478C36B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>o valor ‘</w:t>
            </w:r>
            <w:r w:rsidRPr="0094524F">
              <w:rPr>
                <w:rFonts w:cs="Arial"/>
                <w:sz w:val="18"/>
                <w:szCs w:val="18"/>
              </w:rPr>
              <w:t>Manufacture of plastic packaging goods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074BFE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'A.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8.23.’;</w:t>
            </w:r>
          </w:p>
          <w:p w14:paraId="4E9EFD7D" w14:textId="055694AC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'KPI Linked - Green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7CB9C7C3" w14:textId="3E62D9EF" w:rsidR="0094524F" w:rsidRPr="00074BFE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'Pure Green counterparty - Default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47187542" w14:textId="77777777" w:rsidR="0094524F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cs="Arial"/>
                <w:sz w:val="18"/>
                <w:szCs w:val="18"/>
              </w:rPr>
              <w:t>A</w:t>
            </w:r>
            <w:r w:rsidRPr="00857DB4">
              <w:rPr>
                <w:rFonts w:cs="Arial"/>
                <w:sz w:val="18"/>
                <w:szCs w:val="18"/>
              </w:rPr>
              <w:t xml:space="preserve">ssume </w:t>
            </w:r>
            <w:r>
              <w:rPr>
                <w:rFonts w:cs="Arial"/>
                <w:sz w:val="18"/>
                <w:szCs w:val="18"/>
              </w:rPr>
              <w:t xml:space="preserve">o valor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cs="Arial"/>
                <w:sz w:val="18"/>
                <w:szCs w:val="18"/>
              </w:rPr>
              <w:t xml:space="preserve">’ caso o </w:t>
            </w:r>
            <w:r w:rsidRPr="00857DB4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‘</w:t>
            </w:r>
            <w:r w:rsidRPr="00074BFE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nome_ctgr_sfics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(proveniente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177327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)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assuma um dos seguintes valores </w:t>
            </w:r>
            <w:r w:rsidRPr="0094524F">
              <w:rPr>
                <w:rFonts w:cs="Arial"/>
                <w:sz w:val="18"/>
                <w:szCs w:val="18"/>
              </w:rPr>
              <w:t>'Student loans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’;</w:t>
            </w:r>
          </w:p>
          <w:p w14:paraId="3DA19584" w14:textId="51CD2BDC" w:rsidR="00C06A26" w:rsidRPr="0094524F" w:rsidRDefault="0094524F" w:rsidP="0094524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4524F">
              <w:rPr>
                <w:rFonts w:cs="Arial"/>
                <w:sz w:val="18"/>
                <w:szCs w:val="18"/>
              </w:rPr>
              <w:t>Caso contrário preenchido a vazio.</w:t>
            </w:r>
          </w:p>
        </w:tc>
      </w:tr>
    </w:tbl>
    <w:p w14:paraId="3794A422" w14:textId="6C63D1D8" w:rsidR="00D73D86" w:rsidRPr="0094524F" w:rsidRDefault="002B59C4" w:rsidP="002B59C4">
      <w:pPr>
        <w:jc w:val="both"/>
        <w:rPr>
          <w:rFonts w:cstheme="minorHAnsi"/>
        </w:rPr>
      </w:pPr>
      <w:r w:rsidRPr="0094524F">
        <w:rPr>
          <w:rFonts w:cstheme="minorHAnsi"/>
        </w:rPr>
        <w:lastRenderedPageBreak/>
        <w:t xml:space="preserve"> </w:t>
      </w:r>
    </w:p>
    <w:p w14:paraId="394D8752" w14:textId="1868AF28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F2141E">
        <w:rPr>
          <w:rFonts w:ascii="Santander Text" w:hAnsi="Santander Text" w:cstheme="minorHAnsi"/>
        </w:rPr>
        <w:t>Satélite 83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F2141E">
        <w:rPr>
          <w:rFonts w:ascii="Santander Text" w:hAnsi="Santander Text" w:cstheme="minorHAnsi"/>
          <w:i/>
        </w:rPr>
        <w:t>ag083_miti_cto_agr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7CEBFECC" w:rsidR="00C11107" w:rsidRPr="00A46BA0" w:rsidRDefault="00AB237B" w:rsidP="000A4273">
      <w:pPr>
        <w:jc w:val="both"/>
      </w:pPr>
      <w:r>
        <w:t>T</w:t>
      </w:r>
      <w:r w:rsidRPr="00AB237B">
        <w:t xml:space="preserve">abela </w:t>
      </w:r>
      <w:r w:rsidR="008873A9" w:rsidRPr="008873A9">
        <w:rPr>
          <w:i/>
        </w:rPr>
        <w:t>o</w:t>
      </w:r>
      <w:r w:rsidRPr="008873A9">
        <w:rPr>
          <w:i/>
        </w:rPr>
        <w:t>utput</w:t>
      </w:r>
      <w:r w:rsidRPr="00AB237B">
        <w:t xml:space="preserve"> do </w:t>
      </w:r>
      <w:r w:rsidR="00F2141E">
        <w:t>Satélite 83</w:t>
      </w:r>
      <w:r w:rsidRPr="00AB237B">
        <w:t xml:space="preserve"> </w:t>
      </w:r>
      <w:r>
        <w:t xml:space="preserve">que deverá conter a exposição agregada por </w:t>
      </w:r>
      <w:r w:rsidR="008873A9" w:rsidRPr="008873A9">
        <w:rPr>
          <w:i/>
        </w:rPr>
        <w:t>idcomb</w:t>
      </w:r>
      <w:r w:rsidR="008873A9">
        <w:t xml:space="preserve"> </w:t>
      </w:r>
      <w:r>
        <w:t>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5FE587F8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="008873A9" w:rsidRPr="00A46BA0">
        <w:rPr>
          <w:rFonts w:cstheme="minorHAnsi"/>
          <w:i/>
          <w:iCs/>
        </w:rPr>
        <w:t>idcomb</w:t>
      </w:r>
      <w:r w:rsidR="008873A9">
        <w:rPr>
          <w:rFonts w:cstheme="minorHAnsi"/>
          <w:i/>
          <w:iCs/>
        </w:rPr>
        <w:t xml:space="preserve"> </w:t>
      </w:r>
      <w:r w:rsidR="00AB237B">
        <w:rPr>
          <w:rFonts w:cstheme="minorHAnsi"/>
          <w:i/>
          <w:iCs/>
        </w:rPr>
        <w:t>ESG</w:t>
      </w:r>
      <w:r w:rsidR="00AB237B">
        <w:rPr>
          <w:rFonts w:cstheme="minorHAnsi"/>
        </w:rPr>
        <w:t>.</w:t>
      </w:r>
    </w:p>
    <w:p w14:paraId="0E39F687" w14:textId="0BD8E85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="008873A9"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53EDBE8F" w14:textId="56B773D6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F2141E">
        <w:rPr>
          <w:rFonts w:cstheme="minorHAnsi"/>
          <w:b/>
          <w:i/>
          <w:iCs/>
        </w:rPr>
        <w:t>ag083_miti_cto_gra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F2141E">
        <w:rPr>
          <w:rFonts w:cstheme="minorHAnsi"/>
          <w:i/>
          <w:iCs/>
        </w:rPr>
        <w:t>Satélite 83</w:t>
      </w:r>
      <w:r w:rsidR="00AB237B" w:rsidRPr="00AB237B">
        <w:rPr>
          <w:rFonts w:cstheme="minorHAnsi"/>
          <w:i/>
          <w:iCs/>
        </w:rPr>
        <w:t>: bu_esg_work.</w:t>
      </w:r>
      <w:r w:rsidR="00F2141E">
        <w:rPr>
          <w:rFonts w:cstheme="minorHAnsi"/>
          <w:i/>
          <w:iCs/>
        </w:rPr>
        <w:t>ag083_miti_cto_gra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19522504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F2141E">
        <w:rPr>
          <w:rFonts w:cstheme="minorHAnsi"/>
          <w:b/>
          <w:bCs/>
          <w:i/>
        </w:rPr>
        <w:t>ag083_miti_cto_agr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D8E0E" w14:textId="07CC4AD1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com o valor fixo de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0F0E6DF0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89F28D" w14:textId="5B779337" w:rsidR="0091158D" w:rsidRPr="0091158D" w:rsidRDefault="0091158D" w:rsidP="008873A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</w:t>
            </w:r>
            <w:r w:rsidR="008873A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 o valor fixo de</w:t>
            </w:r>
            <w:r w:rsidR="008873A9"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15C66267" w14:textId="2C3D1E1D" w:rsidR="007423D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2419EBBA" w14:textId="0508123F" w:rsidR="007423DD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o campo ‘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assuma o valor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'GFI2'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este campo resulta da concatenação dos campos 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‘green_financial_instrument’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74B1DD6C" w14:textId="143D36A7" w:rsidR="00A76568" w:rsidRPr="00A76568" w:rsidRDefault="007423DD" w:rsidP="007423D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contrário, o campo resultada da c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oncatenação dos campos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purpose_esg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green_financial_instrument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funding_type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,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risk_mitigated_cct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 w:rsidRP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</w:t>
            </w:r>
            <w:r w:rsidRPr="007423D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risk_mitigated_ccp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AF2335" w14:textId="01273497" w:rsidR="009C79DB" w:rsidRPr="009C79DB" w:rsidRDefault="0091158D" w:rsidP="007423D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7423D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F2141E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ag083_miti_cto_gra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46EC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7AA97D28" w:rsidR="00DC46EC" w:rsidRPr="00C52F4C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D1881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dcon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3D709F" w14:textId="77777777" w:rsidR="00DC46EC" w:rsidRDefault="00DC46EC" w:rsidP="00DC46EC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D24B31">
              <w:rPr>
                <w:rFonts w:cs="Arial"/>
                <w:sz w:val="18"/>
                <w:szCs w:val="18"/>
              </w:rPr>
              <w:t xml:space="preserve">Campo </w:t>
            </w:r>
            <w:r>
              <w:rPr>
                <w:rFonts w:cs="Arial"/>
                <w:sz w:val="18"/>
                <w:szCs w:val="18"/>
              </w:rPr>
              <w:t>que permite detalhar a natureza da operação em causa.</w:t>
            </w:r>
          </w:p>
          <w:p w14:paraId="45D944FA" w14:textId="50162BFF" w:rsidR="00DC46EC" w:rsidRPr="00965CD4" w:rsidRDefault="00DC46EC" w:rsidP="00DC46E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65CD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3E88FDF9" w14:textId="5843648B" w:rsidR="00DC46EC" w:rsidRPr="009C79DB" w:rsidRDefault="00DC46EC" w:rsidP="00DC46EC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bu_esg_work.ag083_miti_cto_gra</w:t>
            </w:r>
            <w:r w:rsidRPr="00D24B3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5B3E40E8" w:rsidR="00A212E2" w:rsidRDefault="00A212E2" w:rsidP="009C79DB">
      <w:pPr>
        <w:jc w:val="both"/>
      </w:pPr>
    </w:p>
    <w:p w14:paraId="63304F69" w14:textId="7AC15E01" w:rsidR="00A6332B" w:rsidRDefault="00A6332B">
      <w:pPr>
        <w:rPr>
          <w:rFonts w:eastAsiaTheme="majorEastAsia" w:cstheme="minorHAnsi"/>
          <w:b/>
          <w:sz w:val="26"/>
          <w:szCs w:val="26"/>
        </w:rPr>
      </w:pPr>
      <w:r>
        <w:rPr>
          <w:rFonts w:cstheme="minorHAnsi"/>
        </w:rPr>
        <w:br w:type="page"/>
      </w:r>
    </w:p>
    <w:p w14:paraId="7F0FCA95" w14:textId="401DC00B" w:rsidR="001347CC" w:rsidRDefault="001347CC" w:rsidP="001347CC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lastRenderedPageBreak/>
        <w:t xml:space="preserve">Fluxo de geração </w:t>
      </w:r>
      <w:r w:rsidRPr="00A46BA0">
        <w:rPr>
          <w:rFonts w:ascii="Santander Text" w:hAnsi="Santander Text" w:cstheme="minorHAnsi"/>
        </w:rPr>
        <w:t xml:space="preserve">do </w:t>
      </w:r>
      <w:r w:rsidR="00F2141E">
        <w:rPr>
          <w:rFonts w:ascii="Santander Text" w:hAnsi="Santander Text" w:cstheme="minorHAnsi"/>
        </w:rPr>
        <w:t>Satélite 83</w:t>
      </w:r>
      <w:r>
        <w:rPr>
          <w:rFonts w:ascii="Santander Text" w:hAnsi="Santander Text" w:cstheme="minorHAnsi"/>
        </w:rPr>
        <w:t xml:space="preserve"> </w:t>
      </w:r>
    </w:p>
    <w:p w14:paraId="7DE224F9" w14:textId="212DCB88" w:rsidR="001347CC" w:rsidRDefault="001347CC" w:rsidP="001347CC">
      <w:pPr>
        <w:rPr>
          <w:lang w:eastAsia="ja-JP"/>
        </w:rPr>
      </w:pPr>
      <w:r>
        <w:rPr>
          <w:lang w:eastAsia="ja-JP"/>
        </w:rPr>
        <w:t xml:space="preserve">Para a correta geração do </w:t>
      </w:r>
      <w:r w:rsidR="00F2141E">
        <w:rPr>
          <w:lang w:eastAsia="ja-JP"/>
        </w:rPr>
        <w:t>Satélite 83</w:t>
      </w:r>
      <w:r>
        <w:rPr>
          <w:lang w:eastAsia="ja-JP"/>
        </w:rPr>
        <w:t>, é importante que sejam cumpridos os passos que se encontram detalhados abaixo:</w:t>
      </w:r>
    </w:p>
    <w:p w14:paraId="319C6386" w14:textId="57A2EA2A" w:rsidR="001347CC" w:rsidRDefault="001347CC" w:rsidP="001347CC">
      <w:pPr>
        <w:rPr>
          <w:lang w:eastAsia="ja-JP"/>
        </w:rPr>
      </w:pPr>
    </w:p>
    <w:p w14:paraId="35D437AD" w14:textId="34B2C096" w:rsidR="00226A37" w:rsidRPr="00A46BA0" w:rsidRDefault="00226A37" w:rsidP="00226A37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t xml:space="preserve">Figura </w:t>
      </w:r>
      <w:r>
        <w:rPr>
          <w:b/>
          <w:i w:val="0"/>
          <w:iCs w:val="0"/>
          <w:color w:val="auto"/>
          <w:sz w:val="22"/>
        </w:rPr>
        <w:t>2</w:t>
      </w:r>
      <w:r w:rsidRPr="00A46BA0">
        <w:rPr>
          <w:b/>
          <w:i w:val="0"/>
          <w:iCs w:val="0"/>
          <w:color w:val="auto"/>
          <w:sz w:val="22"/>
        </w:rPr>
        <w:t xml:space="preserve">: </w:t>
      </w:r>
      <w:r>
        <w:rPr>
          <w:b/>
          <w:i w:val="0"/>
          <w:iCs w:val="0"/>
          <w:color w:val="auto"/>
          <w:sz w:val="22"/>
        </w:rPr>
        <w:t>Fluxograma</w:t>
      </w:r>
      <w:r w:rsidRPr="00A46BA0">
        <w:rPr>
          <w:b/>
          <w:i w:val="0"/>
          <w:iCs w:val="0"/>
          <w:color w:val="auto"/>
          <w:sz w:val="22"/>
        </w:rPr>
        <w:t xml:space="preserve"> </w:t>
      </w:r>
      <w:bookmarkStart w:id="3" w:name="_GoBack"/>
      <w:bookmarkEnd w:id="3"/>
      <w:r w:rsidRPr="00A46BA0">
        <w:rPr>
          <w:b/>
          <w:i w:val="0"/>
          <w:iCs w:val="0"/>
          <w:color w:val="auto"/>
          <w:sz w:val="22"/>
        </w:rPr>
        <w:t xml:space="preserve">– </w:t>
      </w:r>
      <w:r w:rsidR="00F2141E">
        <w:rPr>
          <w:b/>
          <w:i w:val="0"/>
          <w:iCs w:val="0"/>
          <w:color w:val="auto"/>
          <w:sz w:val="22"/>
        </w:rPr>
        <w:t>Satélite 83</w:t>
      </w:r>
    </w:p>
    <w:p w14:paraId="5A19F10A" w14:textId="5DD20D46" w:rsidR="00226A37" w:rsidRDefault="00051907" w:rsidP="001347CC">
      <w:pPr>
        <w:rPr>
          <w:lang w:eastAsia="ja-JP"/>
        </w:rPr>
      </w:pPr>
      <w:r w:rsidRPr="00051907">
        <w:rPr>
          <w:lang w:eastAsia="ja-JP"/>
        </w:rPr>
        <w:drawing>
          <wp:inline distT="0" distB="0" distL="0" distR="0" wp14:anchorId="5E54154A" wp14:editId="493DE600">
            <wp:extent cx="5400040" cy="25292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28F9" w14:textId="58568185" w:rsidR="001347CC" w:rsidRPr="001347CC" w:rsidRDefault="001347CC" w:rsidP="001347CC"/>
    <w:p w14:paraId="3E9D4F98" w14:textId="22E025A5" w:rsidR="001347CC" w:rsidRPr="00226A37" w:rsidRDefault="00226A37" w:rsidP="00051907">
      <w:pPr>
        <w:pStyle w:val="ListParagraph"/>
        <w:numPr>
          <w:ilvl w:val="0"/>
          <w:numId w:val="40"/>
        </w:numPr>
        <w:jc w:val="both"/>
        <w:rPr>
          <w:b/>
        </w:rPr>
      </w:pPr>
      <w:r w:rsidRPr="00226A37">
        <w:rPr>
          <w:b/>
        </w:rPr>
        <w:t>Dados</w:t>
      </w:r>
      <w:r>
        <w:rPr>
          <w:b/>
        </w:rPr>
        <w:t xml:space="preserve"> de </w:t>
      </w:r>
      <w:r>
        <w:rPr>
          <w:b/>
          <w:i/>
        </w:rPr>
        <w:t>input</w:t>
      </w:r>
      <w:r w:rsidR="00502BB0">
        <w:rPr>
          <w:b/>
          <w:i/>
        </w:rPr>
        <w:t xml:space="preserve"> </w:t>
      </w:r>
      <w:r w:rsidR="00502BB0">
        <w:rPr>
          <w:b/>
        </w:rPr>
        <w:t>&amp; Geração de Satélite</w:t>
      </w:r>
      <w:r>
        <w:rPr>
          <w:b/>
        </w:rPr>
        <w:t xml:space="preserve">: </w:t>
      </w:r>
      <w:r w:rsidRPr="00226A37">
        <w:t>O primeir</w:t>
      </w:r>
      <w:r>
        <w:t xml:space="preserve">o passo para gerar o </w:t>
      </w:r>
      <w:r w:rsidR="00F2141E">
        <w:t>Satélite 83</w:t>
      </w:r>
      <w:r>
        <w:t xml:space="preserve"> corresponde à execução do </w:t>
      </w:r>
      <w:r>
        <w:rPr>
          <w:i/>
        </w:rPr>
        <w:t>script</w:t>
      </w:r>
      <w:r>
        <w:t xml:space="preserve"> </w:t>
      </w:r>
      <w:r w:rsidRPr="00226A37">
        <w:rPr>
          <w:i/>
        </w:rPr>
        <w:t>“</w:t>
      </w:r>
      <w:r w:rsidR="00051907" w:rsidRPr="00051907">
        <w:rPr>
          <w:i/>
        </w:rPr>
        <w:t>BS_Script Geracao Satélite 83_Granular_v1.0</w:t>
      </w:r>
      <w:r w:rsidRPr="00226A37">
        <w:rPr>
          <w:i/>
        </w:rPr>
        <w:t>”</w:t>
      </w:r>
      <w:r w:rsidR="00051907">
        <w:rPr>
          <w:i/>
        </w:rPr>
        <w:t xml:space="preserve"> </w:t>
      </w:r>
      <w:r>
        <w:t xml:space="preserve">e </w:t>
      </w:r>
      <w:r>
        <w:rPr>
          <w:i/>
        </w:rPr>
        <w:t>“</w:t>
      </w:r>
      <w:r w:rsidR="00051907" w:rsidRPr="00051907">
        <w:rPr>
          <w:i/>
        </w:rPr>
        <w:t>BS_Script Geracao Satélite 83_Agregado_v1.0</w:t>
      </w:r>
      <w:r>
        <w:rPr>
          <w:i/>
        </w:rPr>
        <w:t>”</w:t>
      </w:r>
      <w:r>
        <w:t xml:space="preserve"> correspondendo às tabelas do Satélite granular</w:t>
      </w:r>
      <w:r w:rsidR="00051907">
        <w:t xml:space="preserve"> </w:t>
      </w:r>
      <w:r>
        <w:t xml:space="preserve">e Satélite agregado, respetivamente. As </w:t>
      </w:r>
      <w:r>
        <w:rPr>
          <w:i/>
        </w:rPr>
        <w:t>queries</w:t>
      </w:r>
      <w:r>
        <w:t xml:space="preserve"> </w:t>
      </w:r>
      <w:r>
        <w:rPr>
          <w:i/>
        </w:rPr>
        <w:t xml:space="preserve">supramencionadas, </w:t>
      </w:r>
      <w:r>
        <w:t>estão dependentes da introdução da data de referência requerida para a geração dos dados através do formato YYYMMDD que deverá ser colocado no seguinte comando:</w:t>
      </w:r>
    </w:p>
    <w:p w14:paraId="34668BA1" w14:textId="7F38C700" w:rsidR="00226A37" w:rsidRDefault="00226A37" w:rsidP="00226A37">
      <w:pPr>
        <w:jc w:val="center"/>
        <w:rPr>
          <w:b/>
        </w:rPr>
      </w:pPr>
      <w:r>
        <w:rPr>
          <w:noProof/>
          <w:lang w:eastAsia="pt-PT"/>
        </w:rPr>
        <w:drawing>
          <wp:inline distT="0" distB="0" distL="0" distR="0" wp14:anchorId="2D382D60" wp14:editId="5F3186CD">
            <wp:extent cx="2381465" cy="487394"/>
            <wp:effectExtent l="0" t="0" r="0" b="825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7959" t="11172" r="14329" b="5667"/>
                    <a:stretch/>
                  </pic:blipFill>
                  <pic:spPr>
                    <a:xfrm>
                      <a:off x="0" y="0"/>
                      <a:ext cx="2381465" cy="48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38B2" w14:textId="084D4DE0" w:rsidR="00226A37" w:rsidRDefault="00226A37" w:rsidP="004303D7">
      <w:pPr>
        <w:ind w:left="708"/>
        <w:jc w:val="both"/>
      </w:pPr>
      <w:r w:rsidRPr="00226A37">
        <w:t>A primeir</w:t>
      </w:r>
      <w:r>
        <w:t xml:space="preserve">a vez que for executado o </w:t>
      </w:r>
      <w:r>
        <w:rPr>
          <w:i/>
        </w:rPr>
        <w:t>insert overwrite</w:t>
      </w:r>
      <w:r>
        <w:t xml:space="preserve"> para uma determinada data de referência, será gerado o </w:t>
      </w:r>
      <w:r>
        <w:rPr>
          <w:i/>
        </w:rPr>
        <w:t>‘id_corrida’</w:t>
      </w:r>
      <w:r>
        <w:t xml:space="preserve"> com o número 1 e, cada vez que este </w:t>
      </w:r>
      <w:r>
        <w:rPr>
          <w:i/>
        </w:rPr>
        <w:t>insert</w:t>
      </w:r>
      <w:r>
        <w:t xml:space="preserve"> seja executado, para a mesma data de referência serão gerados </w:t>
      </w:r>
      <w:r>
        <w:rPr>
          <w:i/>
        </w:rPr>
        <w:t>‘id_corrida’</w:t>
      </w:r>
      <w:r>
        <w:t xml:space="preserve"> incrementais. Atualmente, a diretoria de gravação parametrizada nos </w:t>
      </w:r>
      <w:r>
        <w:rPr>
          <w:i/>
        </w:rPr>
        <w:t>queries</w:t>
      </w:r>
      <w:r>
        <w:t xml:space="preserve"> presentes no </w:t>
      </w:r>
      <w:r>
        <w:rPr>
          <w:i/>
        </w:rPr>
        <w:t>script</w:t>
      </w:r>
      <w:r>
        <w:t xml:space="preserve"> é a </w:t>
      </w:r>
      <w:r>
        <w:rPr>
          <w:b/>
          <w:i/>
        </w:rPr>
        <w:t>bu_esg_work</w:t>
      </w:r>
      <w:r>
        <w:t xml:space="preserve"> pelo que, a futuro, se necessário a mesma deverá ser alterada para que a gravação seja efetuada noutro repositório de informação. </w:t>
      </w:r>
    </w:p>
    <w:p w14:paraId="0D39AD76" w14:textId="6B94F2BA" w:rsidR="00051907" w:rsidRDefault="00051907" w:rsidP="00051907">
      <w:pPr>
        <w:pStyle w:val="ListParagraph"/>
        <w:numPr>
          <w:ilvl w:val="0"/>
          <w:numId w:val="40"/>
        </w:numPr>
        <w:jc w:val="both"/>
      </w:pPr>
      <w:r w:rsidRPr="000642C8">
        <w:rPr>
          <w:b/>
        </w:rPr>
        <w:t xml:space="preserve">Reporte: </w:t>
      </w:r>
      <w:r w:rsidRPr="00BA7700">
        <w:t>após</w:t>
      </w:r>
      <w:r>
        <w:t xml:space="preserve"> a execução dos </w:t>
      </w:r>
      <w:r>
        <w:rPr>
          <w:i/>
        </w:rPr>
        <w:t>scripts</w:t>
      </w:r>
      <w:r>
        <w:t xml:space="preserve"> mencionados segue-se a preparação do ficheiro a submeter no </w:t>
      </w:r>
      <w:r w:rsidRPr="003B35BE">
        <w:rPr>
          <w:i/>
        </w:rPr>
        <w:t>front</w:t>
      </w:r>
      <w:r>
        <w:t>. Para o efeito, foi criado uma ferramenta auxiliar (excel) denominada por “</w:t>
      </w:r>
      <w:r>
        <w:rPr>
          <w:i/>
        </w:rPr>
        <w:t>Reporte Satélite 83</w:t>
      </w:r>
      <w:r>
        <w:t xml:space="preserve">”. Na </w:t>
      </w:r>
      <w:r>
        <w:rPr>
          <w:i/>
        </w:rPr>
        <w:t>shee</w:t>
      </w:r>
      <w:r w:rsidRPr="003B35BE">
        <w:rPr>
          <w:i/>
        </w:rPr>
        <w:t>t</w:t>
      </w:r>
      <w:r>
        <w:t xml:space="preserve"> “Menu” do </w:t>
      </w:r>
      <w:r>
        <w:rPr>
          <w:i/>
        </w:rPr>
        <w:t>excel</w:t>
      </w:r>
      <w:r>
        <w:t xml:space="preserve"> (imagem infra), </w:t>
      </w:r>
      <w:r>
        <w:lastRenderedPageBreak/>
        <w:t>seleciona-se a data do reporte no campo “</w:t>
      </w:r>
      <w:r w:rsidRPr="00611262">
        <w:rPr>
          <w:i/>
        </w:rPr>
        <w:t>Inserir data de execução</w:t>
      </w:r>
      <w:r>
        <w:t xml:space="preserve"> “ponto 1, clicar no botão “</w:t>
      </w:r>
      <w:r w:rsidRPr="00611262">
        <w:rPr>
          <w:i/>
        </w:rPr>
        <w:t>Gerar Input</w:t>
      </w:r>
      <w:r>
        <w:t>” (ponto 2) e clicar no botão “</w:t>
      </w:r>
      <w:r w:rsidRPr="00611262">
        <w:rPr>
          <w:i/>
        </w:rPr>
        <w:t>Conversão para CSV</w:t>
      </w:r>
      <w:r>
        <w:t>” (ponto 3)</w:t>
      </w:r>
    </w:p>
    <w:p w14:paraId="6067909C" w14:textId="77777777" w:rsidR="00051907" w:rsidRDefault="00051907" w:rsidP="00051907">
      <w:pPr>
        <w:ind w:left="360"/>
        <w:jc w:val="both"/>
      </w:pPr>
    </w:p>
    <w:p w14:paraId="18B1407A" w14:textId="78C04ED2" w:rsidR="00226A37" w:rsidRPr="00226A37" w:rsidRDefault="00051907" w:rsidP="00051907">
      <w:pPr>
        <w:pStyle w:val="ListParagraph"/>
        <w:jc w:val="both"/>
      </w:pPr>
      <w:r w:rsidRPr="003B35BE">
        <w:rPr>
          <w:noProof/>
          <w:lang w:eastAsia="pt-PT"/>
        </w:rPr>
        <w:drawing>
          <wp:inline distT="0" distB="0" distL="0" distR="0" wp14:anchorId="049CCF05" wp14:editId="0EBEA8B1">
            <wp:extent cx="4944165" cy="238158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A37" w:rsidRPr="00226A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13993F" w14:textId="77777777" w:rsidR="00074BFE" w:rsidRDefault="00074BFE" w:rsidP="00FC3ABA">
      <w:pPr>
        <w:spacing w:after="0" w:line="240" w:lineRule="auto"/>
      </w:pPr>
      <w:r>
        <w:separator/>
      </w:r>
    </w:p>
  </w:endnote>
  <w:endnote w:type="continuationSeparator" w:id="0">
    <w:p w14:paraId="19F3B681" w14:textId="77777777" w:rsidR="00074BFE" w:rsidRDefault="00074BFE" w:rsidP="00FC3ABA">
      <w:pPr>
        <w:spacing w:after="0" w:line="240" w:lineRule="auto"/>
      </w:pPr>
      <w:r>
        <w:continuationSeparator/>
      </w:r>
    </w:p>
  </w:endnote>
  <w:endnote w:type="continuationNotice" w:id="1">
    <w:p w14:paraId="4DA1F4EB" w14:textId="77777777" w:rsidR="00074BFE" w:rsidRDefault="00074BF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074BFE" w:rsidRDefault="00074B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074BFE" w:rsidRDefault="00074B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074BFE" w:rsidRDefault="00074B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48FBD3" w14:textId="77777777" w:rsidR="00074BFE" w:rsidRDefault="00074BFE" w:rsidP="00FC3ABA">
      <w:pPr>
        <w:spacing w:after="0" w:line="240" w:lineRule="auto"/>
      </w:pPr>
      <w:r>
        <w:separator/>
      </w:r>
    </w:p>
  </w:footnote>
  <w:footnote w:type="continuationSeparator" w:id="0">
    <w:p w14:paraId="33A75C6F" w14:textId="77777777" w:rsidR="00074BFE" w:rsidRDefault="00074BFE" w:rsidP="00FC3ABA">
      <w:pPr>
        <w:spacing w:after="0" w:line="240" w:lineRule="auto"/>
      </w:pPr>
      <w:r>
        <w:continuationSeparator/>
      </w:r>
    </w:p>
  </w:footnote>
  <w:footnote w:type="continuationNotice" w:id="1">
    <w:p w14:paraId="15033643" w14:textId="77777777" w:rsidR="00074BFE" w:rsidRDefault="00074BFE">
      <w:pPr>
        <w:spacing w:after="0" w:line="240" w:lineRule="auto"/>
      </w:pPr>
    </w:p>
  </w:footnote>
  <w:footnote w:id="2">
    <w:p w14:paraId="275B898D" w14:textId="7BD3291B" w:rsidR="00FE197D" w:rsidRDefault="00FE197D">
      <w:pPr>
        <w:pStyle w:val="FootnoteText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associa um ou mais valores de Taxonomias </w:t>
      </w:r>
      <w:r w:rsidR="0074057D">
        <w:rPr>
          <w:rFonts w:cs="Arial"/>
        </w:rPr>
        <w:t>Europeia</w:t>
      </w:r>
      <w:r w:rsidRPr="00B20516">
        <w:rPr>
          <w:rFonts w:cs="Arial"/>
        </w:rPr>
        <w:t xml:space="preserve">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074BFE" w:rsidRDefault="00074B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074BFE" w:rsidRDefault="00074B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074BFE" w:rsidRDefault="00074B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D2EE3"/>
    <w:multiLevelType w:val="hybridMultilevel"/>
    <w:tmpl w:val="FF0AE5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A814A3"/>
    <w:multiLevelType w:val="hybridMultilevel"/>
    <w:tmpl w:val="F886CD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E18F5"/>
    <w:multiLevelType w:val="hybridMultilevel"/>
    <w:tmpl w:val="31DE98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A1495"/>
    <w:multiLevelType w:val="hybridMultilevel"/>
    <w:tmpl w:val="737493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42229"/>
    <w:multiLevelType w:val="hybridMultilevel"/>
    <w:tmpl w:val="7D98A5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C2E8C"/>
    <w:multiLevelType w:val="hybridMultilevel"/>
    <w:tmpl w:val="8B607784"/>
    <w:lvl w:ilvl="0" w:tplc="BD0CEE8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34168D"/>
    <w:multiLevelType w:val="hybridMultilevel"/>
    <w:tmpl w:val="0300997C"/>
    <w:lvl w:ilvl="0" w:tplc="7C08AC6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6356B"/>
    <w:multiLevelType w:val="hybridMultilevel"/>
    <w:tmpl w:val="096026A8"/>
    <w:lvl w:ilvl="0" w:tplc="08160001">
      <w:start w:val="1"/>
      <w:numFmt w:val="bullet"/>
      <w:lvlText w:val=""/>
      <w:lvlJc w:val="left"/>
      <w:pPr>
        <w:ind w:left="75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5" w:hanging="360"/>
      </w:pPr>
      <w:rPr>
        <w:rFonts w:ascii="Wingdings" w:hAnsi="Wingdings" w:hint="default"/>
      </w:rPr>
    </w:lvl>
  </w:abstractNum>
  <w:abstractNum w:abstractNumId="28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8672F9"/>
    <w:multiLevelType w:val="hybridMultilevel"/>
    <w:tmpl w:val="3A509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1C5D2E"/>
    <w:multiLevelType w:val="hybridMultilevel"/>
    <w:tmpl w:val="DD6E72B0"/>
    <w:lvl w:ilvl="0" w:tplc="3BAEE0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C36616"/>
    <w:multiLevelType w:val="hybridMultilevel"/>
    <w:tmpl w:val="3E70D6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1"/>
  </w:num>
  <w:num w:numId="3">
    <w:abstractNumId w:val="28"/>
  </w:num>
  <w:num w:numId="4">
    <w:abstractNumId w:val="24"/>
  </w:num>
  <w:num w:numId="5">
    <w:abstractNumId w:val="26"/>
  </w:num>
  <w:num w:numId="6">
    <w:abstractNumId w:val="3"/>
  </w:num>
  <w:num w:numId="7">
    <w:abstractNumId w:val="30"/>
  </w:num>
  <w:num w:numId="8">
    <w:abstractNumId w:val="41"/>
  </w:num>
  <w:num w:numId="9">
    <w:abstractNumId w:val="23"/>
  </w:num>
  <w:num w:numId="10">
    <w:abstractNumId w:val="14"/>
  </w:num>
  <w:num w:numId="11">
    <w:abstractNumId w:val="42"/>
  </w:num>
  <w:num w:numId="12">
    <w:abstractNumId w:val="9"/>
  </w:num>
  <w:num w:numId="13">
    <w:abstractNumId w:val="4"/>
  </w:num>
  <w:num w:numId="14">
    <w:abstractNumId w:val="0"/>
  </w:num>
  <w:num w:numId="15">
    <w:abstractNumId w:val="40"/>
  </w:num>
  <w:num w:numId="16">
    <w:abstractNumId w:val="47"/>
  </w:num>
  <w:num w:numId="17">
    <w:abstractNumId w:val="16"/>
  </w:num>
  <w:num w:numId="18">
    <w:abstractNumId w:val="46"/>
  </w:num>
  <w:num w:numId="19">
    <w:abstractNumId w:val="34"/>
  </w:num>
  <w:num w:numId="20">
    <w:abstractNumId w:val="8"/>
  </w:num>
  <w:num w:numId="21">
    <w:abstractNumId w:val="12"/>
  </w:num>
  <w:num w:numId="22">
    <w:abstractNumId w:val="45"/>
  </w:num>
  <w:num w:numId="23">
    <w:abstractNumId w:val="7"/>
  </w:num>
  <w:num w:numId="24">
    <w:abstractNumId w:val="39"/>
  </w:num>
  <w:num w:numId="25">
    <w:abstractNumId w:val="18"/>
  </w:num>
  <w:num w:numId="26">
    <w:abstractNumId w:val="13"/>
  </w:num>
  <w:num w:numId="27">
    <w:abstractNumId w:val="32"/>
  </w:num>
  <w:num w:numId="28">
    <w:abstractNumId w:val="10"/>
  </w:num>
  <w:num w:numId="29">
    <w:abstractNumId w:val="22"/>
  </w:num>
  <w:num w:numId="30">
    <w:abstractNumId w:val="6"/>
  </w:num>
  <w:num w:numId="31">
    <w:abstractNumId w:val="2"/>
  </w:num>
  <w:num w:numId="32">
    <w:abstractNumId w:val="36"/>
  </w:num>
  <w:num w:numId="33">
    <w:abstractNumId w:val="29"/>
  </w:num>
  <w:num w:numId="34">
    <w:abstractNumId w:val="19"/>
  </w:num>
  <w:num w:numId="35">
    <w:abstractNumId w:val="44"/>
  </w:num>
  <w:num w:numId="36">
    <w:abstractNumId w:val="33"/>
  </w:num>
  <w:num w:numId="37">
    <w:abstractNumId w:val="17"/>
  </w:num>
  <w:num w:numId="38">
    <w:abstractNumId w:val="20"/>
  </w:num>
  <w:num w:numId="39">
    <w:abstractNumId w:val="37"/>
  </w:num>
  <w:num w:numId="40">
    <w:abstractNumId w:val="21"/>
  </w:num>
  <w:num w:numId="41">
    <w:abstractNumId w:val="38"/>
  </w:num>
  <w:num w:numId="42">
    <w:abstractNumId w:val="43"/>
  </w:num>
  <w:num w:numId="43">
    <w:abstractNumId w:val="15"/>
  </w:num>
  <w:num w:numId="44">
    <w:abstractNumId w:val="35"/>
  </w:num>
  <w:num w:numId="45">
    <w:abstractNumId w:val="1"/>
  </w:num>
  <w:num w:numId="46">
    <w:abstractNumId w:val="27"/>
  </w:num>
  <w:num w:numId="47">
    <w:abstractNumId w:val="5"/>
  </w:num>
  <w:num w:numId="48">
    <w:abstractNumId w:val="1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4505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2E4"/>
    <w:rsid w:val="00000768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C61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07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BFE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211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00E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56DD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ADD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7CC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3BCB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1B6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37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6BD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6123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1F0D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0CD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3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3D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610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2BB0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3FA4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C3D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57C"/>
    <w:rsid w:val="0058092C"/>
    <w:rsid w:val="00580B01"/>
    <w:rsid w:val="005814BE"/>
    <w:rsid w:val="005814C0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A61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6FDF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50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23D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57D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3DD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C795F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0BE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4EBC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3A9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24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156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6FA4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AB0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32B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946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629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3F02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95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B7BFB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A26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38F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AC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02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B88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20B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3DF6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6EC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4B89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41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7BB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10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97D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407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0CC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307D328052CE49BABEAF1D5BD19CE8" ma:contentTypeVersion="6" ma:contentTypeDescription="Criar um novo documento." ma:contentTypeScope="" ma:versionID="fde5c3d7620414ec2c460f4e76cee867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8e0aedba81db8e393c852bb59c03b88f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C91BA-FA69-4ACA-9935-19E12A8CC97C}">
  <ds:schemaRefs>
    <ds:schemaRef ds:uri="http://schemas.microsoft.com/sharepoint/v3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0273747b-dca1-4d55-aa99-3e8d5a2b08f3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704475C-05B1-4241-80B6-CD5E62BD20EF}"/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59835F-95AC-4470-9F22-742A29CF9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13</Pages>
  <Words>2885</Words>
  <Characters>15581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Pedro Miguel Parreira Vaz Natário</cp:lastModifiedBy>
  <cp:revision>8</cp:revision>
  <dcterms:created xsi:type="dcterms:W3CDTF">2025-06-27T14:01:00Z</dcterms:created>
  <dcterms:modified xsi:type="dcterms:W3CDTF">2025-08-07T12:13:00Z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