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1EB2508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  <w:r w:rsidR="00405E07">
        <w:rPr>
          <w:rFonts w:ascii="Santander Text" w:hAnsi="Santander Text"/>
        </w:rPr>
        <w:t xml:space="preserve"> – Pilar III ESG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DA1B73">
        <w:rPr>
          <w:rFonts w:ascii="Santander Text" w:hAnsi="Santander Text"/>
          <w:i/>
        </w:rPr>
        <w:t>Overview</w:t>
      </w:r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>Green Asset Ratio)</w:t>
      </w:r>
      <w:r w:rsidRPr="000A72DF">
        <w:rPr>
          <w:rFonts w:ascii="Santander Headline" w:hAnsi="Santander Headline"/>
        </w:rPr>
        <w:t xml:space="preserve"> e BTAR (</w:t>
      </w:r>
      <w:r w:rsidRPr="000A72DF">
        <w:rPr>
          <w:rFonts w:ascii="Santander Headline" w:hAnsi="Santander Headline"/>
          <w:i/>
          <w:iCs/>
        </w:rPr>
        <w:t>Banking Book Taxonomy Alignment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r w:rsidRPr="000A72DF">
        <w:rPr>
          <w:rFonts w:ascii="Santander Headline" w:hAnsi="Santander Headline"/>
          <w:i/>
          <w:iCs/>
        </w:rPr>
        <w:t>European Banking Authorithy</w:t>
      </w:r>
      <w:r w:rsidRPr="000A72DF">
        <w:rPr>
          <w:rFonts w:ascii="Santander Headline" w:hAnsi="Santander Headline"/>
        </w:rPr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>Non-Financial Reporting Directive</w:t>
      </w:r>
      <w:r w:rsidRPr="000A72DF">
        <w:rPr>
          <w:rFonts w:ascii="Santander Headline" w:hAnsi="Santander Headline"/>
        </w:rPr>
        <w:t>) e outros KPI’s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18156F11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>Green Asset Ratio</w:t>
      </w:r>
      <w:r w:rsidRPr="000A72DF">
        <w:rPr>
          <w:rFonts w:ascii="Santander Headline" w:hAnsi="Santander Headline"/>
        </w:rPr>
        <w:t xml:space="preserve">), um indicador-chave de desempenho (KPI) que mostra a proporção de exposições relacionadas a atividades alinhadas à Taxonomia de empresas não financeiras sujeitas a obrigações de divulgação sob a </w:t>
      </w:r>
      <w:r w:rsidR="008A0586">
        <w:rPr>
          <w:rFonts w:ascii="Santander Headline" w:hAnsi="Santander Headline"/>
        </w:rPr>
        <w:t>CSRD</w:t>
      </w:r>
      <w:r w:rsidRPr="000A72DF">
        <w:rPr>
          <w:rFonts w:ascii="Santander Headline" w:hAnsi="Santander Headline"/>
        </w:rPr>
        <w:t>, instituições financeiras, particulares, colaterais adjudicados (RRE e CRE), e governos locais, em comparação com o total de ativos do Grupo.</w:t>
      </w:r>
    </w:p>
    <w:p w14:paraId="2F4CFB5A" w14:textId="6B6AEDC1" w:rsidR="000A72DF" w:rsidRDefault="000A72DF" w:rsidP="000A72DF">
      <w:pPr>
        <w:jc w:val="both"/>
      </w:pPr>
      <w:r>
        <w:t>Por outro lado, o BTAR (</w:t>
      </w:r>
      <w:r w:rsidRPr="000A72DF">
        <w:rPr>
          <w:i/>
          <w:iCs/>
        </w:rPr>
        <w:t>Banking Book Taxonomy Alignment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 xml:space="preserve">não financeiras que não estão sujeitas à </w:t>
      </w:r>
      <w:r w:rsidR="008A0586">
        <w:t>CSRD</w:t>
      </w:r>
      <w:r w:rsidRPr="00F81066">
        <w:t>, tanto da UE quanto de fora dela.</w:t>
      </w:r>
    </w:p>
    <w:p w14:paraId="796EB89E" w14:textId="089994D2" w:rsidR="000A72DF" w:rsidRDefault="000A72DF" w:rsidP="000A72DF">
      <w:pPr>
        <w:jc w:val="both"/>
        <w:rPr>
          <w:lang w:eastAsia="ja-JP"/>
        </w:rPr>
      </w:pPr>
      <w:r w:rsidRPr="00C570BF">
        <w:t>Para comunicar todos os KPIs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="00405E07">
        <w:t>no</w:t>
      </w:r>
      <w:r w:rsidRPr="00C570BF">
        <w:t xml:space="preserve"> </w:t>
      </w:r>
      <w:r w:rsidR="00405E07">
        <w:t xml:space="preserve">exercício de </w:t>
      </w:r>
      <w:r w:rsidRPr="00C570BF">
        <w:t xml:space="preserve">Pilar </w:t>
      </w:r>
      <w:r>
        <w:t>III</w:t>
      </w:r>
      <w:r w:rsidR="00405E07">
        <w:t xml:space="preserve"> em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3036"/>
        <w:gridCol w:w="2478"/>
        <w:gridCol w:w="1086"/>
      </w:tblGrid>
      <w:tr w:rsidR="00D2786C" w:rsidRPr="009E3B43" w14:paraId="50E82206" w14:textId="77777777" w:rsidTr="00D2786C">
        <w:trPr>
          <w:trHeight w:val="267"/>
          <w:tblHeader/>
          <w:jc w:val="center"/>
        </w:trPr>
        <w:tc>
          <w:tcPr>
            <w:tcW w:w="2042" w:type="dxa"/>
            <w:shd w:val="clear" w:color="000000" w:fill="FF0000"/>
            <w:noWrap/>
            <w:vAlign w:val="center"/>
            <w:hideMark/>
          </w:tcPr>
          <w:p w14:paraId="61F00601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36" w:type="dxa"/>
            <w:shd w:val="clear" w:color="000000" w:fill="FF0000"/>
            <w:noWrap/>
            <w:vAlign w:val="center"/>
            <w:hideMark/>
          </w:tcPr>
          <w:p w14:paraId="50235085" w14:textId="725737CE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478" w:type="dxa"/>
            <w:shd w:val="clear" w:color="000000" w:fill="FF0000"/>
            <w:noWrap/>
            <w:vAlign w:val="center"/>
            <w:hideMark/>
          </w:tcPr>
          <w:p w14:paraId="75D4D754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86" w:type="dxa"/>
            <w:shd w:val="clear" w:color="000000" w:fill="FF0000"/>
            <w:vAlign w:val="center"/>
          </w:tcPr>
          <w:p w14:paraId="4E593F8F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2786C" w:rsidRPr="009E3B43" w14:paraId="7023D0C9" w14:textId="77777777" w:rsidTr="00D2786C">
        <w:trPr>
          <w:trHeight w:val="587"/>
          <w:jc w:val="center"/>
        </w:trPr>
        <w:tc>
          <w:tcPr>
            <w:tcW w:w="2042" w:type="dxa"/>
            <w:vMerge w:val="restart"/>
            <w:shd w:val="clear" w:color="auto" w:fill="E7E6E6" w:themeFill="background2"/>
            <w:vAlign w:val="center"/>
          </w:tcPr>
          <w:p w14:paraId="746E13A6" w14:textId="253BF397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3DF4AE7B" w14:textId="26C04A3C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6ED6832A" w14:textId="4B1C7A56" w:rsidR="00D2786C" w:rsidRPr="009E3B43" w:rsidRDefault="00D2786C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a reportar nos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86" w:type="dxa"/>
            <w:vAlign w:val="center"/>
          </w:tcPr>
          <w:p w14:paraId="70AE774E" w14:textId="7F6C9B64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2786C" w:rsidRPr="009E3B43" w14:paraId="79E416C1" w14:textId="77777777" w:rsidTr="00D2786C">
        <w:trPr>
          <w:trHeight w:val="587"/>
          <w:jc w:val="center"/>
        </w:trPr>
        <w:tc>
          <w:tcPr>
            <w:tcW w:w="2042" w:type="dxa"/>
            <w:vMerge/>
            <w:shd w:val="clear" w:color="auto" w:fill="E7E6E6" w:themeFill="background2"/>
            <w:vAlign w:val="center"/>
          </w:tcPr>
          <w:p w14:paraId="5E28D2BE" w14:textId="77777777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5F29B8CF" w14:textId="5FB70A5D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5EA3CBB8" w14:textId="52853020" w:rsidR="00D2786C" w:rsidRPr="009E3B43" w:rsidRDefault="00D2786C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86" w:type="dxa"/>
            <w:vAlign w:val="center"/>
          </w:tcPr>
          <w:p w14:paraId="28E1CF8D" w14:textId="36E082AB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7B06040" w14:textId="77777777" w:rsidR="00D2786C" w:rsidRDefault="001C2AEC" w:rsidP="0079366A">
      <w:pPr>
        <w:jc w:val="center"/>
        <w:rPr>
          <w:b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r w:rsidR="000A72DF">
        <w:rPr>
          <w:b/>
        </w:rPr>
        <w:t>6, 7, 8 e 9</w:t>
      </w:r>
    </w:p>
    <w:p w14:paraId="5BF49E10" w14:textId="20096539" w:rsidR="00BF702A" w:rsidRPr="0079366A" w:rsidRDefault="00D2786C" w:rsidP="0079366A">
      <w:pPr>
        <w:jc w:val="center"/>
        <w:rPr>
          <w:b/>
          <w:i/>
          <w:iCs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237CEC1D" wp14:editId="0DDAECA6">
            <wp:extent cx="5673827" cy="2479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6,7,8,9 - template6,7,8,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973" cy="24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r w:rsidR="00DE13C2" w:rsidRPr="00DE13C2">
        <w:rPr>
          <w:rFonts w:cstheme="minorHAnsi"/>
          <w:i/>
          <w:iCs/>
        </w:rPr>
        <w:t xml:space="preserve">union all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642FE81D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D2786C" w:rsidRPr="00D2786C">
        <w:rPr>
          <w:rFonts w:cstheme="minorHAnsi"/>
          <w:b/>
          <w:bCs/>
          <w:i/>
        </w:rPr>
        <w:t>bu_captools_work.p3_univ_local_cto</w:t>
      </w:r>
      <w:r w:rsidR="00F85E5D" w:rsidRPr="009E3B43">
        <w:rPr>
          <w:rFonts w:cstheme="minorHAnsi"/>
          <w:iCs/>
        </w:rPr>
        <w:t>, filtrada pela data de referência no campo ‘</w:t>
      </w:r>
      <w:r w:rsidR="00D2786C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 xml:space="preserve">’,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3E69E1">
        <w:rPr>
          <w:rFonts w:cstheme="minorHAnsi"/>
          <w:i/>
          <w:iCs/>
        </w:rPr>
        <w:t>7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instrumento_financeiro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‘cateira_contabilistica’,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 xml:space="preserve">‘ccontab_final_idcomb_total’, ‘tipo_colateral’, </w:t>
      </w:r>
      <w:r w:rsidR="009F1D7A">
        <w:rPr>
          <w:rFonts w:cstheme="minorHAnsi"/>
          <w:i/>
          <w:iCs/>
        </w:rPr>
        <w:t>‘</w:t>
      </w:r>
      <w:r w:rsidR="003E69E1">
        <w:rPr>
          <w:rFonts w:cstheme="minorHAnsi"/>
          <w:i/>
          <w:iCs/>
        </w:rPr>
        <w:t>cnatureza_juri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‘data_abertura’,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cpais_residencia</w:t>
      </w:r>
      <w:r w:rsidR="009F1D7A">
        <w:rPr>
          <w:rFonts w:cstheme="minorHAnsi"/>
          <w:i/>
          <w:iCs/>
        </w:rPr>
        <w:t>’</w:t>
      </w:r>
      <w:r w:rsidR="00211474">
        <w:rPr>
          <w:rFonts w:cstheme="minorHAnsi"/>
          <w:iCs/>
        </w:rPr>
        <w:t>, ‘</w:t>
      </w:r>
      <w:r w:rsidR="00211474">
        <w:rPr>
          <w:rFonts w:cstheme="minorHAnsi"/>
          <w:i/>
          <w:iCs/>
        </w:rPr>
        <w:t>flag_project_finance</w:t>
      </w:r>
      <w:r w:rsidR="00211474">
        <w:rPr>
          <w:rFonts w:cstheme="minorHAnsi"/>
          <w:iCs/>
        </w:rPr>
        <w:t>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msaldo_final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2424A092" w14:textId="41264916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8A0586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</w:t>
      </w:r>
      <w:r w:rsidR="000A3902">
        <w:rPr>
          <w:rFonts w:cstheme="minorHAnsi"/>
          <w:bCs/>
        </w:rPr>
        <w:lastRenderedPageBreak/>
        <w:t xml:space="preserve">campos: </w:t>
      </w:r>
      <w:r w:rsidR="00F45673">
        <w:rPr>
          <w:i/>
        </w:rPr>
        <w:t>‘</w:t>
      </w:r>
      <w:r w:rsidR="00F45673" w:rsidRPr="00F45673">
        <w:rPr>
          <w:i/>
        </w:rPr>
        <w:t>flg_csrd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4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ccm_trnvr_ttl_elgbl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5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ccm_trnvr_own_prfrmnce_algnd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6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ccm_trnvr_trnstn_alignd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7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ccm_trnvr_enblng_algnd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8"/>
      </w:r>
      <w:r w:rsidR="0079366A">
        <w:t>, ‘</w:t>
      </w:r>
      <w:r w:rsidR="0079366A" w:rsidRPr="0079366A">
        <w:rPr>
          <w:i/>
        </w:rPr>
        <w:t>cca_trnvr_ttl_elgbl</w:t>
      </w:r>
      <w:r w:rsidR="0079366A">
        <w:t>’</w:t>
      </w:r>
      <w:r w:rsidR="000E4D47">
        <w:rPr>
          <w:rStyle w:val="FootnoteReference"/>
          <w:i/>
        </w:rPr>
        <w:footnoteReference w:id="9"/>
      </w:r>
      <w:r w:rsidR="0079366A">
        <w:t>, ‘</w:t>
      </w:r>
      <w:r w:rsidR="0079366A" w:rsidRPr="0079366A">
        <w:rPr>
          <w:i/>
        </w:rPr>
        <w:t>cca_turnover_own_prfrmnce_algnd</w:t>
      </w:r>
      <w:r w:rsidR="0079366A">
        <w:t>’</w:t>
      </w:r>
      <w:r w:rsidR="000E4D47">
        <w:rPr>
          <w:rStyle w:val="FootnoteReference"/>
          <w:i/>
        </w:rPr>
        <w:footnoteReference w:id="10"/>
      </w:r>
      <w:r w:rsidR="0079366A">
        <w:t xml:space="preserve"> e ‘</w:t>
      </w:r>
      <w:r w:rsidR="0079366A" w:rsidRPr="0079366A">
        <w:rPr>
          <w:i/>
        </w:rPr>
        <w:t>cca_trnvr_enblng_alignd</w:t>
      </w:r>
      <w:r w:rsidR="0079366A">
        <w:t>’</w:t>
      </w:r>
      <w:r w:rsidR="000E4D47">
        <w:rPr>
          <w:rStyle w:val="FootnoteReference"/>
          <w:i/>
        </w:rPr>
        <w:footnoteReference w:id="11"/>
      </w:r>
      <w:r>
        <w:rPr>
          <w:rFonts w:cstheme="minorHAnsi"/>
          <w:bCs/>
        </w:rPr>
        <w:t>;</w:t>
      </w:r>
    </w:p>
    <w:p w14:paraId="4629EE80" w14:textId="69CE1575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r w:rsidR="008A0586">
        <w:rPr>
          <w:rStyle w:val="FootnoteReference"/>
          <w:rFonts w:cstheme="minorHAnsi"/>
          <w:b/>
          <w:i/>
          <w:iCs/>
        </w:rPr>
        <w:footnoteReference w:id="1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r w:rsidR="00D2786C" w:rsidRPr="00D2786C">
        <w:rPr>
          <w:rFonts w:cstheme="minorHAnsi"/>
          <w:b/>
          <w:bCs/>
          <w:i/>
        </w:rPr>
        <w:t>bu_captools_work.p3_univ_local_cto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r w:rsidR="003E69E1" w:rsidRPr="009E3B43">
        <w:rPr>
          <w:rFonts w:cstheme="minorHAnsi"/>
          <w:i/>
          <w:iCs/>
        </w:rPr>
        <w:t>cempresa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cbalcao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cnumecta</w:t>
      </w:r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r w:rsidR="003E69E1" w:rsidRPr="009E3B43">
        <w:rPr>
          <w:rFonts w:cstheme="minorHAnsi"/>
          <w:i/>
          <w:iCs/>
        </w:rPr>
        <w:t>zdeposit</w:t>
      </w:r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‘nome_purpose_esg_alinh_tax’, ‘nome_general_specific_purpose’, ‘nome_specific_eligible’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‘nome_specific_sustainable’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708391C4" w14:textId="77777777" w:rsidR="00162BB8" w:rsidRPr="008E3950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 xml:space="preserve">cd_captools.ct666_adjudic_propr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adjudicados próprios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8E3950">
        <w:rPr>
          <w:rFonts w:cstheme="minorHAnsi"/>
          <w:i/>
          <w:iCs/>
        </w:rPr>
        <w:t>;</w:t>
      </w:r>
    </w:p>
    <w:p w14:paraId="027C0285" w14:textId="77777777" w:rsidR="00162BB8" w:rsidRPr="00DB1594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 xml:space="preserve">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IFIC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6A795499" w14:textId="77777777" w:rsidR="00162BB8" w:rsidRPr="004673F9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 xml:space="preserve">cd_captools.ct665_stock_urbe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do Totta Urbe</w:t>
      </w:r>
      <w:r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3DF03BDE" w14:textId="7553CD56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r w:rsidR="003C3320">
        <w:rPr>
          <w:rFonts w:cstheme="minorHAnsi"/>
          <w:i/>
          <w:iCs/>
        </w:rPr>
        <w:t>v_contab</w:t>
      </w:r>
      <w:r w:rsidR="003C3320">
        <w:rPr>
          <w:rFonts w:cstheme="minorHAnsi"/>
          <w:iCs/>
        </w:rPr>
        <w:t>’ e ‘</w:t>
      </w:r>
      <w:r w:rsidR="003C3320" w:rsidRPr="003C3320">
        <w:rPr>
          <w:rFonts w:cstheme="minorHAnsi"/>
          <w:i/>
          <w:iCs/>
        </w:rPr>
        <w:t>data_aquisicao</w:t>
      </w:r>
      <w:r w:rsidR="003C3320">
        <w:rPr>
          <w:rFonts w:cstheme="minorHAnsi"/>
          <w:iCs/>
        </w:rPr>
        <w:t>’ (corresponde ao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campo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‘</w:t>
      </w:r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tabela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8A5272">
        <w:rPr>
          <w:rFonts w:cstheme="minorHAnsi"/>
          <w:b/>
          <w:i/>
          <w:iCs/>
        </w:rPr>
        <w:t>cd_captools.ct666_adjudic_propr</w:t>
      </w:r>
      <w:r w:rsidR="00B772B2">
        <w:rPr>
          <w:rFonts w:cstheme="minorHAnsi"/>
          <w:i/>
          <w:iCs/>
        </w:rPr>
        <w:t xml:space="preserve"> </w:t>
      </w:r>
      <w:r w:rsidR="00B772B2"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>strleft(cast(date_add('1899-12-30', 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56415EAA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461AB441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5A872396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2EFBE3A7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7AD853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49CD5DF5" w:rsidR="00C760EE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B71B88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49D48C62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1FD903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61B83176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A4CCFC2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46AD1F36" w:rsidR="00726920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A92794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2C1F793" w14:textId="7EEB202B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originated_during_period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C17B9" w14:textId="77777777" w:rsidR="007849FF" w:rsidRPr="001863AF" w:rsidRDefault="007849FF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71A618BE" w:rsidR="007849FF" w:rsidRPr="001863AF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C61973" w14:textId="77777777" w:rsidR="001863AF" w:rsidRDefault="001863A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603B1E0F" w:rsidR="001863AF" w:rsidRPr="001863AF" w:rsidRDefault="00AA697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Preenchido com 1 se o campo ‘INSTRUMENTO_FINANCEIRO’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mandatoriamente ao justo valor atraves de resultados', 'ativos financeiros ao justo valor atraves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ao justo valor atraves de outro rendimento integral', 'investimentos em associados e filiais exclusivas da consolidacao’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3630A3E" w14:textId="58CDCEDB" w:rsidR="007849FF" w:rsidRPr="001863A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B86F1C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40A0B166" w:rsidR="008943C0" w:rsidRPr="00304C1C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165B2DC5" w:rsidR="008943C0" w:rsidRPr="0041192E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6C3FA6B9" w:rsidR="008943C0" w:rsidRPr="00F5579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5102A1BC" w:rsidR="008943C0" w:rsidRPr="00946468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51CDA7D3" w:rsidR="008943C0" w:rsidRPr="0066457B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38092F7C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lastRenderedPageBreak/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5ADF7A39" w:rsidR="008943C0" w:rsidRPr="00CF7D8D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4B1B0580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B86F1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26926E52" w:rsidR="00AA697D" w:rsidRPr="00AA697D" w:rsidRDefault="00AA697D" w:rsidP="00B86F1C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6D4DDC" w:rsidRPr="00857DB4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46E27D20" w:rsidR="006D4DDC" w:rsidRPr="00AA697D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2786C" w:rsidRPr="00D2786C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bu_captools_work.p3_univ_local_cto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5FA55" w14:textId="77777777" w:rsidR="00C3217D" w:rsidRPr="00857DB4" w:rsidRDefault="00C3217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C024208" w:rsidR="00C3217D" w:rsidRPr="00162BB8" w:rsidRDefault="00FA3C32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754D85">
              <w:rPr>
                <w:rFonts w:cs="Arial"/>
                <w:sz w:val="18"/>
                <w:szCs w:val="18"/>
              </w:rPr>
              <w:t xml:space="preserve"> </w:t>
            </w:r>
            <w:r w:rsidR="00C3217D"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="00C3217D"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incluir 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18AA7397" w14:textId="013F0545" w:rsidR="00C3217D" w:rsidRPr="00857DB4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6B8375BF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42CC7B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5D82943F" w:rsidR="00857DB4" w:rsidRPr="00162BB8" w:rsidRDefault="00857DB4" w:rsidP="00162BB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‘MC13’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, ‘MC42’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ou ‘MC43’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;</w:t>
            </w:r>
          </w:p>
          <w:p w14:paraId="66F8CF42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CD8B475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 com o valor ‘Specific purpose’.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nome_specific_eligible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3494DC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37A46747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lastRenderedPageBreak/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62E1DBDE" w14:textId="77777777" w:rsidR="00857DB4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nome_specific_sustainable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8DE719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0C4EB770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58948D2C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A37075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0F647037" w14:textId="1EE4A810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r w:rsidRPr="00CF6A59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50D5E057" w14:textId="6C8F2F37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1DDBDF2C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ara  o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2B80A62" w14:textId="50269906" w:rsidR="005D23A3" w:rsidRDefault="005D23A3" w:rsidP="005D23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Y’, caso o </w:t>
            </w:r>
            <w:r w:rsidRPr="005D23A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5D23A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'0000000000'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4888FD" w14:textId="7E3FDAC1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lastRenderedPageBreak/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>’ não contiver 'outras empresas nao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'Building Acquisition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trant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) dividido por 100 se o campo </w:t>
            </w:r>
            <w:r w:rsidR="00486025" w:rsidRPr="00857DB4">
              <w:rPr>
                <w:rFonts w:cs="Arial"/>
                <w:sz w:val="18"/>
                <w:szCs w:val="18"/>
              </w:rPr>
              <w:lastRenderedPageBreak/>
              <w:t>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entccm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79366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commentRangeStart w:id="2"/>
            <w:r w:rsidRPr="0032423F">
              <w:rPr>
                <w:rFonts w:cs="Calibri"/>
                <w:color w:val="000000"/>
                <w:sz w:val="18"/>
                <w:szCs w:val="18"/>
              </w:rPr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  <w:commentRangeEnd w:id="2"/>
            <w:r w:rsidR="000A2EEE">
              <w:rPr>
                <w:rStyle w:val="CommentReference"/>
              </w:rPr>
              <w:commentReference w:id="2"/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Project Finance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lastRenderedPageBreak/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3354BD" w:rsidRPr="00335641" w14:paraId="3E690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A20882" w14:textId="37B7BF34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2D642D" w14:textId="7D12078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5480736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 w:rsidR="00162BB8">
        <w:rPr>
          <w:rFonts w:cstheme="minorHAnsi"/>
          <w:i/>
        </w:rPr>
        <w:t>_v2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7904EA5C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Após a geração do mapa através do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</w:t>
      </w:r>
      <w:r w:rsidR="00162BB8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>"6. Summary GAR ", "7.Mitigating actions-GAR", "8.Mitigating actions - GA</w:t>
      </w:r>
      <w:r w:rsidR="00331C8A">
        <w:rPr>
          <w:rFonts w:cstheme="minorHAnsi"/>
          <w:i/>
        </w:rPr>
        <w:t>R", "9.Mitigating actions-BTAR"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06-27T00:37:00Z" w:initials="ARGdC">
    <w:p w14:paraId="07D671DC" w14:textId="3B20499B" w:rsidR="000A2EEE" w:rsidRDefault="000A2EEE">
      <w:pPr>
        <w:pStyle w:val="CommentText"/>
      </w:pPr>
      <w:bookmarkStart w:id="3" w:name="_GoBack"/>
      <w:r>
        <w:rPr>
          <w:rStyle w:val="CommentReference"/>
        </w:rPr>
        <w:annotationRef/>
      </w:r>
      <w:r>
        <w:t>Apesar de flag conter informação de nfrd encontra-se já adequada para aquando do ajuste no input da Corporação.</w:t>
      </w:r>
      <w:bookmarkEnd w:id="3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D671DC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9306B8" w14:textId="77777777" w:rsidR="003354BD" w:rsidRDefault="003354BD" w:rsidP="00FC3ABA">
      <w:pPr>
        <w:spacing w:after="0" w:line="240" w:lineRule="auto"/>
      </w:pPr>
      <w:r>
        <w:separator/>
      </w:r>
    </w:p>
  </w:endnote>
  <w:endnote w:type="continuationSeparator" w:id="0">
    <w:p w14:paraId="586EE344" w14:textId="77777777" w:rsidR="003354BD" w:rsidRDefault="003354BD" w:rsidP="00FC3ABA">
      <w:pPr>
        <w:spacing w:after="0" w:line="240" w:lineRule="auto"/>
      </w:pPr>
      <w:r>
        <w:continuationSeparator/>
      </w:r>
    </w:p>
  </w:endnote>
  <w:endnote w:type="continuationNotice" w:id="1">
    <w:p w14:paraId="0AEADD69" w14:textId="77777777" w:rsidR="003354BD" w:rsidRDefault="003354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61A254" w14:textId="77777777" w:rsidR="003354BD" w:rsidRDefault="003354BD" w:rsidP="00FC3ABA">
      <w:pPr>
        <w:spacing w:after="0" w:line="240" w:lineRule="auto"/>
      </w:pPr>
      <w:r>
        <w:separator/>
      </w:r>
    </w:p>
  </w:footnote>
  <w:footnote w:type="continuationSeparator" w:id="0">
    <w:p w14:paraId="3892992C" w14:textId="77777777" w:rsidR="003354BD" w:rsidRDefault="003354BD" w:rsidP="00FC3ABA">
      <w:pPr>
        <w:spacing w:after="0" w:line="240" w:lineRule="auto"/>
      </w:pPr>
      <w:r>
        <w:continuationSeparator/>
      </w:r>
    </w:p>
  </w:footnote>
  <w:footnote w:type="continuationNotice" w:id="1">
    <w:p w14:paraId="203CE7E6" w14:textId="77777777" w:rsidR="003354BD" w:rsidRDefault="003354BD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11F6E3B7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4E717B33" w14:textId="77777777" w:rsidR="000E4D47" w:rsidRPr="001A5871" w:rsidRDefault="000E4D47" w:rsidP="000E4D47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r w:rsidRPr="001A5871">
        <w:rPr>
          <w:i/>
        </w:rPr>
        <w:t>Corporate Sustainability Reporting Directive</w:t>
      </w:r>
      <w:r>
        <w:t>.</w:t>
      </w:r>
    </w:p>
  </w:footnote>
  <w:footnote w:id="5">
    <w:p w14:paraId="5BE7301E" w14:textId="15308186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6">
    <w:p w14:paraId="05D55782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1A7DDD7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0106754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6A278EC2" w14:textId="659329AF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10">
    <w:p w14:paraId="33B47EC8" w14:textId="0C2DB2E2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own performance aligned</w:t>
      </w:r>
    </w:p>
  </w:footnote>
  <w:footnote w:id="11">
    <w:p w14:paraId="74CEAB6E" w14:textId="7D0703A5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12">
    <w:p w14:paraId="221A1BD9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16"/>
  </w:num>
  <w:num w:numId="10">
    <w:abstractNumId w:val="11"/>
  </w:num>
  <w:num w:numId="11">
    <w:abstractNumId w:val="0"/>
  </w:num>
  <w:num w:numId="12">
    <w:abstractNumId w:val="15"/>
  </w:num>
  <w:num w:numId="13">
    <w:abstractNumId w:val="4"/>
  </w:num>
  <w:num w:numId="14">
    <w:abstractNumId w:val="6"/>
  </w:num>
  <w:num w:numId="15">
    <w:abstractNumId w:val="5"/>
  </w:num>
  <w:num w:numId="16">
    <w:abstractNumId w:val="13"/>
  </w:num>
  <w:num w:numId="17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7782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4D47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2BB8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5E07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97FCF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3A3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85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07A6C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586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2B2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6F1C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6C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D86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94AF7-D3EE-4CC0-B854-52114C5D1662}"/>
</file>

<file path=customXml/itemProps4.xml><?xml version="1.0" encoding="utf-8"?>
<ds:datastoreItem xmlns:ds="http://schemas.openxmlformats.org/officeDocument/2006/customXml" ds:itemID="{4CF40A6D-5F62-4A73-9E71-147208B82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4513</Words>
  <Characters>24375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2025-07-23T14:38:00Z</dcterms:created>
  <dcterms:modified xsi:type="dcterms:W3CDTF">2025-08-01T11:21:00Z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