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2CB866" w14:textId="77931926" w:rsidR="006D1398" w:rsidRPr="006D1398" w:rsidRDefault="00792DD4" w:rsidP="006D1398">
      <w:pPr>
        <w:pStyle w:val="paragraph"/>
        <w:spacing w:before="0" w:beforeAutospacing="0" w:after="0" w:afterAutospacing="0"/>
        <w:jc w:val="center"/>
        <w:textAlignment w:val="baseline"/>
        <w:rPr>
          <w:rFonts w:ascii="Calibri" w:hAnsi="Calibri" w:cs="Calibri"/>
          <w:sz w:val="32"/>
          <w:szCs w:val="32"/>
        </w:rPr>
      </w:pPr>
      <w:r w:rsidRPr="00B25BE8">
        <w:rPr>
          <w:rStyle w:val="normaltextrun"/>
          <w:rFonts w:ascii="Calibri" w:hAnsi="Calibri" w:cs="Calibri"/>
          <w:b/>
          <w:bCs/>
          <w:sz w:val="32"/>
          <w:szCs w:val="32"/>
        </w:rPr>
        <w:t xml:space="preserve">Reunião </w:t>
      </w:r>
      <w:r w:rsidR="006D1398">
        <w:rPr>
          <w:rStyle w:val="normaltextrun"/>
          <w:rFonts w:ascii="Calibri" w:hAnsi="Calibri" w:cs="Calibri"/>
          <w:b/>
          <w:bCs/>
          <w:sz w:val="32"/>
          <w:szCs w:val="32"/>
        </w:rPr>
        <w:t>16-11</w:t>
      </w:r>
      <w:r w:rsidRPr="00B25BE8">
        <w:rPr>
          <w:rStyle w:val="normaltextrun"/>
          <w:rFonts w:ascii="Calibri" w:hAnsi="Calibri" w:cs="Calibri"/>
          <w:b/>
          <w:bCs/>
          <w:sz w:val="32"/>
          <w:szCs w:val="32"/>
        </w:rPr>
        <w:t>-2023 (</w:t>
      </w:r>
      <w:r w:rsidR="006D1398">
        <w:rPr>
          <w:rStyle w:val="normaltextrun"/>
          <w:rFonts w:ascii="Calibri" w:hAnsi="Calibri" w:cs="Calibri"/>
          <w:b/>
          <w:bCs/>
          <w:sz w:val="32"/>
          <w:szCs w:val="32"/>
        </w:rPr>
        <w:t>Discussão com Terminal Financeiro</w:t>
      </w:r>
      <w:r w:rsidRPr="00B25BE8">
        <w:rPr>
          <w:rStyle w:val="normaltextrun"/>
          <w:rFonts w:ascii="Calibri" w:hAnsi="Calibri" w:cs="Calibri"/>
          <w:b/>
          <w:bCs/>
          <w:sz w:val="32"/>
          <w:szCs w:val="32"/>
        </w:rPr>
        <w:t>)</w:t>
      </w:r>
      <w:r w:rsidRPr="00B25BE8">
        <w:rPr>
          <w:rStyle w:val="normaltextrun"/>
          <w:rFonts w:ascii="Calibri" w:hAnsi="Calibri" w:cs="Calibri"/>
          <w:sz w:val="32"/>
          <w:szCs w:val="32"/>
        </w:rPr>
        <w:t> </w:t>
      </w:r>
      <w:r w:rsidRPr="00B25BE8">
        <w:rPr>
          <w:rStyle w:val="eop"/>
          <w:rFonts w:ascii="Calibri" w:hAnsi="Calibri" w:cs="Calibri"/>
          <w:sz w:val="32"/>
          <w:szCs w:val="32"/>
        </w:rPr>
        <w:t> </w:t>
      </w:r>
    </w:p>
    <w:p w14:paraId="4B6FD50B" w14:textId="28CF422C" w:rsidR="00792DD4" w:rsidRDefault="00792DD4" w:rsidP="00792DD4">
      <w:pPr>
        <w:pStyle w:val="paragraph"/>
        <w:spacing w:before="0" w:beforeAutospacing="0" w:after="0" w:afterAutospacing="0"/>
        <w:textAlignment w:val="baseline"/>
        <w:rPr>
          <w:rStyle w:val="normaltextrun"/>
          <w:rFonts w:ascii="Calibri" w:hAnsi="Calibri" w:cs="Calibri"/>
          <w:b/>
          <w:bCs/>
          <w:sz w:val="28"/>
          <w:szCs w:val="28"/>
        </w:rPr>
      </w:pPr>
      <w:r>
        <w:rPr>
          <w:rStyle w:val="normaltextrun"/>
          <w:rFonts w:ascii="Calibri" w:hAnsi="Calibri" w:cs="Calibri"/>
          <w:b/>
          <w:bCs/>
          <w:sz w:val="28"/>
          <w:szCs w:val="28"/>
        </w:rPr>
        <w:t>Intervenientes:</w:t>
      </w:r>
    </w:p>
    <w:p w14:paraId="322A5259" w14:textId="2AF91718" w:rsidR="006D1398" w:rsidRPr="00103A5E" w:rsidRDefault="006D1398" w:rsidP="00792DD4">
      <w:pPr>
        <w:pStyle w:val="paragraph"/>
        <w:spacing w:before="0" w:beforeAutospacing="0" w:after="0" w:afterAutospacing="0"/>
        <w:textAlignment w:val="baseline"/>
        <w:rPr>
          <w:rStyle w:val="eop"/>
          <w:rFonts w:ascii="Calibri" w:hAnsi="Calibri" w:cs="Calibri"/>
          <w:sz w:val="22"/>
          <w:szCs w:val="22"/>
        </w:rPr>
      </w:pPr>
      <w:r w:rsidRPr="00103A5E">
        <w:rPr>
          <w:rStyle w:val="eop"/>
          <w:rFonts w:ascii="Calibri" w:hAnsi="Calibri" w:cs="Calibri"/>
          <w:sz w:val="22"/>
          <w:szCs w:val="22"/>
        </w:rPr>
        <w:t>Luiz Silva</w:t>
      </w:r>
    </w:p>
    <w:p w14:paraId="30F7B595" w14:textId="565889F6" w:rsidR="006D1398" w:rsidRPr="00103A5E" w:rsidRDefault="006D1398" w:rsidP="00792DD4">
      <w:pPr>
        <w:pStyle w:val="paragraph"/>
        <w:spacing w:before="0" w:beforeAutospacing="0" w:after="0" w:afterAutospacing="0"/>
        <w:textAlignment w:val="baseline"/>
        <w:rPr>
          <w:rStyle w:val="eop"/>
          <w:rFonts w:ascii="Calibri" w:hAnsi="Calibri" w:cs="Calibri"/>
          <w:sz w:val="22"/>
          <w:szCs w:val="22"/>
        </w:rPr>
      </w:pPr>
      <w:r w:rsidRPr="00103A5E">
        <w:rPr>
          <w:rStyle w:val="eop"/>
          <w:rFonts w:ascii="Calibri" w:hAnsi="Calibri" w:cs="Calibri"/>
          <w:sz w:val="22"/>
          <w:szCs w:val="22"/>
        </w:rPr>
        <w:t>Jorge Leitão</w:t>
      </w:r>
    </w:p>
    <w:p w14:paraId="08BF2CD4" w14:textId="6BA49789" w:rsidR="006D1398" w:rsidRPr="00103A5E" w:rsidRDefault="00792DD4" w:rsidP="00792DD4">
      <w:pPr>
        <w:pStyle w:val="paragraph"/>
        <w:spacing w:before="0" w:beforeAutospacing="0" w:after="0" w:afterAutospacing="0"/>
        <w:textAlignment w:val="baseline"/>
        <w:rPr>
          <w:rStyle w:val="eop"/>
          <w:rFonts w:ascii="Calibri" w:hAnsi="Calibri" w:cs="Calibri"/>
          <w:sz w:val="22"/>
          <w:szCs w:val="22"/>
        </w:rPr>
      </w:pPr>
      <w:r w:rsidRPr="00103A5E">
        <w:rPr>
          <w:rStyle w:val="eop"/>
          <w:rFonts w:ascii="Calibri" w:hAnsi="Calibri" w:cs="Calibri"/>
          <w:sz w:val="22"/>
          <w:szCs w:val="22"/>
        </w:rPr>
        <w:t>Luís Pragosa</w:t>
      </w:r>
    </w:p>
    <w:p w14:paraId="2D549C1A" w14:textId="2D796114" w:rsidR="004C0666" w:rsidRPr="00103A5E" w:rsidRDefault="00792DD4" w:rsidP="00792DD4">
      <w:pPr>
        <w:pStyle w:val="paragraph"/>
        <w:spacing w:before="0" w:beforeAutospacing="0" w:after="0" w:afterAutospacing="0"/>
        <w:textAlignment w:val="baseline"/>
        <w:rPr>
          <w:rStyle w:val="eop"/>
          <w:rFonts w:ascii="Calibri" w:hAnsi="Calibri" w:cs="Calibri"/>
          <w:sz w:val="22"/>
          <w:szCs w:val="22"/>
        </w:rPr>
      </w:pPr>
      <w:r w:rsidRPr="00103A5E">
        <w:rPr>
          <w:rStyle w:val="eop"/>
          <w:rFonts w:ascii="Calibri" w:hAnsi="Calibri" w:cs="Calibri"/>
          <w:sz w:val="22"/>
          <w:szCs w:val="22"/>
        </w:rPr>
        <w:t>Miguel Rodrigues</w:t>
      </w:r>
    </w:p>
    <w:p w14:paraId="248E1056" w14:textId="0799E4EC" w:rsidR="006D1398" w:rsidRPr="00103A5E" w:rsidRDefault="006D1398" w:rsidP="00792DD4">
      <w:pPr>
        <w:pStyle w:val="paragraph"/>
        <w:spacing w:before="0" w:beforeAutospacing="0" w:after="0" w:afterAutospacing="0"/>
        <w:textAlignment w:val="baseline"/>
        <w:rPr>
          <w:rStyle w:val="eop"/>
          <w:rFonts w:ascii="Calibri" w:hAnsi="Calibri" w:cs="Calibri"/>
          <w:sz w:val="22"/>
          <w:szCs w:val="22"/>
        </w:rPr>
      </w:pPr>
      <w:r w:rsidRPr="00103A5E">
        <w:rPr>
          <w:rStyle w:val="eop"/>
          <w:rFonts w:ascii="Calibri" w:hAnsi="Calibri" w:cs="Calibri"/>
          <w:sz w:val="22"/>
          <w:szCs w:val="22"/>
        </w:rPr>
        <w:t>Miguel Candeias</w:t>
      </w:r>
    </w:p>
    <w:p w14:paraId="35EFDE3E" w14:textId="463A3FF2" w:rsidR="006D1398" w:rsidRPr="00103A5E" w:rsidRDefault="006D1398" w:rsidP="00792DD4">
      <w:pPr>
        <w:pStyle w:val="paragraph"/>
        <w:spacing w:before="0" w:beforeAutospacing="0" w:after="0" w:afterAutospacing="0"/>
        <w:textAlignment w:val="baseline"/>
        <w:rPr>
          <w:rStyle w:val="eop"/>
          <w:rFonts w:ascii="Calibri" w:hAnsi="Calibri" w:cs="Calibri"/>
          <w:sz w:val="22"/>
          <w:szCs w:val="22"/>
        </w:rPr>
      </w:pPr>
      <w:r w:rsidRPr="00103A5E">
        <w:rPr>
          <w:rStyle w:val="eop"/>
          <w:rFonts w:ascii="Calibri" w:hAnsi="Calibri" w:cs="Calibri"/>
          <w:sz w:val="22"/>
          <w:szCs w:val="22"/>
        </w:rPr>
        <w:t>Luis Henrriques</w:t>
      </w:r>
    </w:p>
    <w:p w14:paraId="43B40300" w14:textId="1C0190FE" w:rsidR="006D1398" w:rsidRPr="00103A5E" w:rsidRDefault="006D1398" w:rsidP="00792DD4">
      <w:pPr>
        <w:pStyle w:val="paragraph"/>
        <w:spacing w:before="0" w:beforeAutospacing="0" w:after="0" w:afterAutospacing="0"/>
        <w:textAlignment w:val="baseline"/>
        <w:rPr>
          <w:rStyle w:val="eop"/>
          <w:rFonts w:ascii="Calibri" w:hAnsi="Calibri" w:cs="Calibri"/>
          <w:sz w:val="22"/>
          <w:szCs w:val="22"/>
        </w:rPr>
      </w:pPr>
      <w:r w:rsidRPr="00103A5E">
        <w:rPr>
          <w:rStyle w:val="eop"/>
          <w:rFonts w:ascii="Calibri" w:hAnsi="Calibri" w:cs="Calibri"/>
          <w:sz w:val="22"/>
          <w:szCs w:val="22"/>
        </w:rPr>
        <w:t>Paulo Maçaneiro</w:t>
      </w:r>
    </w:p>
    <w:p w14:paraId="03242F8D" w14:textId="712F32A0" w:rsidR="006D1398" w:rsidRPr="00103A5E" w:rsidRDefault="006D1398" w:rsidP="00792DD4">
      <w:pPr>
        <w:pStyle w:val="paragraph"/>
        <w:spacing w:before="0" w:beforeAutospacing="0" w:after="0" w:afterAutospacing="0"/>
        <w:textAlignment w:val="baseline"/>
        <w:rPr>
          <w:rStyle w:val="eop"/>
          <w:rFonts w:ascii="Calibri" w:hAnsi="Calibri" w:cs="Calibri"/>
          <w:sz w:val="22"/>
          <w:szCs w:val="22"/>
        </w:rPr>
      </w:pPr>
      <w:r w:rsidRPr="00103A5E">
        <w:rPr>
          <w:rStyle w:val="eop"/>
          <w:rFonts w:ascii="Calibri" w:hAnsi="Calibri" w:cs="Calibri"/>
          <w:sz w:val="22"/>
          <w:szCs w:val="22"/>
        </w:rPr>
        <w:t>Miguel Ganhão</w:t>
      </w:r>
    </w:p>
    <w:p w14:paraId="673F2585" w14:textId="233FAF75" w:rsidR="00792DD4" w:rsidRPr="00103A5E" w:rsidRDefault="00792DD4" w:rsidP="00792DD4">
      <w:pPr>
        <w:pStyle w:val="paragraph"/>
        <w:spacing w:before="0" w:beforeAutospacing="0" w:after="0" w:afterAutospacing="0"/>
        <w:textAlignment w:val="baseline"/>
        <w:rPr>
          <w:rStyle w:val="eop"/>
          <w:rFonts w:ascii="Calibri" w:hAnsi="Calibri" w:cs="Calibri"/>
          <w:sz w:val="22"/>
          <w:szCs w:val="22"/>
        </w:rPr>
      </w:pPr>
      <w:r w:rsidRPr="00103A5E">
        <w:rPr>
          <w:rStyle w:val="eop"/>
          <w:rFonts w:ascii="Calibri" w:hAnsi="Calibri" w:cs="Calibri"/>
          <w:sz w:val="22"/>
          <w:szCs w:val="22"/>
        </w:rPr>
        <w:t>Pedro Mendes</w:t>
      </w:r>
    </w:p>
    <w:p w14:paraId="5D3ADF2A" w14:textId="3F4C0A4D" w:rsidR="006D1398" w:rsidRPr="00103A5E" w:rsidRDefault="006D1398" w:rsidP="00792DD4">
      <w:pPr>
        <w:pStyle w:val="paragraph"/>
        <w:spacing w:before="0" w:beforeAutospacing="0" w:after="0" w:afterAutospacing="0"/>
        <w:textAlignment w:val="baseline"/>
        <w:rPr>
          <w:rStyle w:val="eop"/>
          <w:rFonts w:ascii="Calibri" w:hAnsi="Calibri" w:cs="Calibri"/>
          <w:sz w:val="22"/>
          <w:szCs w:val="22"/>
        </w:rPr>
      </w:pPr>
    </w:p>
    <w:p w14:paraId="6333FE51" w14:textId="31E84108" w:rsidR="006D1398" w:rsidRPr="00103A5E" w:rsidRDefault="006D1398" w:rsidP="00792DD4">
      <w:pPr>
        <w:pStyle w:val="paragraph"/>
        <w:spacing w:before="0" w:beforeAutospacing="0" w:after="0" w:afterAutospacing="0"/>
        <w:textAlignment w:val="baseline"/>
        <w:rPr>
          <w:rStyle w:val="eop"/>
          <w:rFonts w:ascii="Calibri" w:hAnsi="Calibri" w:cs="Calibri"/>
          <w:sz w:val="22"/>
          <w:szCs w:val="22"/>
        </w:rPr>
      </w:pPr>
      <w:r w:rsidRPr="00103A5E">
        <w:rPr>
          <w:rStyle w:val="eop"/>
          <w:rFonts w:ascii="Calibri" w:hAnsi="Calibri" w:cs="Calibri"/>
          <w:sz w:val="22"/>
          <w:szCs w:val="22"/>
        </w:rPr>
        <w:t>Nota: Neste documento também está incluída informação da primeira reunião com o TF (Terminal Financeiro) a 07-11-2023</w:t>
      </w:r>
    </w:p>
    <w:p w14:paraId="7C8F4AE9" w14:textId="77777777" w:rsidR="00792DD4" w:rsidRDefault="00792DD4" w:rsidP="00792DD4">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2039C68E" w14:textId="77777777" w:rsidR="00792DD4" w:rsidRDefault="00792DD4" w:rsidP="00792DD4">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8"/>
          <w:szCs w:val="28"/>
        </w:rPr>
        <w:t>Objetivos: </w:t>
      </w:r>
      <w:r>
        <w:rPr>
          <w:rStyle w:val="normaltextrun"/>
          <w:rFonts w:ascii="Calibri" w:hAnsi="Calibri" w:cs="Calibri"/>
          <w:sz w:val="28"/>
          <w:szCs w:val="28"/>
        </w:rPr>
        <w:t> </w:t>
      </w:r>
      <w:r>
        <w:rPr>
          <w:rStyle w:val="eop"/>
          <w:rFonts w:ascii="Calibri" w:hAnsi="Calibri" w:cs="Calibri"/>
          <w:sz w:val="28"/>
          <w:szCs w:val="28"/>
        </w:rPr>
        <w:t> </w:t>
      </w:r>
    </w:p>
    <w:p w14:paraId="6382FD71" w14:textId="4BF2567C" w:rsidR="00792DD4" w:rsidRDefault="00792DD4" w:rsidP="00792DD4">
      <w:pPr>
        <w:pStyle w:val="paragraph"/>
        <w:spacing w:before="0" w:beforeAutospacing="0" w:after="0" w:afterAutospacing="0"/>
        <w:textAlignment w:val="baseline"/>
        <w:rPr>
          <w:rStyle w:val="normaltextrun"/>
          <w:rFonts w:ascii="Calibri" w:hAnsi="Calibri" w:cs="Calibri"/>
          <w:sz w:val="22"/>
          <w:szCs w:val="22"/>
        </w:rPr>
      </w:pPr>
      <w:r w:rsidRPr="00792DD4">
        <w:rPr>
          <w:rStyle w:val="normaltextrun"/>
          <w:rFonts w:ascii="Calibri" w:hAnsi="Calibri" w:cs="Calibri"/>
          <w:b/>
          <w:sz w:val="22"/>
          <w:szCs w:val="22"/>
        </w:rPr>
        <w:t>1</w:t>
      </w:r>
      <w:r>
        <w:rPr>
          <w:rStyle w:val="normaltextrun"/>
          <w:rFonts w:ascii="Calibri" w:hAnsi="Calibri" w:cs="Calibri"/>
          <w:sz w:val="22"/>
          <w:szCs w:val="22"/>
        </w:rPr>
        <w:t xml:space="preserve"> </w:t>
      </w:r>
      <w:r w:rsidR="006D1398">
        <w:rPr>
          <w:rStyle w:val="normaltextrun"/>
          <w:rFonts w:ascii="Calibri" w:hAnsi="Calibri" w:cs="Calibri"/>
          <w:sz w:val="22"/>
          <w:szCs w:val="22"/>
        </w:rPr>
        <w:t>–</w:t>
      </w:r>
      <w:r>
        <w:rPr>
          <w:rStyle w:val="normaltextrun"/>
          <w:rFonts w:ascii="Calibri" w:hAnsi="Calibri" w:cs="Calibri"/>
          <w:sz w:val="22"/>
          <w:szCs w:val="22"/>
        </w:rPr>
        <w:t xml:space="preserve"> </w:t>
      </w:r>
      <w:r w:rsidR="006D1398">
        <w:rPr>
          <w:rStyle w:val="normaltextrun"/>
          <w:rFonts w:ascii="Calibri" w:hAnsi="Calibri" w:cs="Calibri"/>
          <w:sz w:val="22"/>
          <w:szCs w:val="22"/>
        </w:rPr>
        <w:t xml:space="preserve">Discutir como podemos recuperar a informação de Value of </w:t>
      </w:r>
      <w:r w:rsidR="00E822A7">
        <w:rPr>
          <w:rStyle w:val="normaltextrun"/>
          <w:rFonts w:ascii="Calibri" w:hAnsi="Calibri" w:cs="Calibri"/>
          <w:sz w:val="22"/>
          <w:szCs w:val="22"/>
        </w:rPr>
        <w:t>positions para</w:t>
      </w:r>
      <w:r w:rsidR="006D1398">
        <w:rPr>
          <w:rStyle w:val="normaltextrun"/>
          <w:rFonts w:ascii="Calibri" w:hAnsi="Calibri" w:cs="Calibri"/>
          <w:sz w:val="22"/>
          <w:szCs w:val="22"/>
        </w:rPr>
        <w:t xml:space="preserve"> clientes de retalho do BST; </w:t>
      </w:r>
    </w:p>
    <w:p w14:paraId="1DF61691" w14:textId="23B486CA" w:rsidR="00A171FD" w:rsidRDefault="00A171FD" w:rsidP="006D1398">
      <w:pPr>
        <w:pStyle w:val="paragraph"/>
        <w:spacing w:before="0" w:beforeAutospacing="0" w:after="0" w:afterAutospacing="0"/>
        <w:textAlignment w:val="baseline"/>
        <w:rPr>
          <w:rStyle w:val="eop"/>
          <w:rFonts w:ascii="Calibri" w:hAnsi="Calibri" w:cs="Calibri"/>
          <w:b/>
          <w:sz w:val="22"/>
          <w:szCs w:val="22"/>
        </w:rPr>
      </w:pPr>
      <w:r>
        <w:rPr>
          <w:rStyle w:val="eop"/>
          <w:rFonts w:ascii="Calibri" w:hAnsi="Calibri" w:cs="Calibri"/>
          <w:b/>
          <w:sz w:val="22"/>
          <w:szCs w:val="22"/>
        </w:rPr>
        <w:t>2</w:t>
      </w:r>
      <w:r>
        <w:rPr>
          <w:rStyle w:val="eop"/>
          <w:rFonts w:ascii="Calibri" w:hAnsi="Calibri" w:cs="Calibri"/>
          <w:sz w:val="22"/>
          <w:szCs w:val="22"/>
        </w:rPr>
        <w:t xml:space="preserve"> – </w:t>
      </w:r>
      <w:r>
        <w:rPr>
          <w:rStyle w:val="normaltextrun"/>
          <w:rFonts w:ascii="Calibri" w:hAnsi="Calibri" w:cs="Calibri"/>
          <w:sz w:val="22"/>
          <w:szCs w:val="22"/>
        </w:rPr>
        <w:t>Discutir como podemos recuperar a informação de Number of Clients para clientes de retalho do BST;</w:t>
      </w:r>
    </w:p>
    <w:p w14:paraId="7B6EDCB2" w14:textId="39F35227" w:rsidR="00792DD4" w:rsidRDefault="00A171FD" w:rsidP="006D1398">
      <w:pPr>
        <w:pStyle w:val="paragraph"/>
        <w:spacing w:before="0" w:beforeAutospacing="0" w:after="0" w:afterAutospacing="0"/>
        <w:textAlignment w:val="baseline"/>
        <w:rPr>
          <w:rStyle w:val="eop"/>
          <w:rFonts w:ascii="Calibri" w:hAnsi="Calibri" w:cs="Calibri"/>
          <w:sz w:val="22"/>
          <w:szCs w:val="22"/>
        </w:rPr>
      </w:pPr>
      <w:r>
        <w:rPr>
          <w:rStyle w:val="eop"/>
          <w:rFonts w:ascii="Calibri" w:hAnsi="Calibri" w:cs="Calibri"/>
          <w:b/>
          <w:sz w:val="22"/>
          <w:szCs w:val="22"/>
        </w:rPr>
        <w:t>3</w:t>
      </w:r>
      <w:r w:rsidR="00792DD4">
        <w:rPr>
          <w:rStyle w:val="eop"/>
          <w:rFonts w:ascii="Calibri" w:hAnsi="Calibri" w:cs="Calibri"/>
          <w:sz w:val="22"/>
          <w:szCs w:val="22"/>
        </w:rPr>
        <w:t xml:space="preserve"> </w:t>
      </w:r>
      <w:r w:rsidR="006D1398">
        <w:rPr>
          <w:rStyle w:val="eop"/>
          <w:rFonts w:ascii="Calibri" w:hAnsi="Calibri" w:cs="Calibri"/>
          <w:sz w:val="22"/>
          <w:szCs w:val="22"/>
        </w:rPr>
        <w:t>–</w:t>
      </w:r>
      <w:r w:rsidR="00792DD4">
        <w:rPr>
          <w:rStyle w:val="eop"/>
          <w:rFonts w:ascii="Calibri" w:hAnsi="Calibri" w:cs="Calibri"/>
          <w:sz w:val="22"/>
          <w:szCs w:val="22"/>
        </w:rPr>
        <w:t xml:space="preserve"> </w:t>
      </w:r>
      <w:r w:rsidR="006D1398">
        <w:rPr>
          <w:rStyle w:val="eop"/>
          <w:rFonts w:ascii="Calibri" w:hAnsi="Calibri" w:cs="Calibri"/>
          <w:sz w:val="22"/>
          <w:szCs w:val="22"/>
        </w:rPr>
        <w:t>Perceber como é que no universo do TF será possível segregar a informação em proprietary, omnibus e segregated accounts assim como segregar o que passa em cada FMI;</w:t>
      </w:r>
    </w:p>
    <w:p w14:paraId="46A37FE7" w14:textId="78EDDAB4" w:rsidR="000F760A" w:rsidRDefault="000F760A" w:rsidP="006D1398">
      <w:pPr>
        <w:pStyle w:val="paragraph"/>
        <w:spacing w:before="0" w:beforeAutospacing="0" w:after="0" w:afterAutospacing="0"/>
        <w:textAlignment w:val="baseline"/>
        <w:rPr>
          <w:rStyle w:val="eop"/>
          <w:rFonts w:ascii="Calibri" w:hAnsi="Calibri" w:cs="Calibri"/>
          <w:sz w:val="22"/>
          <w:szCs w:val="22"/>
        </w:rPr>
      </w:pPr>
      <w:r>
        <w:rPr>
          <w:rStyle w:val="eop"/>
          <w:rFonts w:ascii="Calibri" w:hAnsi="Calibri" w:cs="Calibri"/>
          <w:b/>
          <w:sz w:val="22"/>
          <w:szCs w:val="22"/>
        </w:rPr>
        <w:t>4</w:t>
      </w:r>
      <w:r>
        <w:rPr>
          <w:rStyle w:val="eop"/>
          <w:rFonts w:ascii="Calibri" w:hAnsi="Calibri" w:cs="Calibri"/>
          <w:sz w:val="22"/>
          <w:szCs w:val="22"/>
        </w:rPr>
        <w:t xml:space="preserve"> – Perceber como é que no universo do TF será possível segregar a informação que passa em cada FMI;</w:t>
      </w:r>
    </w:p>
    <w:p w14:paraId="797C483D" w14:textId="3A2A0425" w:rsidR="006D1398" w:rsidRDefault="000F760A" w:rsidP="006D1398">
      <w:pPr>
        <w:pStyle w:val="paragraph"/>
        <w:spacing w:before="0" w:beforeAutospacing="0" w:after="0" w:afterAutospacing="0"/>
        <w:textAlignment w:val="baseline"/>
        <w:rPr>
          <w:rStyle w:val="eop"/>
          <w:rFonts w:ascii="Calibri" w:hAnsi="Calibri" w:cs="Calibri"/>
          <w:sz w:val="22"/>
          <w:szCs w:val="22"/>
        </w:rPr>
      </w:pPr>
      <w:r>
        <w:rPr>
          <w:rStyle w:val="eop"/>
          <w:rFonts w:ascii="Calibri" w:hAnsi="Calibri" w:cs="Calibri"/>
          <w:b/>
          <w:sz w:val="22"/>
          <w:szCs w:val="22"/>
        </w:rPr>
        <w:t>5</w:t>
      </w:r>
      <w:r w:rsidR="006D1398">
        <w:rPr>
          <w:rStyle w:val="eop"/>
          <w:rFonts w:ascii="Calibri" w:hAnsi="Calibri" w:cs="Calibri"/>
          <w:sz w:val="22"/>
          <w:szCs w:val="22"/>
        </w:rPr>
        <w:t xml:space="preserve"> – Discutir o report TR (Transaction Reporting) que nos foi indicado como uma </w:t>
      </w:r>
      <w:r w:rsidR="00A171FD">
        <w:rPr>
          <w:rStyle w:val="eop"/>
          <w:rFonts w:ascii="Calibri" w:hAnsi="Calibri" w:cs="Calibri"/>
          <w:sz w:val="22"/>
          <w:szCs w:val="22"/>
        </w:rPr>
        <w:t>possível</w:t>
      </w:r>
      <w:r w:rsidR="006D1398">
        <w:rPr>
          <w:rStyle w:val="eop"/>
          <w:rFonts w:ascii="Calibri" w:hAnsi="Calibri" w:cs="Calibri"/>
          <w:sz w:val="22"/>
          <w:szCs w:val="22"/>
        </w:rPr>
        <w:t xml:space="preserve"> fonte para as métricas de value of transactions</w:t>
      </w:r>
      <w:r w:rsidR="00A171FD">
        <w:rPr>
          <w:rStyle w:val="eop"/>
          <w:rFonts w:ascii="Calibri" w:hAnsi="Calibri" w:cs="Calibri"/>
          <w:sz w:val="22"/>
          <w:szCs w:val="22"/>
        </w:rPr>
        <w:t xml:space="preserve"> de todo o universo de títulos</w:t>
      </w:r>
      <w:r w:rsidR="006D1398">
        <w:rPr>
          <w:rStyle w:val="eop"/>
          <w:rFonts w:ascii="Calibri" w:hAnsi="Calibri" w:cs="Calibri"/>
          <w:sz w:val="22"/>
          <w:szCs w:val="22"/>
        </w:rPr>
        <w:t>.</w:t>
      </w:r>
    </w:p>
    <w:p w14:paraId="67158010" w14:textId="77777777" w:rsidR="00792DD4" w:rsidRDefault="00792DD4" w:rsidP="00792DD4">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04079B99" w14:textId="66855190" w:rsidR="00103A5E" w:rsidRDefault="00792DD4" w:rsidP="00792DD4">
      <w:pPr>
        <w:pStyle w:val="paragraph"/>
        <w:spacing w:before="0" w:beforeAutospacing="0" w:after="0" w:afterAutospacing="0"/>
        <w:textAlignment w:val="baseline"/>
        <w:rPr>
          <w:rStyle w:val="eop"/>
          <w:rFonts w:ascii="Calibri" w:hAnsi="Calibri" w:cs="Calibri"/>
          <w:sz w:val="28"/>
          <w:szCs w:val="28"/>
        </w:rPr>
      </w:pPr>
      <w:r>
        <w:rPr>
          <w:rStyle w:val="normaltextrun"/>
          <w:rFonts w:ascii="Calibri" w:hAnsi="Calibri" w:cs="Calibri"/>
          <w:b/>
          <w:bCs/>
          <w:sz w:val="28"/>
          <w:szCs w:val="28"/>
        </w:rPr>
        <w:t>Notas da reunião:</w:t>
      </w:r>
      <w:r>
        <w:rPr>
          <w:rStyle w:val="normaltextrun"/>
          <w:rFonts w:ascii="Calibri" w:hAnsi="Calibri" w:cs="Calibri"/>
          <w:sz w:val="28"/>
          <w:szCs w:val="28"/>
        </w:rPr>
        <w:t> </w:t>
      </w:r>
      <w:r>
        <w:rPr>
          <w:rStyle w:val="eop"/>
          <w:rFonts w:ascii="Calibri" w:hAnsi="Calibri" w:cs="Calibri"/>
          <w:sz w:val="28"/>
          <w:szCs w:val="28"/>
        </w:rPr>
        <w:t> </w:t>
      </w:r>
    </w:p>
    <w:p w14:paraId="2396FDB2" w14:textId="77777777" w:rsidR="00103A5E" w:rsidRDefault="00103A5E" w:rsidP="00792DD4">
      <w:pPr>
        <w:pStyle w:val="paragraph"/>
        <w:spacing w:before="0" w:beforeAutospacing="0" w:after="0" w:afterAutospacing="0"/>
        <w:textAlignment w:val="baseline"/>
        <w:rPr>
          <w:rStyle w:val="eop"/>
          <w:rFonts w:ascii="Calibri" w:hAnsi="Calibri" w:cs="Calibri"/>
          <w:sz w:val="28"/>
          <w:szCs w:val="28"/>
        </w:rPr>
      </w:pPr>
    </w:p>
    <w:p w14:paraId="43814BF4" w14:textId="7889F9B1" w:rsidR="00103A5E" w:rsidRDefault="00103A5E" w:rsidP="00103A5E">
      <w:pPr>
        <w:pStyle w:val="paragraph"/>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b/>
          <w:sz w:val="22"/>
          <w:szCs w:val="22"/>
        </w:rPr>
        <w:t>Notas gerais</w:t>
      </w:r>
      <w:r>
        <w:rPr>
          <w:rStyle w:val="normaltextrun"/>
          <w:rFonts w:ascii="Calibri" w:hAnsi="Calibri" w:cs="Calibri"/>
          <w:sz w:val="22"/>
          <w:szCs w:val="22"/>
        </w:rPr>
        <w:t>:</w:t>
      </w:r>
    </w:p>
    <w:p w14:paraId="063C8F5F" w14:textId="54CEA415" w:rsidR="00792DD4" w:rsidRDefault="00792DD4" w:rsidP="00792DD4">
      <w:pPr>
        <w:pStyle w:val="paragraph"/>
        <w:spacing w:before="0" w:beforeAutospacing="0" w:after="0" w:afterAutospacing="0"/>
        <w:textAlignment w:val="baseline"/>
        <w:rPr>
          <w:rStyle w:val="eop"/>
          <w:rFonts w:ascii="Calibri" w:hAnsi="Calibri" w:cs="Calibri"/>
          <w:sz w:val="28"/>
          <w:szCs w:val="28"/>
        </w:rPr>
      </w:pPr>
    </w:p>
    <w:p w14:paraId="1B4D7ADC" w14:textId="77777777" w:rsidR="00103A5E" w:rsidRDefault="00103A5E" w:rsidP="00792DD4">
      <w:pPr>
        <w:pStyle w:val="paragraph"/>
        <w:spacing w:before="0" w:beforeAutospacing="0" w:after="0" w:afterAutospacing="0"/>
        <w:textAlignment w:val="baseline"/>
        <w:rPr>
          <w:rStyle w:val="eop"/>
          <w:rFonts w:ascii="Calibri" w:hAnsi="Calibri" w:cs="Calibri"/>
          <w:sz w:val="28"/>
          <w:szCs w:val="28"/>
        </w:rPr>
      </w:pPr>
    </w:p>
    <w:p w14:paraId="3C839DE7" w14:textId="43D3F7BC" w:rsidR="009736B0" w:rsidRDefault="00792DD4" w:rsidP="00103A5E">
      <w:pPr>
        <w:pStyle w:val="paragraph"/>
        <w:spacing w:before="0" w:beforeAutospacing="0" w:after="0" w:afterAutospacing="0"/>
        <w:textAlignment w:val="baseline"/>
        <w:rPr>
          <w:rStyle w:val="normaltextrun"/>
          <w:rFonts w:ascii="Calibri" w:hAnsi="Calibri" w:cs="Calibri"/>
          <w:sz w:val="22"/>
          <w:szCs w:val="22"/>
        </w:rPr>
      </w:pPr>
      <w:r w:rsidRPr="00792DD4">
        <w:rPr>
          <w:rStyle w:val="normaltextrun"/>
          <w:rFonts w:ascii="Calibri" w:hAnsi="Calibri" w:cs="Calibri"/>
          <w:b/>
          <w:sz w:val="22"/>
          <w:szCs w:val="22"/>
        </w:rPr>
        <w:t>1</w:t>
      </w:r>
      <w:r>
        <w:rPr>
          <w:rStyle w:val="normaltextrun"/>
          <w:rFonts w:ascii="Calibri" w:hAnsi="Calibri" w:cs="Calibri"/>
          <w:sz w:val="22"/>
          <w:szCs w:val="22"/>
        </w:rPr>
        <w:t xml:space="preserve"> – </w:t>
      </w:r>
      <w:r w:rsidR="00103A5E">
        <w:rPr>
          <w:rStyle w:val="normaltextrun"/>
          <w:rFonts w:ascii="Calibri" w:hAnsi="Calibri" w:cs="Calibri"/>
          <w:sz w:val="22"/>
          <w:szCs w:val="22"/>
        </w:rPr>
        <w:t>Segundo Luiz Silva a informação de Value of positions pode ser obtida do TF juntando várias tabelas:</w:t>
      </w:r>
    </w:p>
    <w:p w14:paraId="35D3BC91" w14:textId="752D42EA" w:rsidR="00103A5E" w:rsidRDefault="00103A5E" w:rsidP="00103A5E">
      <w:pPr>
        <w:pStyle w:val="paragraph"/>
        <w:numPr>
          <w:ilvl w:val="0"/>
          <w:numId w:val="1"/>
        </w:numPr>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ttt35 – Permite identificar</w:t>
      </w:r>
      <w:r w:rsidR="00A171FD">
        <w:rPr>
          <w:rStyle w:val="normaltextrun"/>
          <w:rFonts w:ascii="Calibri" w:hAnsi="Calibri" w:cs="Calibri"/>
          <w:sz w:val="22"/>
          <w:szCs w:val="22"/>
        </w:rPr>
        <w:t xml:space="preserve"> o pais e o ‘alvo’ a que cada conta_titulo/titulo diz respeito através dos campos pbolsa e cbolsa respetivamente;</w:t>
      </w:r>
    </w:p>
    <w:p w14:paraId="46BC81C5" w14:textId="0ED51FD9" w:rsidR="00A171FD" w:rsidRDefault="00A171FD" w:rsidP="00103A5E">
      <w:pPr>
        <w:pStyle w:val="paragraph"/>
        <w:numPr>
          <w:ilvl w:val="0"/>
          <w:numId w:val="1"/>
        </w:numPr>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ttt22 – Tem as quantidades de cada títulos que cada conta_titulo detem;</w:t>
      </w:r>
    </w:p>
    <w:p w14:paraId="21338833" w14:textId="0C06F771" w:rsidR="00A171FD" w:rsidRDefault="00A171FD" w:rsidP="00103A5E">
      <w:pPr>
        <w:pStyle w:val="paragraph"/>
        <w:numPr>
          <w:ilvl w:val="0"/>
          <w:numId w:val="1"/>
        </w:numPr>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ttt36 – Contém os valores nominais dos títulos assim como a sua moeda (filtrar cempresa = ‘31’);</w:t>
      </w:r>
    </w:p>
    <w:p w14:paraId="024F6C84" w14:textId="1C2C0F9B" w:rsidR="00A171FD" w:rsidRDefault="00A171FD" w:rsidP="00103A5E">
      <w:pPr>
        <w:pStyle w:val="paragraph"/>
        <w:numPr>
          <w:ilvl w:val="0"/>
          <w:numId w:val="1"/>
        </w:numPr>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ttt05 – Contém as cotações de cada título.</w:t>
      </w:r>
    </w:p>
    <w:p w14:paraId="615F6C52" w14:textId="645481B7" w:rsidR="00A171FD" w:rsidRDefault="00A171FD" w:rsidP="00A171FD">
      <w:pPr>
        <w:pStyle w:val="paragraph"/>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Para além destas tabelas existem ainda outra(s) que contêm as regras de valorização dos títulos tomando em conta o tipo de título, quantidade, moeda e cotação do titulo.</w:t>
      </w:r>
    </w:p>
    <w:p w14:paraId="19013E72" w14:textId="3EA4CB98" w:rsidR="00A171FD" w:rsidRDefault="00A171FD" w:rsidP="00A171FD">
      <w:pPr>
        <w:pStyle w:val="paragraph"/>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 xml:space="preserve">Ficou decidido que este </w:t>
      </w:r>
      <w:r w:rsidRPr="00A171FD">
        <w:rPr>
          <w:rStyle w:val="normaltextrun"/>
          <w:rFonts w:ascii="Calibri" w:hAnsi="Calibri" w:cs="Calibri"/>
          <w:b/>
          <w:sz w:val="22"/>
          <w:szCs w:val="22"/>
        </w:rPr>
        <w:t>desenvolvimento de associar a valorização dos títulos irá ficar do lado de TF</w:t>
      </w:r>
      <w:r>
        <w:rPr>
          <w:rStyle w:val="normaltextrun"/>
          <w:rFonts w:ascii="Calibri" w:hAnsi="Calibri" w:cs="Calibri"/>
          <w:sz w:val="22"/>
          <w:szCs w:val="22"/>
        </w:rPr>
        <w:t xml:space="preserve">, devido ao facto de as regras de valorização dos títulos poderem ser </w:t>
      </w:r>
      <w:r w:rsidR="00E822A7">
        <w:rPr>
          <w:rStyle w:val="normaltextrun"/>
          <w:rFonts w:ascii="Calibri" w:hAnsi="Calibri" w:cs="Calibri"/>
          <w:sz w:val="22"/>
          <w:szCs w:val="22"/>
        </w:rPr>
        <w:t>alteradas</w:t>
      </w:r>
      <w:r>
        <w:rPr>
          <w:rStyle w:val="normaltextrun"/>
          <w:rFonts w:ascii="Calibri" w:hAnsi="Calibri" w:cs="Calibri"/>
          <w:sz w:val="22"/>
          <w:szCs w:val="22"/>
        </w:rPr>
        <w:t>, e como tal se ficasse do nosso lado haveria a necessidade de estar constantemente a questionar se houve alterações.</w:t>
      </w:r>
    </w:p>
    <w:p w14:paraId="7E19CA80" w14:textId="309DDED3" w:rsidR="00A171FD" w:rsidRDefault="00A171FD" w:rsidP="00A171FD">
      <w:pPr>
        <w:pStyle w:val="paragraph"/>
        <w:spacing w:before="0" w:beforeAutospacing="0" w:after="0" w:afterAutospacing="0"/>
        <w:textAlignment w:val="baseline"/>
        <w:rPr>
          <w:rStyle w:val="normaltextrun"/>
          <w:rFonts w:ascii="Calibri" w:hAnsi="Calibri" w:cs="Calibri"/>
          <w:sz w:val="22"/>
          <w:szCs w:val="22"/>
        </w:rPr>
      </w:pPr>
    </w:p>
    <w:p w14:paraId="218BF750" w14:textId="56BC7328" w:rsidR="00A171FD" w:rsidRDefault="00A171FD" w:rsidP="00A171FD">
      <w:pPr>
        <w:pStyle w:val="paragraph"/>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b/>
          <w:sz w:val="22"/>
          <w:szCs w:val="22"/>
        </w:rPr>
        <w:t>2</w:t>
      </w:r>
      <w:r>
        <w:rPr>
          <w:rStyle w:val="normaltextrun"/>
          <w:rFonts w:ascii="Calibri" w:hAnsi="Calibri" w:cs="Calibri"/>
          <w:sz w:val="22"/>
          <w:szCs w:val="22"/>
        </w:rPr>
        <w:t xml:space="preserve"> – Na discussão da métrica Number of Clients levantaram-se diversas </w:t>
      </w:r>
      <w:r w:rsidR="005C7DED">
        <w:rPr>
          <w:rStyle w:val="normaltextrun"/>
          <w:rFonts w:ascii="Calibri" w:hAnsi="Calibri" w:cs="Calibri"/>
          <w:sz w:val="22"/>
          <w:szCs w:val="22"/>
        </w:rPr>
        <w:t>duvidas, nomeadamente</w:t>
      </w:r>
      <w:r>
        <w:rPr>
          <w:rStyle w:val="normaltextrun"/>
          <w:rFonts w:ascii="Calibri" w:hAnsi="Calibri" w:cs="Calibri"/>
          <w:sz w:val="22"/>
          <w:szCs w:val="22"/>
        </w:rPr>
        <w:t xml:space="preserve"> </w:t>
      </w:r>
      <w:r w:rsidR="005C7DED">
        <w:rPr>
          <w:rStyle w:val="normaltextrun"/>
          <w:rFonts w:ascii="Calibri" w:hAnsi="Calibri" w:cs="Calibri"/>
          <w:sz w:val="22"/>
          <w:szCs w:val="22"/>
        </w:rPr>
        <w:t xml:space="preserve">o que era considerado com cliente neste report. Isto porque a visibilidade do TF é sobre contas de </w:t>
      </w:r>
      <w:r w:rsidR="005C7DED">
        <w:rPr>
          <w:rStyle w:val="normaltextrun"/>
          <w:rFonts w:ascii="Calibri" w:hAnsi="Calibri" w:cs="Calibri"/>
          <w:sz w:val="22"/>
          <w:szCs w:val="22"/>
        </w:rPr>
        <w:lastRenderedPageBreak/>
        <w:t>títulos as quais podem ter mais do que um titular, e um titular pode estar presente em várias contas de títulos. Assim, após discutir o tema com o Pedro Mendes ficou decidido que a contagem de clientes individuais será feita da seguinte forma:</w:t>
      </w:r>
    </w:p>
    <w:p w14:paraId="169AAA3D" w14:textId="6A006B8F" w:rsidR="005C7DED" w:rsidRDefault="005C7DED" w:rsidP="005C7DED">
      <w:pPr>
        <w:pStyle w:val="paragraph"/>
        <w:numPr>
          <w:ilvl w:val="0"/>
          <w:numId w:val="2"/>
        </w:numPr>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Reunir o conjunto de todos os titulares de todas as contas_titulo que têm posição durante o período de report, sendo que o identificador do titular tem de ser um código único, por exemplo o NIF ou o numero do passaporte. De seguida aplicamos um distinct dessa lista de forma a remover duplicados (clientes que têm mais do que uma conta de títulos) e fazer uma contagem dos códigos restantes.</w:t>
      </w:r>
    </w:p>
    <w:p w14:paraId="2D2B389F" w14:textId="44B0D793" w:rsidR="005C7DED" w:rsidRDefault="005C7DED" w:rsidP="005C7DED">
      <w:pPr>
        <w:pStyle w:val="paragraph"/>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 xml:space="preserve">Ou seja, o </w:t>
      </w:r>
      <w:r w:rsidRPr="005C7DED">
        <w:rPr>
          <w:rStyle w:val="normaltextrun"/>
          <w:rFonts w:ascii="Calibri" w:hAnsi="Calibri" w:cs="Calibri"/>
          <w:b/>
          <w:sz w:val="22"/>
          <w:szCs w:val="22"/>
        </w:rPr>
        <w:t>Number of Clients será o número total de titulares de contas_titulo que detiveram posições pelo menos durante um dia durante o período de report</w:t>
      </w:r>
      <w:r>
        <w:rPr>
          <w:rStyle w:val="normaltextrun"/>
          <w:rFonts w:ascii="Calibri" w:hAnsi="Calibri" w:cs="Calibri"/>
          <w:sz w:val="22"/>
          <w:szCs w:val="22"/>
        </w:rPr>
        <w:t>.</w:t>
      </w:r>
    </w:p>
    <w:p w14:paraId="26E4801F" w14:textId="3BC16AB6" w:rsidR="005C7DED" w:rsidRDefault="005C7DED" w:rsidP="005C7DED">
      <w:pPr>
        <w:pStyle w:val="paragraph"/>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Esta métrica também será fornecida pelo TF num ficheiro diferente do que o de Value of Positions que apenas terá, por exemplo, os campos conta_titulos e titulares.</w:t>
      </w:r>
    </w:p>
    <w:p w14:paraId="2D9C4B3B" w14:textId="28DB6649" w:rsidR="005C7DED" w:rsidRDefault="005C7DED" w:rsidP="005C7DED">
      <w:pPr>
        <w:pStyle w:val="paragraph"/>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 xml:space="preserve">Se este desenvolvimento ficar do nosso lado foi-nos indicado que deveríamos pegar em todas as contas_titulo que </w:t>
      </w:r>
      <w:r w:rsidR="000F760A">
        <w:rPr>
          <w:rStyle w:val="normaltextrun"/>
          <w:rFonts w:ascii="Calibri" w:hAnsi="Calibri" w:cs="Calibri"/>
          <w:sz w:val="22"/>
          <w:szCs w:val="22"/>
        </w:rPr>
        <w:t>virão</w:t>
      </w:r>
      <w:r>
        <w:rPr>
          <w:rStyle w:val="normaltextrun"/>
          <w:rFonts w:ascii="Calibri" w:hAnsi="Calibri" w:cs="Calibri"/>
          <w:sz w:val="22"/>
          <w:szCs w:val="22"/>
        </w:rPr>
        <w:t xml:space="preserve"> no ficheiro de Value of Positions e fazer a sua ligação com as contas DO que por su</w:t>
      </w:r>
      <w:r w:rsidR="000F760A">
        <w:rPr>
          <w:rStyle w:val="normaltextrun"/>
          <w:rFonts w:ascii="Calibri" w:hAnsi="Calibri" w:cs="Calibri"/>
          <w:sz w:val="22"/>
          <w:szCs w:val="22"/>
        </w:rPr>
        <w:t>a vez nos permitem identificar</w:t>
      </w:r>
      <w:r>
        <w:rPr>
          <w:rStyle w:val="normaltextrun"/>
          <w:rFonts w:ascii="Calibri" w:hAnsi="Calibri" w:cs="Calibri"/>
          <w:sz w:val="22"/>
          <w:szCs w:val="22"/>
        </w:rPr>
        <w:t xml:space="preserve"> quem são os titulares dessa conta.</w:t>
      </w:r>
    </w:p>
    <w:p w14:paraId="337A0C0F" w14:textId="77777777" w:rsidR="00A171FD" w:rsidRDefault="00A171FD" w:rsidP="00A171FD">
      <w:pPr>
        <w:pStyle w:val="paragraph"/>
        <w:spacing w:before="0" w:beforeAutospacing="0" w:after="0" w:afterAutospacing="0"/>
        <w:textAlignment w:val="baseline"/>
        <w:rPr>
          <w:rStyle w:val="normaltextrun"/>
          <w:rFonts w:ascii="Calibri" w:hAnsi="Calibri" w:cs="Calibri"/>
          <w:sz w:val="22"/>
          <w:szCs w:val="22"/>
        </w:rPr>
      </w:pPr>
    </w:p>
    <w:p w14:paraId="204D7778" w14:textId="1B8D04BD" w:rsidR="00802E64" w:rsidRDefault="00AB6C1D" w:rsidP="00575120">
      <w:pPr>
        <w:pStyle w:val="paragraph"/>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b/>
          <w:sz w:val="22"/>
          <w:szCs w:val="22"/>
        </w:rPr>
        <w:t>3</w:t>
      </w:r>
      <w:r>
        <w:rPr>
          <w:rStyle w:val="normaltextrun"/>
          <w:rFonts w:ascii="Calibri" w:hAnsi="Calibri" w:cs="Calibri"/>
          <w:sz w:val="22"/>
          <w:szCs w:val="22"/>
        </w:rPr>
        <w:t xml:space="preserve"> – </w:t>
      </w:r>
      <w:r w:rsidR="00EE5A46">
        <w:rPr>
          <w:rStyle w:val="normaltextrun"/>
          <w:rFonts w:ascii="Calibri" w:hAnsi="Calibri" w:cs="Calibri"/>
          <w:sz w:val="22"/>
          <w:szCs w:val="22"/>
        </w:rPr>
        <w:t xml:space="preserve">Regra geral assume-se que tudo que vem do terminal financeiro é omnibus, isto porque apenas tem clientes de retalho e como tal não </w:t>
      </w:r>
      <w:r w:rsidR="00313563">
        <w:rPr>
          <w:rStyle w:val="normaltextrun"/>
          <w:rFonts w:ascii="Calibri" w:hAnsi="Calibri" w:cs="Calibri"/>
          <w:sz w:val="22"/>
          <w:szCs w:val="22"/>
        </w:rPr>
        <w:t xml:space="preserve">há </w:t>
      </w:r>
      <w:r w:rsidR="00EE5A46">
        <w:rPr>
          <w:rStyle w:val="normaltextrun"/>
          <w:rFonts w:ascii="Calibri" w:hAnsi="Calibri" w:cs="Calibri"/>
          <w:sz w:val="22"/>
          <w:szCs w:val="22"/>
        </w:rPr>
        <w:t xml:space="preserve">operações de banco </w:t>
      </w:r>
      <w:r w:rsidR="00313563">
        <w:rPr>
          <w:rStyle w:val="normaltextrun"/>
          <w:rFonts w:ascii="Calibri" w:hAnsi="Calibri" w:cs="Calibri"/>
          <w:sz w:val="22"/>
          <w:szCs w:val="22"/>
        </w:rPr>
        <w:t>que, por conseguinte,</w:t>
      </w:r>
      <w:r w:rsidR="00EE5A46">
        <w:rPr>
          <w:rStyle w:val="normaltextrun"/>
          <w:rFonts w:ascii="Calibri" w:hAnsi="Calibri" w:cs="Calibri"/>
          <w:sz w:val="22"/>
          <w:szCs w:val="22"/>
        </w:rPr>
        <w:t xml:space="preserve"> elimina logo a opção de imputar nas proprietary accounts.</w:t>
      </w:r>
      <w:r w:rsidR="00313563">
        <w:rPr>
          <w:rStyle w:val="normaltextrun"/>
          <w:rFonts w:ascii="Calibri" w:hAnsi="Calibri" w:cs="Calibri"/>
          <w:sz w:val="22"/>
          <w:szCs w:val="22"/>
        </w:rPr>
        <w:t xml:space="preserve"> Falou-se que haveria clientes com contas segregadas na Interbolsa nomeadamente fundos de pensões, mas também se disse que essas contas estão no SIGOM por isso não deve ser do domínio do TF. Disse-se que para clientes da rede teria de ser o Carlos Vás a responder.</w:t>
      </w:r>
    </w:p>
    <w:p w14:paraId="746811DC" w14:textId="37758277" w:rsidR="00313563" w:rsidRDefault="00313563" w:rsidP="00575120">
      <w:pPr>
        <w:pStyle w:val="paragraph"/>
        <w:spacing w:before="0" w:beforeAutospacing="0" w:after="0" w:afterAutospacing="0"/>
        <w:textAlignment w:val="baseline"/>
        <w:rPr>
          <w:rStyle w:val="normaltextrun"/>
          <w:rFonts w:ascii="Calibri" w:hAnsi="Calibri" w:cs="Calibri"/>
          <w:sz w:val="22"/>
          <w:szCs w:val="22"/>
        </w:rPr>
      </w:pPr>
    </w:p>
    <w:p w14:paraId="321ACFF8" w14:textId="77777777" w:rsidR="00313563" w:rsidRDefault="00313563" w:rsidP="00575120">
      <w:pPr>
        <w:pStyle w:val="paragraph"/>
        <w:spacing w:before="0" w:beforeAutospacing="0" w:after="0" w:afterAutospacing="0"/>
        <w:textAlignment w:val="baseline"/>
        <w:rPr>
          <w:rStyle w:val="normaltextrun"/>
          <w:rFonts w:ascii="Calibri" w:hAnsi="Calibri" w:cs="Calibri"/>
          <w:sz w:val="22"/>
          <w:szCs w:val="22"/>
        </w:rPr>
      </w:pPr>
    </w:p>
    <w:p w14:paraId="67214ABC" w14:textId="129AAE8B" w:rsidR="00313563" w:rsidRPr="00802E64" w:rsidRDefault="00313563" w:rsidP="00313563">
      <w:pPr>
        <w:pStyle w:val="paragraph"/>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b/>
          <w:sz w:val="22"/>
          <w:szCs w:val="22"/>
        </w:rPr>
        <w:t>4</w:t>
      </w:r>
      <w:r>
        <w:rPr>
          <w:rStyle w:val="normaltextrun"/>
          <w:rFonts w:ascii="Calibri" w:hAnsi="Calibri" w:cs="Calibri"/>
          <w:sz w:val="22"/>
          <w:szCs w:val="22"/>
        </w:rPr>
        <w:t xml:space="preserve"> – </w:t>
      </w:r>
      <w:r w:rsidR="0025320D">
        <w:rPr>
          <w:rStyle w:val="normaltextrun"/>
          <w:rFonts w:ascii="Calibri" w:hAnsi="Calibri" w:cs="Calibri"/>
          <w:sz w:val="22"/>
          <w:szCs w:val="22"/>
        </w:rPr>
        <w:t>Luiz Silva diz que do lado do TF para retalho internacional apenas temos o local de deposito, ou seja, não é o suficiente para identificar system type/FMI. Após</w:t>
      </w:r>
      <w:r w:rsidR="00E822A7">
        <w:rPr>
          <w:rStyle w:val="normaltextrun"/>
          <w:rFonts w:ascii="Calibri" w:hAnsi="Calibri" w:cs="Calibri"/>
          <w:sz w:val="22"/>
          <w:szCs w:val="22"/>
        </w:rPr>
        <w:t xml:space="preserve"> questionarmos como é que o SIG</w:t>
      </w:r>
      <w:r w:rsidR="0025320D">
        <w:rPr>
          <w:rStyle w:val="normaltextrun"/>
          <w:rFonts w:ascii="Calibri" w:hAnsi="Calibri" w:cs="Calibri"/>
          <w:sz w:val="22"/>
          <w:szCs w:val="22"/>
        </w:rPr>
        <w:t xml:space="preserve">OM adiciona o Custodiante para o que recebe do TF, Paulo Maçaneiro disse que quem faz a reconciliação do Retalho internacional do TF é o Ribeiro. De todas as formas visto que nos foi dito que para cada par ISIN/Local de Deposito apena existirá um Custodiante decidiu-se que iriamos acrescentar este campo à informação do TF através da extração de posições do SIGOM, e que utilizaríamos a mesma parametrização que irá ser </w:t>
      </w:r>
      <w:r w:rsidR="00E822A7">
        <w:rPr>
          <w:rStyle w:val="normaltextrun"/>
          <w:rFonts w:ascii="Calibri" w:hAnsi="Calibri" w:cs="Calibri"/>
          <w:sz w:val="22"/>
          <w:szCs w:val="22"/>
        </w:rPr>
        <w:t>criada</w:t>
      </w:r>
      <w:r w:rsidR="0025320D">
        <w:rPr>
          <w:rStyle w:val="normaltextrun"/>
          <w:rFonts w:ascii="Calibri" w:hAnsi="Calibri" w:cs="Calibri"/>
          <w:sz w:val="22"/>
          <w:szCs w:val="22"/>
        </w:rPr>
        <w:t xml:space="preserve"> para o SIGOM para converter Local de Depósito/Custodiante em Sytem Type/FMI/Intermediário. O </w:t>
      </w:r>
      <w:r>
        <w:rPr>
          <w:rStyle w:val="normaltextrun"/>
          <w:rFonts w:ascii="Calibri" w:hAnsi="Calibri" w:cs="Calibri"/>
          <w:sz w:val="22"/>
          <w:szCs w:val="22"/>
        </w:rPr>
        <w:t>TF ficou de nos enviar informação de ISIN/Mercados para ver se nós conseguíamos conciliar essa infor</w:t>
      </w:r>
      <w:r w:rsidR="00780364">
        <w:rPr>
          <w:rStyle w:val="normaltextrun"/>
          <w:rFonts w:ascii="Calibri" w:hAnsi="Calibri" w:cs="Calibri"/>
          <w:sz w:val="22"/>
          <w:szCs w:val="22"/>
        </w:rPr>
        <w:t>mação com o que temos do SIGOM,</w:t>
      </w:r>
      <w:r>
        <w:rPr>
          <w:rStyle w:val="normaltextrun"/>
          <w:rFonts w:ascii="Calibri" w:hAnsi="Calibri" w:cs="Calibri"/>
          <w:sz w:val="22"/>
          <w:szCs w:val="22"/>
        </w:rPr>
        <w:t xml:space="preserve"> de forma a complementar a info do TF com o Custodiante.</w:t>
      </w:r>
    </w:p>
    <w:p w14:paraId="2E99C246" w14:textId="0FD1A2C0" w:rsidR="00B37E04" w:rsidRDefault="00B37E04" w:rsidP="00575120">
      <w:pPr>
        <w:pStyle w:val="paragraph"/>
        <w:spacing w:before="0" w:beforeAutospacing="0" w:after="0" w:afterAutospacing="0"/>
        <w:textAlignment w:val="baseline"/>
        <w:rPr>
          <w:rStyle w:val="normaltextrun"/>
          <w:rFonts w:ascii="Calibri" w:hAnsi="Calibri" w:cs="Calibri"/>
          <w:sz w:val="22"/>
          <w:szCs w:val="22"/>
        </w:rPr>
      </w:pPr>
    </w:p>
    <w:p w14:paraId="785D6069" w14:textId="6A179C37" w:rsidR="00E822A7" w:rsidRPr="00802E64" w:rsidRDefault="00E822A7" w:rsidP="00575120">
      <w:pPr>
        <w:pStyle w:val="paragraph"/>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b/>
          <w:sz w:val="22"/>
          <w:szCs w:val="22"/>
        </w:rPr>
        <w:t>5</w:t>
      </w:r>
      <w:r>
        <w:rPr>
          <w:rStyle w:val="normaltextrun"/>
          <w:rFonts w:ascii="Calibri" w:hAnsi="Calibri" w:cs="Calibri"/>
          <w:sz w:val="22"/>
          <w:szCs w:val="22"/>
        </w:rPr>
        <w:t xml:space="preserve"> – </w:t>
      </w:r>
      <w:r>
        <w:rPr>
          <w:rStyle w:val="normaltextrun"/>
          <w:rFonts w:ascii="Calibri" w:hAnsi="Calibri" w:cs="Calibri"/>
          <w:sz w:val="22"/>
          <w:szCs w:val="22"/>
        </w:rPr>
        <w:t>Ainda não entramos neste detalhe.</w:t>
      </w:r>
      <w:bookmarkStart w:id="0" w:name="_GoBack"/>
      <w:bookmarkEnd w:id="0"/>
    </w:p>
    <w:sectPr w:rsidR="00E822A7" w:rsidRPr="00802E6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FE7595" w14:textId="77777777" w:rsidR="00B37E04" w:rsidRDefault="00B37E04" w:rsidP="00B37E04">
      <w:pPr>
        <w:spacing w:after="0" w:line="240" w:lineRule="auto"/>
      </w:pPr>
      <w:r>
        <w:separator/>
      </w:r>
    </w:p>
  </w:endnote>
  <w:endnote w:type="continuationSeparator" w:id="0">
    <w:p w14:paraId="15B2EA36" w14:textId="77777777" w:rsidR="00B37E04" w:rsidRDefault="00B37E04" w:rsidP="00B37E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82EC9F" w14:textId="77777777" w:rsidR="00B37E04" w:rsidRDefault="00B37E04" w:rsidP="00B37E04">
      <w:pPr>
        <w:spacing w:after="0" w:line="240" w:lineRule="auto"/>
      </w:pPr>
      <w:r>
        <w:separator/>
      </w:r>
    </w:p>
  </w:footnote>
  <w:footnote w:type="continuationSeparator" w:id="0">
    <w:p w14:paraId="4A7F0FD9" w14:textId="77777777" w:rsidR="00B37E04" w:rsidRDefault="00B37E04" w:rsidP="00B37E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761CAA"/>
    <w:multiLevelType w:val="hybridMultilevel"/>
    <w:tmpl w:val="9FE0D3F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468175A6"/>
    <w:multiLevelType w:val="hybridMultilevel"/>
    <w:tmpl w:val="82741E5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8"/>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2DD4"/>
    <w:rsid w:val="000F760A"/>
    <w:rsid w:val="00103A5E"/>
    <w:rsid w:val="00206D0B"/>
    <w:rsid w:val="0025320D"/>
    <w:rsid w:val="00260FFB"/>
    <w:rsid w:val="00313563"/>
    <w:rsid w:val="00453ADA"/>
    <w:rsid w:val="004C0666"/>
    <w:rsid w:val="00575120"/>
    <w:rsid w:val="005C7DED"/>
    <w:rsid w:val="006D1398"/>
    <w:rsid w:val="006F776E"/>
    <w:rsid w:val="00780364"/>
    <w:rsid w:val="00792DD4"/>
    <w:rsid w:val="00802E64"/>
    <w:rsid w:val="009736B0"/>
    <w:rsid w:val="00A171FD"/>
    <w:rsid w:val="00AB6C1D"/>
    <w:rsid w:val="00AF3AA7"/>
    <w:rsid w:val="00B25BE8"/>
    <w:rsid w:val="00B37E04"/>
    <w:rsid w:val="00D8141B"/>
    <w:rsid w:val="00E71A87"/>
    <w:rsid w:val="00E822A7"/>
    <w:rsid w:val="00ED6772"/>
    <w:rsid w:val="00EE5A46"/>
    <w:rsid w:val="00FA324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FA9AB47"/>
  <w15:chartTrackingRefBased/>
  <w15:docId w15:val="{65DD7037-A6C6-4256-9597-8931706BC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792DD4"/>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customStyle="1" w:styleId="normaltextrun">
    <w:name w:val="normaltextrun"/>
    <w:basedOn w:val="DefaultParagraphFont"/>
    <w:rsid w:val="00792DD4"/>
  </w:style>
  <w:style w:type="character" w:customStyle="1" w:styleId="eop">
    <w:name w:val="eop"/>
    <w:basedOn w:val="DefaultParagraphFont"/>
    <w:rsid w:val="00792D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7368675">
      <w:bodyDiv w:val="1"/>
      <w:marLeft w:val="0"/>
      <w:marRight w:val="0"/>
      <w:marTop w:val="0"/>
      <w:marBottom w:val="0"/>
      <w:divBdr>
        <w:top w:val="none" w:sz="0" w:space="0" w:color="auto"/>
        <w:left w:val="none" w:sz="0" w:space="0" w:color="auto"/>
        <w:bottom w:val="none" w:sz="0" w:space="0" w:color="auto"/>
        <w:right w:val="none" w:sz="0" w:space="0" w:color="auto"/>
      </w:divBdr>
    </w:div>
    <w:div w:id="1790315724">
      <w:bodyDiv w:val="1"/>
      <w:marLeft w:val="0"/>
      <w:marRight w:val="0"/>
      <w:marTop w:val="0"/>
      <w:marBottom w:val="0"/>
      <w:divBdr>
        <w:top w:val="none" w:sz="0" w:space="0" w:color="auto"/>
        <w:left w:val="none" w:sz="0" w:space="0" w:color="auto"/>
        <w:bottom w:val="none" w:sz="0" w:space="0" w:color="auto"/>
        <w:right w:val="none" w:sz="0" w:space="0" w:color="auto"/>
      </w:divBdr>
      <w:divsChild>
        <w:div w:id="1865240869">
          <w:marLeft w:val="0"/>
          <w:marRight w:val="0"/>
          <w:marTop w:val="0"/>
          <w:marBottom w:val="0"/>
          <w:divBdr>
            <w:top w:val="none" w:sz="0" w:space="0" w:color="auto"/>
            <w:left w:val="none" w:sz="0" w:space="0" w:color="auto"/>
            <w:bottom w:val="none" w:sz="0" w:space="0" w:color="auto"/>
            <w:right w:val="none" w:sz="0" w:space="0" w:color="auto"/>
          </w:divBdr>
        </w:div>
        <w:div w:id="623124814">
          <w:marLeft w:val="0"/>
          <w:marRight w:val="0"/>
          <w:marTop w:val="0"/>
          <w:marBottom w:val="0"/>
          <w:divBdr>
            <w:top w:val="none" w:sz="0" w:space="0" w:color="auto"/>
            <w:left w:val="none" w:sz="0" w:space="0" w:color="auto"/>
            <w:bottom w:val="none" w:sz="0" w:space="0" w:color="auto"/>
            <w:right w:val="none" w:sz="0" w:space="0" w:color="auto"/>
          </w:divBdr>
        </w:div>
        <w:div w:id="827400590">
          <w:marLeft w:val="0"/>
          <w:marRight w:val="0"/>
          <w:marTop w:val="0"/>
          <w:marBottom w:val="0"/>
          <w:divBdr>
            <w:top w:val="none" w:sz="0" w:space="0" w:color="auto"/>
            <w:left w:val="none" w:sz="0" w:space="0" w:color="auto"/>
            <w:bottom w:val="none" w:sz="0" w:space="0" w:color="auto"/>
            <w:right w:val="none" w:sz="0" w:space="0" w:color="auto"/>
          </w:divBdr>
        </w:div>
        <w:div w:id="1667440975">
          <w:marLeft w:val="0"/>
          <w:marRight w:val="0"/>
          <w:marTop w:val="0"/>
          <w:marBottom w:val="0"/>
          <w:divBdr>
            <w:top w:val="none" w:sz="0" w:space="0" w:color="auto"/>
            <w:left w:val="none" w:sz="0" w:space="0" w:color="auto"/>
            <w:bottom w:val="none" w:sz="0" w:space="0" w:color="auto"/>
            <w:right w:val="none" w:sz="0" w:space="0" w:color="auto"/>
          </w:divBdr>
        </w:div>
        <w:div w:id="1587571880">
          <w:marLeft w:val="0"/>
          <w:marRight w:val="0"/>
          <w:marTop w:val="0"/>
          <w:marBottom w:val="0"/>
          <w:divBdr>
            <w:top w:val="none" w:sz="0" w:space="0" w:color="auto"/>
            <w:left w:val="none" w:sz="0" w:space="0" w:color="auto"/>
            <w:bottom w:val="none" w:sz="0" w:space="0" w:color="auto"/>
            <w:right w:val="none" w:sz="0" w:space="0" w:color="auto"/>
          </w:divBdr>
        </w:div>
        <w:div w:id="419446276">
          <w:marLeft w:val="0"/>
          <w:marRight w:val="0"/>
          <w:marTop w:val="0"/>
          <w:marBottom w:val="0"/>
          <w:divBdr>
            <w:top w:val="none" w:sz="0" w:space="0" w:color="auto"/>
            <w:left w:val="none" w:sz="0" w:space="0" w:color="auto"/>
            <w:bottom w:val="none" w:sz="0" w:space="0" w:color="auto"/>
            <w:right w:val="none" w:sz="0" w:space="0" w:color="auto"/>
          </w:divBdr>
        </w:div>
        <w:div w:id="1161657884">
          <w:marLeft w:val="0"/>
          <w:marRight w:val="0"/>
          <w:marTop w:val="0"/>
          <w:marBottom w:val="0"/>
          <w:divBdr>
            <w:top w:val="none" w:sz="0" w:space="0" w:color="auto"/>
            <w:left w:val="none" w:sz="0" w:space="0" w:color="auto"/>
            <w:bottom w:val="none" w:sz="0" w:space="0" w:color="auto"/>
            <w:right w:val="none" w:sz="0" w:space="0" w:color="auto"/>
          </w:divBdr>
        </w:div>
        <w:div w:id="732856268">
          <w:marLeft w:val="0"/>
          <w:marRight w:val="0"/>
          <w:marTop w:val="0"/>
          <w:marBottom w:val="0"/>
          <w:divBdr>
            <w:top w:val="none" w:sz="0" w:space="0" w:color="auto"/>
            <w:left w:val="none" w:sz="0" w:space="0" w:color="auto"/>
            <w:bottom w:val="none" w:sz="0" w:space="0" w:color="auto"/>
            <w:right w:val="none" w:sz="0" w:space="0" w:color="auto"/>
          </w:divBdr>
        </w:div>
        <w:div w:id="1832328292">
          <w:marLeft w:val="0"/>
          <w:marRight w:val="0"/>
          <w:marTop w:val="0"/>
          <w:marBottom w:val="0"/>
          <w:divBdr>
            <w:top w:val="none" w:sz="0" w:space="0" w:color="auto"/>
            <w:left w:val="none" w:sz="0" w:space="0" w:color="auto"/>
            <w:bottom w:val="none" w:sz="0" w:space="0" w:color="auto"/>
            <w:right w:val="none" w:sz="0" w:space="0" w:color="auto"/>
          </w:divBdr>
        </w:div>
        <w:div w:id="731151012">
          <w:marLeft w:val="0"/>
          <w:marRight w:val="0"/>
          <w:marTop w:val="0"/>
          <w:marBottom w:val="0"/>
          <w:divBdr>
            <w:top w:val="none" w:sz="0" w:space="0" w:color="auto"/>
            <w:left w:val="none" w:sz="0" w:space="0" w:color="auto"/>
            <w:bottom w:val="none" w:sz="0" w:space="0" w:color="auto"/>
            <w:right w:val="none" w:sz="0" w:space="0" w:color="auto"/>
          </w:divBdr>
        </w:div>
        <w:div w:id="174922574">
          <w:marLeft w:val="0"/>
          <w:marRight w:val="0"/>
          <w:marTop w:val="0"/>
          <w:marBottom w:val="0"/>
          <w:divBdr>
            <w:top w:val="none" w:sz="0" w:space="0" w:color="auto"/>
            <w:left w:val="none" w:sz="0" w:space="0" w:color="auto"/>
            <w:bottom w:val="none" w:sz="0" w:space="0" w:color="auto"/>
            <w:right w:val="none" w:sz="0" w:space="0" w:color="auto"/>
          </w:divBdr>
        </w:div>
        <w:div w:id="556862634">
          <w:marLeft w:val="0"/>
          <w:marRight w:val="0"/>
          <w:marTop w:val="0"/>
          <w:marBottom w:val="0"/>
          <w:divBdr>
            <w:top w:val="none" w:sz="0" w:space="0" w:color="auto"/>
            <w:left w:val="none" w:sz="0" w:space="0" w:color="auto"/>
            <w:bottom w:val="none" w:sz="0" w:space="0" w:color="auto"/>
            <w:right w:val="none" w:sz="0" w:space="0" w:color="auto"/>
          </w:divBdr>
        </w:div>
        <w:div w:id="1575779361">
          <w:marLeft w:val="0"/>
          <w:marRight w:val="0"/>
          <w:marTop w:val="0"/>
          <w:marBottom w:val="0"/>
          <w:divBdr>
            <w:top w:val="none" w:sz="0" w:space="0" w:color="auto"/>
            <w:left w:val="none" w:sz="0" w:space="0" w:color="auto"/>
            <w:bottom w:val="none" w:sz="0" w:space="0" w:color="auto"/>
            <w:right w:val="none" w:sz="0" w:space="0" w:color="auto"/>
          </w:divBdr>
        </w:div>
        <w:div w:id="935089698">
          <w:marLeft w:val="0"/>
          <w:marRight w:val="0"/>
          <w:marTop w:val="0"/>
          <w:marBottom w:val="0"/>
          <w:divBdr>
            <w:top w:val="none" w:sz="0" w:space="0" w:color="auto"/>
            <w:left w:val="none" w:sz="0" w:space="0" w:color="auto"/>
            <w:bottom w:val="none" w:sz="0" w:space="0" w:color="auto"/>
            <w:right w:val="none" w:sz="0" w:space="0" w:color="auto"/>
          </w:divBdr>
        </w:div>
        <w:div w:id="2048292025">
          <w:marLeft w:val="0"/>
          <w:marRight w:val="0"/>
          <w:marTop w:val="0"/>
          <w:marBottom w:val="0"/>
          <w:divBdr>
            <w:top w:val="none" w:sz="0" w:space="0" w:color="auto"/>
            <w:left w:val="none" w:sz="0" w:space="0" w:color="auto"/>
            <w:bottom w:val="none" w:sz="0" w:space="0" w:color="auto"/>
            <w:right w:val="none" w:sz="0" w:space="0" w:color="auto"/>
          </w:divBdr>
        </w:div>
        <w:div w:id="2123843529">
          <w:marLeft w:val="0"/>
          <w:marRight w:val="0"/>
          <w:marTop w:val="0"/>
          <w:marBottom w:val="0"/>
          <w:divBdr>
            <w:top w:val="none" w:sz="0" w:space="0" w:color="auto"/>
            <w:left w:val="none" w:sz="0" w:space="0" w:color="auto"/>
            <w:bottom w:val="none" w:sz="0" w:space="0" w:color="auto"/>
            <w:right w:val="none" w:sz="0" w:space="0" w:color="auto"/>
          </w:divBdr>
        </w:div>
        <w:div w:id="330109055">
          <w:marLeft w:val="0"/>
          <w:marRight w:val="0"/>
          <w:marTop w:val="0"/>
          <w:marBottom w:val="0"/>
          <w:divBdr>
            <w:top w:val="none" w:sz="0" w:space="0" w:color="auto"/>
            <w:left w:val="none" w:sz="0" w:space="0" w:color="auto"/>
            <w:bottom w:val="none" w:sz="0" w:space="0" w:color="auto"/>
            <w:right w:val="none" w:sz="0" w:space="0" w:color="auto"/>
          </w:divBdr>
        </w:div>
        <w:div w:id="1517303047">
          <w:marLeft w:val="0"/>
          <w:marRight w:val="0"/>
          <w:marTop w:val="0"/>
          <w:marBottom w:val="0"/>
          <w:divBdr>
            <w:top w:val="none" w:sz="0" w:space="0" w:color="auto"/>
            <w:left w:val="none" w:sz="0" w:space="0" w:color="auto"/>
            <w:bottom w:val="none" w:sz="0" w:space="0" w:color="auto"/>
            <w:right w:val="none" w:sz="0" w:space="0" w:color="auto"/>
          </w:divBdr>
        </w:div>
        <w:div w:id="1504738683">
          <w:marLeft w:val="0"/>
          <w:marRight w:val="0"/>
          <w:marTop w:val="0"/>
          <w:marBottom w:val="0"/>
          <w:divBdr>
            <w:top w:val="none" w:sz="0" w:space="0" w:color="auto"/>
            <w:left w:val="none" w:sz="0" w:space="0" w:color="auto"/>
            <w:bottom w:val="none" w:sz="0" w:space="0" w:color="auto"/>
            <w:right w:val="none" w:sz="0" w:space="0" w:color="auto"/>
          </w:divBdr>
        </w:div>
        <w:div w:id="2062746744">
          <w:marLeft w:val="0"/>
          <w:marRight w:val="0"/>
          <w:marTop w:val="0"/>
          <w:marBottom w:val="0"/>
          <w:divBdr>
            <w:top w:val="none" w:sz="0" w:space="0" w:color="auto"/>
            <w:left w:val="none" w:sz="0" w:space="0" w:color="auto"/>
            <w:bottom w:val="none" w:sz="0" w:space="0" w:color="auto"/>
            <w:right w:val="none" w:sz="0" w:space="0" w:color="auto"/>
          </w:divBdr>
        </w:div>
        <w:div w:id="58946447">
          <w:marLeft w:val="0"/>
          <w:marRight w:val="0"/>
          <w:marTop w:val="0"/>
          <w:marBottom w:val="0"/>
          <w:divBdr>
            <w:top w:val="none" w:sz="0" w:space="0" w:color="auto"/>
            <w:left w:val="none" w:sz="0" w:space="0" w:color="auto"/>
            <w:bottom w:val="none" w:sz="0" w:space="0" w:color="auto"/>
            <w:right w:val="none" w:sz="0" w:space="0" w:color="auto"/>
          </w:divBdr>
        </w:div>
        <w:div w:id="1885410426">
          <w:marLeft w:val="0"/>
          <w:marRight w:val="0"/>
          <w:marTop w:val="0"/>
          <w:marBottom w:val="0"/>
          <w:divBdr>
            <w:top w:val="none" w:sz="0" w:space="0" w:color="auto"/>
            <w:left w:val="none" w:sz="0" w:space="0" w:color="auto"/>
            <w:bottom w:val="none" w:sz="0" w:space="0" w:color="auto"/>
            <w:right w:val="none" w:sz="0" w:space="0" w:color="auto"/>
          </w:divBdr>
        </w:div>
        <w:div w:id="467553887">
          <w:marLeft w:val="0"/>
          <w:marRight w:val="0"/>
          <w:marTop w:val="0"/>
          <w:marBottom w:val="0"/>
          <w:divBdr>
            <w:top w:val="none" w:sz="0" w:space="0" w:color="auto"/>
            <w:left w:val="none" w:sz="0" w:space="0" w:color="auto"/>
            <w:bottom w:val="none" w:sz="0" w:space="0" w:color="auto"/>
            <w:right w:val="none" w:sz="0" w:space="0" w:color="auto"/>
          </w:divBdr>
        </w:div>
        <w:div w:id="760639330">
          <w:marLeft w:val="0"/>
          <w:marRight w:val="0"/>
          <w:marTop w:val="0"/>
          <w:marBottom w:val="0"/>
          <w:divBdr>
            <w:top w:val="none" w:sz="0" w:space="0" w:color="auto"/>
            <w:left w:val="none" w:sz="0" w:space="0" w:color="auto"/>
            <w:bottom w:val="none" w:sz="0" w:space="0" w:color="auto"/>
            <w:right w:val="none" w:sz="0" w:space="0" w:color="auto"/>
          </w:divBdr>
        </w:div>
        <w:div w:id="585529262">
          <w:marLeft w:val="0"/>
          <w:marRight w:val="0"/>
          <w:marTop w:val="0"/>
          <w:marBottom w:val="0"/>
          <w:divBdr>
            <w:top w:val="none" w:sz="0" w:space="0" w:color="auto"/>
            <w:left w:val="none" w:sz="0" w:space="0" w:color="auto"/>
            <w:bottom w:val="none" w:sz="0" w:space="0" w:color="auto"/>
            <w:right w:val="none" w:sz="0" w:space="0" w:color="auto"/>
          </w:divBdr>
        </w:div>
        <w:div w:id="1993216923">
          <w:marLeft w:val="0"/>
          <w:marRight w:val="0"/>
          <w:marTop w:val="0"/>
          <w:marBottom w:val="0"/>
          <w:divBdr>
            <w:top w:val="none" w:sz="0" w:space="0" w:color="auto"/>
            <w:left w:val="none" w:sz="0" w:space="0" w:color="auto"/>
            <w:bottom w:val="none" w:sz="0" w:space="0" w:color="auto"/>
            <w:right w:val="none" w:sz="0" w:space="0" w:color="auto"/>
          </w:divBdr>
        </w:div>
        <w:div w:id="546331824">
          <w:marLeft w:val="0"/>
          <w:marRight w:val="0"/>
          <w:marTop w:val="0"/>
          <w:marBottom w:val="0"/>
          <w:divBdr>
            <w:top w:val="none" w:sz="0" w:space="0" w:color="auto"/>
            <w:left w:val="none" w:sz="0" w:space="0" w:color="auto"/>
            <w:bottom w:val="none" w:sz="0" w:space="0" w:color="auto"/>
            <w:right w:val="none" w:sz="0" w:space="0" w:color="auto"/>
          </w:divBdr>
        </w:div>
        <w:div w:id="1853956247">
          <w:marLeft w:val="0"/>
          <w:marRight w:val="0"/>
          <w:marTop w:val="0"/>
          <w:marBottom w:val="0"/>
          <w:divBdr>
            <w:top w:val="none" w:sz="0" w:space="0" w:color="auto"/>
            <w:left w:val="none" w:sz="0" w:space="0" w:color="auto"/>
            <w:bottom w:val="none" w:sz="0" w:space="0" w:color="auto"/>
            <w:right w:val="none" w:sz="0" w:space="0" w:color="auto"/>
          </w:divBdr>
        </w:div>
        <w:div w:id="1482693421">
          <w:marLeft w:val="0"/>
          <w:marRight w:val="0"/>
          <w:marTop w:val="0"/>
          <w:marBottom w:val="0"/>
          <w:divBdr>
            <w:top w:val="none" w:sz="0" w:space="0" w:color="auto"/>
            <w:left w:val="none" w:sz="0" w:space="0" w:color="auto"/>
            <w:bottom w:val="none" w:sz="0" w:space="0" w:color="auto"/>
            <w:right w:val="none" w:sz="0" w:space="0" w:color="auto"/>
          </w:divBdr>
        </w:div>
        <w:div w:id="5083010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09d3dac3-f296-4107-b579-4b1e37be6169" xsi:nil="true"/>
    <lcf76f155ced4ddcb4097134ff3c332f xmlns="5ad20f8b-9281-4829-a9aa-2b5a878ba2c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B6B9A5E792D2446B8986FAE34BEC557" ma:contentTypeVersion="12" ma:contentTypeDescription="Criar um novo documento." ma:contentTypeScope="" ma:versionID="a7a7c7330211281f7243a22470ce2e53">
  <xsd:schema xmlns:xsd="http://www.w3.org/2001/XMLSchema" xmlns:xs="http://www.w3.org/2001/XMLSchema" xmlns:p="http://schemas.microsoft.com/office/2006/metadata/properties" xmlns:ns1="http://schemas.microsoft.com/sharepoint/v3" xmlns:ns2="5ad20f8b-9281-4829-a9aa-2b5a878ba2cc" xmlns:ns3="09d3dac3-f296-4107-b579-4b1e37be6169" targetNamespace="http://schemas.microsoft.com/office/2006/metadata/properties" ma:root="true" ma:fieldsID="0c28e91176c9b4921ea9a3bbad06dd6c" ns1:_="" ns2:_="" ns3:_="">
    <xsd:import namespace="http://schemas.microsoft.com/sharepoint/v3"/>
    <xsd:import namespace="5ad20f8b-9281-4829-a9aa-2b5a878ba2cc"/>
    <xsd:import namespace="09d3dac3-f296-4107-b579-4b1e37be61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1:_ip_UnifiedCompliancePolicyProperties" minOccurs="0"/>
                <xsd:element ref="ns1:_ip_UnifiedCompliancePolicyUIActio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Propriedades da Política de Conformidade Unificada" ma:hidden="true" ma:internalName="_ip_UnifiedCompliancePolicyProperties">
      <xsd:simpleType>
        <xsd:restriction base="dms:Note"/>
      </xsd:simpleType>
    </xsd:element>
    <xsd:element name="_ip_UnifiedCompliancePolicyUIAction" ma:index="12" nillable="true" ma:displayName="Ação de IU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d20f8b-9281-4829-a9aa-2b5a878ba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m"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d3dac3-f296-4107-b579-4b1e37be616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f43633d-4f01-4e5f-8ed6-670c29f8108f}" ma:internalName="TaxCatchAll" ma:showField="CatchAllData" ma:web="09d3dac3-f296-4107-b579-4b1e37be616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7D7FCA-89ED-4488-B189-0CFDE4782723}">
  <ds:schemaRefs>
    <ds:schemaRef ds:uri="http://www.w3.org/XML/1998/namespace"/>
    <ds:schemaRef ds:uri="http://purl.org/dc/dcmitype/"/>
    <ds:schemaRef ds:uri="http://schemas.microsoft.com/office/2006/documentManagement/types"/>
    <ds:schemaRef ds:uri="http://schemas.microsoft.com/sharepoint/v3"/>
    <ds:schemaRef ds:uri="http://purl.org/dc/terms/"/>
    <ds:schemaRef ds:uri="http://purl.org/dc/elements/1.1/"/>
    <ds:schemaRef ds:uri="f9e353c9-1332-4510-a254-eea1fcf09281"/>
    <ds:schemaRef ds:uri="http://schemas.openxmlformats.org/package/2006/metadata/core-properties"/>
    <ds:schemaRef ds:uri="http://schemas.microsoft.com/office/infopath/2007/PartnerControls"/>
    <ds:schemaRef ds:uri="1312c175-fcca-4f18-9f64-7c5798175897"/>
    <ds:schemaRef ds:uri="http://schemas.microsoft.com/office/2006/metadata/properties"/>
  </ds:schemaRefs>
</ds:datastoreItem>
</file>

<file path=customXml/itemProps2.xml><?xml version="1.0" encoding="utf-8"?>
<ds:datastoreItem xmlns:ds="http://schemas.openxmlformats.org/officeDocument/2006/customXml" ds:itemID="{816494A7-1036-439C-9633-B845CFD5CB58}">
  <ds:schemaRefs>
    <ds:schemaRef ds:uri="http://schemas.microsoft.com/sharepoint/v3/contenttype/forms"/>
  </ds:schemaRefs>
</ds:datastoreItem>
</file>

<file path=customXml/itemProps3.xml><?xml version="1.0" encoding="utf-8"?>
<ds:datastoreItem xmlns:ds="http://schemas.openxmlformats.org/officeDocument/2006/customXml" ds:itemID="{8FC9D84C-A740-433A-BFA9-D60B569DAABF}"/>
</file>

<file path=docProps/app.xml><?xml version="1.0" encoding="utf-8"?>
<Properties xmlns="http://schemas.openxmlformats.org/officeDocument/2006/extended-properties" xmlns:vt="http://schemas.openxmlformats.org/officeDocument/2006/docPropsVTypes">
  <Template>Normal</Template>
  <TotalTime>606</TotalTime>
  <Pages>2</Pages>
  <Words>751</Words>
  <Characters>4060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Banco Santander Portugal</Company>
  <LinksUpToDate>false</LinksUpToDate>
  <CharactersWithSpaces>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Duarte Cardoso Rodrigues</dc:creator>
  <cp:keywords/>
  <dc:description/>
  <cp:lastModifiedBy>Miguel Duarte Cardoso Rodrigues</cp:lastModifiedBy>
  <cp:revision>6</cp:revision>
  <dcterms:created xsi:type="dcterms:W3CDTF">2023-10-27T11:27:00Z</dcterms:created>
  <dcterms:modified xsi:type="dcterms:W3CDTF">2023-11-20T11:07:00Z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2abd79-57a9-4473-8700-c843f76a1e37_Enabled">
    <vt:lpwstr>true</vt:lpwstr>
  </property>
  <property fmtid="{D5CDD505-2E9C-101B-9397-08002B2CF9AE}" pid="3" name="MSIP_Label_0c2abd79-57a9-4473-8700-c843f76a1e37_SetDate">
    <vt:lpwstr>2023-10-27T14:31:03Z</vt:lpwstr>
  </property>
  <property fmtid="{D5CDD505-2E9C-101B-9397-08002B2CF9AE}" pid="4" name="MSIP_Label_0c2abd79-57a9-4473-8700-c843f76a1e37_Method">
    <vt:lpwstr>Privileged</vt:lpwstr>
  </property>
  <property fmtid="{D5CDD505-2E9C-101B-9397-08002B2CF9AE}" pid="5" name="MSIP_Label_0c2abd79-57a9-4473-8700-c843f76a1e37_Name">
    <vt:lpwstr>Internal</vt:lpwstr>
  </property>
  <property fmtid="{D5CDD505-2E9C-101B-9397-08002B2CF9AE}" pid="6" name="MSIP_Label_0c2abd79-57a9-4473-8700-c843f76a1e37_SiteId">
    <vt:lpwstr>35595a02-4d6d-44ac-99e1-f9ab4cd872db</vt:lpwstr>
  </property>
  <property fmtid="{D5CDD505-2E9C-101B-9397-08002B2CF9AE}" pid="7" name="MSIP_Label_0c2abd79-57a9-4473-8700-c843f76a1e37_ActionId">
    <vt:lpwstr>1db060b0-3fb8-47ad-8c72-003a1491837a</vt:lpwstr>
  </property>
  <property fmtid="{D5CDD505-2E9C-101B-9397-08002B2CF9AE}" pid="8" name="MSIP_Label_0c2abd79-57a9-4473-8700-c843f76a1e37_ContentBits">
    <vt:lpwstr>0</vt:lpwstr>
  </property>
  <property fmtid="{D5CDD505-2E9C-101B-9397-08002B2CF9AE}" pid="9" name="ContentTypeId">
    <vt:lpwstr>0x0101000B6B9A5E792D2446B8986FAE34BEC557</vt:lpwstr>
  </property>
</Properties>
</file>