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5C9190" w14:textId="180737B7" w:rsidR="00082AFA" w:rsidRPr="006D1398" w:rsidRDefault="00082AFA" w:rsidP="00082AFA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sz w:val="32"/>
          <w:szCs w:val="32"/>
        </w:rPr>
      </w:pPr>
      <w:r w:rsidRPr="00B25BE8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Reunião </w:t>
      </w:r>
      <w:r w:rsidR="00EA5CAE">
        <w:rPr>
          <w:rStyle w:val="normaltextrun"/>
          <w:rFonts w:ascii="Calibri" w:hAnsi="Calibri" w:cs="Calibri"/>
          <w:b/>
          <w:bCs/>
          <w:sz w:val="32"/>
          <w:szCs w:val="32"/>
        </w:rPr>
        <w:t>21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-11</w:t>
      </w:r>
      <w:r w:rsidRPr="00B25BE8">
        <w:rPr>
          <w:rStyle w:val="normaltextrun"/>
          <w:rFonts w:ascii="Calibri" w:hAnsi="Calibri" w:cs="Calibri"/>
          <w:b/>
          <w:bCs/>
          <w:sz w:val="32"/>
          <w:szCs w:val="32"/>
        </w:rPr>
        <w:t>-2023 (</w:t>
      </w:r>
      <w:r w:rsidR="00EA5CAE">
        <w:rPr>
          <w:rStyle w:val="normaltextrun"/>
          <w:rFonts w:ascii="Calibri" w:hAnsi="Calibri" w:cs="Calibri"/>
          <w:b/>
          <w:bCs/>
          <w:sz w:val="32"/>
          <w:szCs w:val="32"/>
        </w:rPr>
        <w:t>Reunião Transaction Reporting</w:t>
      </w:r>
      <w:r w:rsidRPr="00B25BE8">
        <w:rPr>
          <w:rStyle w:val="normaltextrun"/>
          <w:rFonts w:ascii="Calibri" w:hAnsi="Calibri" w:cs="Calibri"/>
          <w:b/>
          <w:bCs/>
          <w:sz w:val="32"/>
          <w:szCs w:val="32"/>
        </w:rPr>
        <w:t>)</w:t>
      </w:r>
      <w:r w:rsidRPr="00B25BE8">
        <w:rPr>
          <w:rStyle w:val="normaltextrun"/>
          <w:rFonts w:ascii="Calibri" w:hAnsi="Calibri" w:cs="Calibri"/>
          <w:sz w:val="32"/>
          <w:szCs w:val="32"/>
        </w:rPr>
        <w:t> </w:t>
      </w:r>
      <w:r w:rsidRPr="00B25BE8">
        <w:rPr>
          <w:rStyle w:val="eop"/>
          <w:rFonts w:ascii="Calibri" w:hAnsi="Calibri" w:cs="Calibri"/>
          <w:sz w:val="32"/>
          <w:szCs w:val="32"/>
        </w:rPr>
        <w:t> </w:t>
      </w:r>
    </w:p>
    <w:p w14:paraId="43384426" w14:textId="67F132C8" w:rsidR="00082AFA" w:rsidRPr="00103A5E" w:rsidRDefault="00082AFA" w:rsidP="00EA5CA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Intervenientes:</w:t>
      </w:r>
    </w:p>
    <w:p w14:paraId="609B4CD4" w14:textId="77777777" w:rsidR="00082AFA" w:rsidRPr="00103A5E" w:rsidRDefault="00082AFA" w:rsidP="00082A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103A5E">
        <w:rPr>
          <w:rStyle w:val="eop"/>
          <w:rFonts w:ascii="Calibri" w:hAnsi="Calibri" w:cs="Calibri"/>
          <w:sz w:val="22"/>
          <w:szCs w:val="22"/>
        </w:rPr>
        <w:t>Jorge Leitão</w:t>
      </w:r>
    </w:p>
    <w:p w14:paraId="40DF57DA" w14:textId="77777777" w:rsidR="00082AFA" w:rsidRPr="00103A5E" w:rsidRDefault="00082AFA" w:rsidP="00082A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103A5E">
        <w:rPr>
          <w:rStyle w:val="eop"/>
          <w:rFonts w:ascii="Calibri" w:hAnsi="Calibri" w:cs="Calibri"/>
          <w:sz w:val="22"/>
          <w:szCs w:val="22"/>
        </w:rPr>
        <w:t>Luís Pragosa</w:t>
      </w:r>
    </w:p>
    <w:p w14:paraId="533A232E" w14:textId="77777777" w:rsidR="00082AFA" w:rsidRPr="00103A5E" w:rsidRDefault="00082AFA" w:rsidP="00082A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103A5E">
        <w:rPr>
          <w:rStyle w:val="eop"/>
          <w:rFonts w:ascii="Calibri" w:hAnsi="Calibri" w:cs="Calibri"/>
          <w:sz w:val="22"/>
          <w:szCs w:val="22"/>
        </w:rPr>
        <w:t>Miguel Rodrigues</w:t>
      </w:r>
    </w:p>
    <w:p w14:paraId="78648582" w14:textId="77777777" w:rsidR="00082AFA" w:rsidRPr="00103A5E" w:rsidRDefault="00082AFA" w:rsidP="00082A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103A5E">
        <w:rPr>
          <w:rStyle w:val="eop"/>
          <w:rFonts w:ascii="Calibri" w:hAnsi="Calibri" w:cs="Calibri"/>
          <w:sz w:val="22"/>
          <w:szCs w:val="22"/>
        </w:rPr>
        <w:t>Miguel Candeias</w:t>
      </w:r>
    </w:p>
    <w:p w14:paraId="3D470C5E" w14:textId="2B36118D" w:rsidR="00082AFA" w:rsidRPr="00103A5E" w:rsidRDefault="00082AFA" w:rsidP="00EA5CA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103A5E">
        <w:rPr>
          <w:rStyle w:val="eop"/>
          <w:rFonts w:ascii="Calibri" w:hAnsi="Calibri" w:cs="Calibri"/>
          <w:sz w:val="22"/>
          <w:szCs w:val="22"/>
        </w:rPr>
        <w:t>Luis Henrriques</w:t>
      </w:r>
    </w:p>
    <w:p w14:paraId="69B24A69" w14:textId="77777777" w:rsidR="00082AFA" w:rsidRPr="00103A5E" w:rsidRDefault="00082AFA" w:rsidP="00082A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103A5E">
        <w:rPr>
          <w:rStyle w:val="eop"/>
          <w:rFonts w:ascii="Calibri" w:hAnsi="Calibri" w:cs="Calibri"/>
          <w:sz w:val="22"/>
          <w:szCs w:val="22"/>
        </w:rPr>
        <w:t>Miguel Ganhão</w:t>
      </w:r>
    </w:p>
    <w:p w14:paraId="6A4ACB48" w14:textId="544C2178" w:rsidR="00082AFA" w:rsidRPr="00103A5E" w:rsidRDefault="00082AFA" w:rsidP="00EA5CA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103A5E">
        <w:rPr>
          <w:rStyle w:val="eop"/>
          <w:rFonts w:ascii="Calibri" w:hAnsi="Calibri" w:cs="Calibri"/>
          <w:sz w:val="22"/>
          <w:szCs w:val="22"/>
        </w:rPr>
        <w:t>Pedro Mendes</w:t>
      </w:r>
    </w:p>
    <w:p w14:paraId="52657880" w14:textId="77777777" w:rsidR="00082AFA" w:rsidRDefault="00082AFA" w:rsidP="00082A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 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9CC9D32" w14:textId="77777777" w:rsidR="00082AFA" w:rsidRDefault="00082AFA" w:rsidP="00082A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Objetivos: </w:t>
      </w:r>
      <w:r>
        <w:rPr>
          <w:rStyle w:val="normaltextrun"/>
          <w:rFonts w:ascii="Calibri" w:hAnsi="Calibri" w:cs="Calibri"/>
          <w:sz w:val="28"/>
          <w:szCs w:val="28"/>
        </w:rPr>
        <w:t> 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6E74F7A" w14:textId="6041D9C9" w:rsidR="00082AFA" w:rsidRDefault="00082AFA" w:rsidP="00082A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Discutir o report TR (Transaction Reporting) que nos foi indicado como uma possível fonte para as métricas de value of transactions de todo o universo de títulos.</w:t>
      </w:r>
      <w:r w:rsidR="00392750">
        <w:rPr>
          <w:rStyle w:val="eop"/>
          <w:rFonts w:ascii="Calibri" w:hAnsi="Calibri" w:cs="Calibri"/>
          <w:sz w:val="22"/>
          <w:szCs w:val="22"/>
        </w:rPr>
        <w:t xml:space="preserve"> Em particular discutiram-se os seguintes pontos:</w:t>
      </w:r>
    </w:p>
    <w:p w14:paraId="797109B0" w14:textId="48C0BED1" w:rsidR="00392750" w:rsidRDefault="00392750" w:rsidP="00392750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Exclusão de Papeis Comerciais e Derivados;</w:t>
      </w:r>
    </w:p>
    <w:p w14:paraId="25652E8B" w14:textId="17C808CA" w:rsidR="00000097" w:rsidRDefault="00000097" w:rsidP="00392750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Campo que indica montante de transação</w:t>
      </w:r>
      <w:r w:rsidR="00B57036">
        <w:rPr>
          <w:rStyle w:val="eop"/>
          <w:rFonts w:ascii="Calibri" w:hAnsi="Calibri" w:cs="Calibri"/>
          <w:sz w:val="22"/>
          <w:szCs w:val="22"/>
        </w:rPr>
        <w:t>;</w:t>
      </w:r>
    </w:p>
    <w:p w14:paraId="1BDB2B08" w14:textId="32D8F22A" w:rsidR="00B57036" w:rsidRDefault="00B57036" w:rsidP="00392750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É necessário fazer conversões de moeda?;</w:t>
      </w:r>
    </w:p>
    <w:p w14:paraId="47CEFC97" w14:textId="3B6E8B79" w:rsidR="00367EC6" w:rsidRDefault="00367EC6" w:rsidP="00392750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Como interpretar as operações com Side = 3 (Cross);</w:t>
      </w:r>
    </w:p>
    <w:p w14:paraId="1AE96B97" w14:textId="5BAB0D7C" w:rsidR="00737FB2" w:rsidRDefault="00737FB2" w:rsidP="00392750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Como segregar entre Cliente e Banco;</w:t>
      </w:r>
    </w:p>
    <w:p w14:paraId="4C312783" w14:textId="17905359" w:rsidR="00737FB2" w:rsidRDefault="00737FB2" w:rsidP="00392750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Como segregar o System Type/FMI/Participation Mode/ Intermediary</w:t>
      </w:r>
    </w:p>
    <w:p w14:paraId="5EA36EC8" w14:textId="77777777" w:rsidR="00392750" w:rsidRDefault="00392750" w:rsidP="00082A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62E0DA41" w14:textId="77777777" w:rsidR="00082AFA" w:rsidRDefault="00082AFA" w:rsidP="00082A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 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721CEC5" w14:textId="77777777" w:rsidR="00082AFA" w:rsidRDefault="00082AFA" w:rsidP="00082A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Notas da reunião:</w:t>
      </w:r>
      <w:r>
        <w:rPr>
          <w:rStyle w:val="normaltextrun"/>
          <w:rFonts w:ascii="Calibri" w:hAnsi="Calibri" w:cs="Calibri"/>
          <w:sz w:val="28"/>
          <w:szCs w:val="28"/>
        </w:rPr>
        <w:t> 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7064FA2" w14:textId="77777777" w:rsidR="00082AFA" w:rsidRDefault="00082AFA" w:rsidP="00082A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2CA79727" w14:textId="00E9DF15" w:rsidR="00392E97" w:rsidRDefault="00EA5CAE" w:rsidP="00000097">
      <w:pPr>
        <w:pStyle w:val="ListParagraph"/>
        <w:numPr>
          <w:ilvl w:val="0"/>
          <w:numId w:val="9"/>
        </w:numPr>
      </w:pPr>
      <w:r>
        <w:t xml:space="preserve">O Transaction Reporting para além de títulos tem também derivados e papeis comerciais. Do </w:t>
      </w:r>
      <w:r>
        <w:t>Transaction Reporting</w:t>
      </w:r>
      <w:r>
        <w:t xml:space="preserve"> nós apenas queremos trazer o universo de títulos e, como tal, foi questionado como poderia ser feita a filtragem deste universo.</w:t>
      </w:r>
      <w:r w:rsidR="00037A64">
        <w:t xml:space="preserve"> Para papeis comerciais foi indicado que ISIN começa por PC ou seja poderia ser uma forma de os excluir, foi também sugerido fazer a ligação com a informação de papeis comerciais que existe no datalake através do ISIN para perceber o que é papel comercial.</w:t>
      </w:r>
      <w:r w:rsidR="00392750">
        <w:t xml:space="preserve"> Para derivados foi indicado que no transaction reporting o campo Full_name (instrument_full_name) virá com o nome do instrumento de derivado (ex. OTC Option, Cap and Floors, Fx Swap Deliverable) e como tal poderíamos excluir através desse campo.</w:t>
      </w:r>
    </w:p>
    <w:p w14:paraId="271FD450" w14:textId="78318EF5" w:rsidR="00392750" w:rsidRDefault="00392750" w:rsidP="00000097">
      <w:pPr>
        <w:pStyle w:val="ListParagraph"/>
      </w:pPr>
      <w:r>
        <w:t>Ficamos de falar com o Paulo Maçaneiro para pedir uma extração de Transaction Reporting que contenha derivados e papeis comerciais para testar estas propostas de exclusão</w:t>
      </w:r>
      <w:r w:rsidR="00B57036">
        <w:t>;</w:t>
      </w:r>
    </w:p>
    <w:p w14:paraId="05E93B87" w14:textId="4FA37C27" w:rsidR="00392750" w:rsidRDefault="00000097" w:rsidP="00000097">
      <w:pPr>
        <w:pStyle w:val="ListParagraph"/>
        <w:numPr>
          <w:ilvl w:val="0"/>
          <w:numId w:val="9"/>
        </w:numPr>
      </w:pPr>
      <w:r>
        <w:t xml:space="preserve">É o </w:t>
      </w:r>
      <w:r w:rsidR="00B57036">
        <w:t>“</w:t>
      </w:r>
      <w:r>
        <w:t>Net Amount</w:t>
      </w:r>
      <w:r w:rsidR="00B57036">
        <w:t>”;</w:t>
      </w:r>
    </w:p>
    <w:p w14:paraId="43A540A8" w14:textId="07D664D6" w:rsidR="00B57036" w:rsidRDefault="00B57036" w:rsidP="00B57036">
      <w:pPr>
        <w:pStyle w:val="ListParagraph"/>
        <w:numPr>
          <w:ilvl w:val="0"/>
          <w:numId w:val="9"/>
        </w:numPr>
      </w:pPr>
      <w:r>
        <w:t>O “Net Amount” vem com montante na moeda indicada no campo “</w:t>
      </w:r>
      <w:r w:rsidRPr="00B57036">
        <w:t>Price Currency</w:t>
      </w:r>
      <w:r>
        <w:t xml:space="preserve">” e como tal será necessário fazer a conversão desse campo para EUR. Decidiu-se que o fator de câmbio a usar será o fixing </w:t>
      </w:r>
      <w:r w:rsidR="00367EC6">
        <w:t xml:space="preserve">de fim de </w:t>
      </w:r>
      <w:r>
        <w:t>dia (Fixing do BCE)</w:t>
      </w:r>
      <w:r w:rsidR="00367EC6">
        <w:t>;</w:t>
      </w:r>
    </w:p>
    <w:p w14:paraId="77723ABC" w14:textId="0FD3624B" w:rsidR="00367EC6" w:rsidRDefault="00367EC6" w:rsidP="00B57036">
      <w:pPr>
        <w:pStyle w:val="ListParagraph"/>
        <w:numPr>
          <w:ilvl w:val="0"/>
          <w:numId w:val="9"/>
        </w:numPr>
      </w:pPr>
      <w:r>
        <w:t>Estas operações deveram ser excluídas pois são operações que são feitas internamente no banco e como tal não passam por FMIs. Falaram que exitem algumas operações que são “erradamente” interpretadas como Cross pela Euronext mas n</w:t>
      </w:r>
      <w:r w:rsidR="00737FB2">
        <w:t>ão seria expectável que fossem indicadas dessa forma no TR de todas as formas foi-nos dito para fazer a exclusão quando o Venue = XOFF e o Side = 3, para garantir que excluímos apenas os verdadeiros Cross</w:t>
      </w:r>
      <w:r>
        <w:t>;</w:t>
      </w:r>
    </w:p>
    <w:p w14:paraId="05FAF5F4" w14:textId="1F1F7D04" w:rsidR="00367EC6" w:rsidRDefault="00367EC6" w:rsidP="00737FB2">
      <w:pPr>
        <w:pStyle w:val="ListParagraph"/>
        <w:numPr>
          <w:ilvl w:val="0"/>
          <w:numId w:val="9"/>
        </w:numPr>
      </w:pPr>
      <w:r>
        <w:t xml:space="preserve">  </w:t>
      </w:r>
      <w:r w:rsidR="00737FB2">
        <w:t>Quando temos Side = 1 (Buy) olhar para o campo “</w:t>
      </w:r>
      <w:r w:rsidR="00737FB2" w:rsidRPr="00737FB2">
        <w:t>Buyer Identification Code</w:t>
      </w:r>
      <w:r w:rsidR="00737FB2">
        <w:t>” e quando Side = 2 (Sell) olhar para o “</w:t>
      </w:r>
      <w:r w:rsidR="00737FB2" w:rsidRPr="00737FB2">
        <w:t>Seller Identification Code</w:t>
      </w:r>
      <w:r w:rsidR="00737FB2">
        <w:t xml:space="preserve">”, se o código que lá estiver for referente ao </w:t>
      </w:r>
      <w:r w:rsidR="00737FB2">
        <w:lastRenderedPageBreak/>
        <w:t>BST ou ao SGPS será classificada como uma transação do Banco, caso contrário será de clientes;</w:t>
      </w:r>
    </w:p>
    <w:p w14:paraId="276E1F3B" w14:textId="0D44FFB6" w:rsidR="000139EF" w:rsidRPr="00082AFA" w:rsidRDefault="000139EF" w:rsidP="000C42FF">
      <w:pPr>
        <w:pStyle w:val="ListParagraph"/>
        <w:numPr>
          <w:ilvl w:val="0"/>
          <w:numId w:val="9"/>
        </w:numPr>
      </w:pPr>
      <w:r>
        <w:t>As iniciais do ISIN nem sempre correspondem ao Local de Deposito, por exemplo a EDP Renováveis tem ISIN “ES…” mas é trocada na Euronext Lisbon (código MIC “XLIS”). Segundo Miguel Ganhão deveríamos olhar ao campo “</w:t>
      </w:r>
      <w:r w:rsidRPr="000139EF">
        <w:t>Buyer</w:t>
      </w:r>
      <w:r>
        <w:t>/Seller</w:t>
      </w:r>
      <w:r w:rsidRPr="000139EF">
        <w:t xml:space="preserve"> Country Branch</w:t>
      </w:r>
      <w:r>
        <w:t xml:space="preserve">” para identificar o local de </w:t>
      </w:r>
      <w:r w:rsidR="005E4C74">
        <w:t>depósito,</w:t>
      </w:r>
      <w:r>
        <w:t xml:space="preserve"> mas esta ideia ficou condicionada quando reparamos que havia um título italiano (ISIN começado por IT) da Euronext Milan (código MIC “MTAA”) que tinha neste campo </w:t>
      </w:r>
      <w:r w:rsidR="005E4C74">
        <w:t>“FR” (</w:t>
      </w:r>
      <w:r>
        <w:t>França</w:t>
      </w:r>
      <w:r w:rsidR="005E4C74">
        <w:t>)</w:t>
      </w:r>
      <w:r>
        <w:t xml:space="preserve">, isto gerou duvidadas quanto à utilidade do </w:t>
      </w:r>
      <w:r>
        <w:t>“</w:t>
      </w:r>
      <w:r w:rsidRPr="000139EF">
        <w:t>Buyer</w:t>
      </w:r>
      <w:r>
        <w:t>/Seller</w:t>
      </w:r>
      <w:r w:rsidRPr="000139EF">
        <w:t xml:space="preserve"> Country Branch</w:t>
      </w:r>
      <w:r>
        <w:t>”</w:t>
      </w:r>
      <w:r>
        <w:t xml:space="preserve"> para este report</w:t>
      </w:r>
      <w:r w:rsidR="000C42FF">
        <w:t>. Temos de verificar se o “Buyer/</w:t>
      </w:r>
      <w:r w:rsidR="000C42FF" w:rsidRPr="000C42FF">
        <w:t>Seller Identification Code</w:t>
      </w:r>
      <w:r w:rsidR="000C42FF">
        <w:t>” é suficiente para determinar a nossa granularidade. Este ponto ai</w:t>
      </w:r>
      <w:bookmarkStart w:id="0" w:name="_GoBack"/>
      <w:bookmarkEnd w:id="0"/>
      <w:r w:rsidR="000C42FF">
        <w:t>nda ficou em aberto.</w:t>
      </w:r>
    </w:p>
    <w:sectPr w:rsidR="000139EF" w:rsidRPr="00082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DB5C38" w14:textId="77777777" w:rsidR="002B20EC" w:rsidRDefault="002B20EC" w:rsidP="002B20EC">
      <w:pPr>
        <w:spacing w:after="0" w:line="240" w:lineRule="auto"/>
      </w:pPr>
      <w:r>
        <w:separator/>
      </w:r>
    </w:p>
  </w:endnote>
  <w:endnote w:type="continuationSeparator" w:id="0">
    <w:p w14:paraId="401D7C9B" w14:textId="77777777" w:rsidR="002B20EC" w:rsidRDefault="002B20EC" w:rsidP="002B2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131428" w14:textId="77777777" w:rsidR="002B20EC" w:rsidRDefault="002B20EC" w:rsidP="002B20EC">
      <w:pPr>
        <w:spacing w:after="0" w:line="240" w:lineRule="auto"/>
      </w:pPr>
      <w:r>
        <w:separator/>
      </w:r>
    </w:p>
  </w:footnote>
  <w:footnote w:type="continuationSeparator" w:id="0">
    <w:p w14:paraId="103DA91E" w14:textId="77777777" w:rsidR="002B20EC" w:rsidRDefault="002B20EC" w:rsidP="002B20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5205"/>
    <w:multiLevelType w:val="hybridMultilevel"/>
    <w:tmpl w:val="3A367F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009AF"/>
    <w:multiLevelType w:val="hybridMultilevel"/>
    <w:tmpl w:val="203CE3F4"/>
    <w:lvl w:ilvl="0" w:tplc="FC669C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6258E"/>
    <w:multiLevelType w:val="hybridMultilevel"/>
    <w:tmpl w:val="5EDE01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02FD7"/>
    <w:multiLevelType w:val="hybridMultilevel"/>
    <w:tmpl w:val="0726A6D4"/>
    <w:lvl w:ilvl="0" w:tplc="A454A74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761CAA"/>
    <w:multiLevelType w:val="hybridMultilevel"/>
    <w:tmpl w:val="9FE0D3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175A6"/>
    <w:multiLevelType w:val="hybridMultilevel"/>
    <w:tmpl w:val="82741E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51EC6"/>
    <w:multiLevelType w:val="hybridMultilevel"/>
    <w:tmpl w:val="BEAA0FDC"/>
    <w:lvl w:ilvl="0" w:tplc="958466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5464E1"/>
    <w:multiLevelType w:val="hybridMultilevel"/>
    <w:tmpl w:val="7B32C448"/>
    <w:lvl w:ilvl="0" w:tplc="79367B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B21F3"/>
    <w:multiLevelType w:val="hybridMultilevel"/>
    <w:tmpl w:val="496AD0BE"/>
    <w:lvl w:ilvl="0" w:tplc="8976EE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6A1"/>
    <w:rsid w:val="00000097"/>
    <w:rsid w:val="000139EF"/>
    <w:rsid w:val="00037A64"/>
    <w:rsid w:val="00082AFA"/>
    <w:rsid w:val="00097F46"/>
    <w:rsid w:val="000C42FF"/>
    <w:rsid w:val="002B20EC"/>
    <w:rsid w:val="002F5184"/>
    <w:rsid w:val="00365FAB"/>
    <w:rsid w:val="00367EC6"/>
    <w:rsid w:val="00392750"/>
    <w:rsid w:val="00392E97"/>
    <w:rsid w:val="00453ADA"/>
    <w:rsid w:val="005E4C74"/>
    <w:rsid w:val="00737FB2"/>
    <w:rsid w:val="00A93BE3"/>
    <w:rsid w:val="00B57036"/>
    <w:rsid w:val="00D156A1"/>
    <w:rsid w:val="00DF1F12"/>
    <w:rsid w:val="00EA5CAE"/>
    <w:rsid w:val="00ED6772"/>
    <w:rsid w:val="00F34543"/>
    <w:rsid w:val="00FB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4405E5"/>
  <w15:chartTrackingRefBased/>
  <w15:docId w15:val="{190092F9-9396-4340-9FD6-988DB9AB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184"/>
    <w:pPr>
      <w:ind w:left="720"/>
      <w:contextualSpacing/>
    </w:pPr>
  </w:style>
  <w:style w:type="paragraph" w:customStyle="1" w:styleId="paragraph">
    <w:name w:val="paragraph"/>
    <w:basedOn w:val="Normal"/>
    <w:rsid w:val="00082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normaltextrun">
    <w:name w:val="normaltextrun"/>
    <w:basedOn w:val="DefaultParagraphFont"/>
    <w:rsid w:val="00082AFA"/>
  </w:style>
  <w:style w:type="character" w:customStyle="1" w:styleId="eop">
    <w:name w:val="eop"/>
    <w:basedOn w:val="DefaultParagraphFont"/>
    <w:rsid w:val="00082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B9A5E792D2446B8986FAE34BEC557" ma:contentTypeVersion="12" ma:contentTypeDescription="Create a new document." ma:contentTypeScope="" ma:versionID="7adfa8841e2fc3244094c43c12bf191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bdf8639dc839548d74de5ec77a3933cd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1CDB5E-219F-46F4-BB37-507ED3418A36}">
  <ds:schemaRefs>
    <ds:schemaRef ds:uri="1312c175-fcca-4f18-9f64-7c5798175897"/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f9e353c9-1332-4510-a254-eea1fcf09281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928B664-E3AB-47F6-83BF-EB168726A1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2CCB06-6E34-49EB-8941-55909ECFE0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2884</TotalTime>
  <Pages>2</Pages>
  <Words>512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Duarte Cardoso Rodrigues</dc:creator>
  <cp:keywords/>
  <dc:description/>
  <cp:lastModifiedBy>Miguel Duarte Cardoso Rodrigues</cp:lastModifiedBy>
  <cp:revision>5</cp:revision>
  <dcterms:created xsi:type="dcterms:W3CDTF">2023-10-16T15:43:00Z</dcterms:created>
  <dcterms:modified xsi:type="dcterms:W3CDTF">2023-11-24T09:25:00Z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2023-10-17T16:33:11Z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b619f86c-2b90-4419-8d0a-dee0ce5a1c1a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0x0101000B6B9A5E792D2446B8986FAE34BEC557</vt:lpwstr>
  </property>
</Properties>
</file>