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592B07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  <w:b/>
          <w:sz w:val="28"/>
        </w:rPr>
        <w:t>Garantias Manuais</w:t>
      </w:r>
      <w:r w:rsidRPr="002C7BE8">
        <w:rPr>
          <w:rFonts w:cstheme="minorHAnsi"/>
          <w:b/>
        </w:rPr>
        <w:t xml:space="preserve"> </w:t>
      </w:r>
    </w:p>
    <w:p w14:paraId="54D45A4C" w14:textId="5090A99E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>As garantias manuais surgem como um mecanismo de registo das responsabilidades e cauções/processos, que, por limitações técnicas ou operacionais, não podem ser processadas automaticamente pelos sistemas</w:t>
      </w:r>
      <w:r w:rsidR="00CB0676" w:rsidRPr="002C7BE8">
        <w:rPr>
          <w:rFonts w:cstheme="minorHAnsi"/>
        </w:rPr>
        <w:t>origem</w:t>
      </w:r>
      <w:r w:rsidRPr="002C7BE8">
        <w:rPr>
          <w:rFonts w:cstheme="minorHAnsi"/>
        </w:rPr>
        <w:t xml:space="preserve">. Deste modo, assegura-se que os registos carregados no modelo estão devidamente alinhados com as informações provenientes </w:t>
      </w:r>
      <w:r w:rsidR="00CB0676" w:rsidRPr="002C7BE8">
        <w:rPr>
          <w:rFonts w:cstheme="minorHAnsi"/>
        </w:rPr>
        <w:t xml:space="preserve">das aplicações </w:t>
      </w:r>
      <w:r w:rsidRPr="002C7BE8">
        <w:rPr>
          <w:rFonts w:cstheme="minorHAnsi"/>
        </w:rPr>
        <w:t xml:space="preserve">, como </w:t>
      </w:r>
      <w:r w:rsidRPr="002C7BE8">
        <w:rPr>
          <w:rFonts w:cstheme="minorHAnsi"/>
          <w:i/>
        </w:rPr>
        <w:t>Sigom</w:t>
      </w:r>
      <w:r w:rsidRPr="002C7BE8">
        <w:rPr>
          <w:rFonts w:cstheme="minorHAnsi"/>
        </w:rPr>
        <w:t xml:space="preserve">, através de um processo de associação manual.  </w:t>
      </w:r>
    </w:p>
    <w:p w14:paraId="43822ABE" w14:textId="3C2FE499" w:rsidR="00CB0676" w:rsidRPr="002C7BE8" w:rsidRDefault="00A61585" w:rsidP="00CB0676">
      <w:pPr>
        <w:jc w:val="both"/>
      </w:pPr>
      <w:r w:rsidRPr="002C7BE8">
        <w:t>Atualmente, o modelo de garantias</w:t>
      </w:r>
      <w:r w:rsidR="00CB0676" w:rsidRPr="002C7BE8">
        <w:t xml:space="preserve"> está preparado apenas para parametrizar manualmente garantias associadas a registos provenientes das cauções (CS). Na eventualidade de ausência de ligação direta entre as aplicações das responsabilidades e a aplicação de Cauções (CS) que, a existir são situações muito pontuais,</w:t>
      </w:r>
      <w:r w:rsidRPr="002C7BE8">
        <w:t xml:space="preserve"> são necessárias validações adicionais e intervenções manuais para garantir a</w:t>
      </w:r>
      <w:r w:rsidR="00CB0676" w:rsidRPr="002C7BE8">
        <w:t xml:space="preserve"> associação correta da responsabilidade à garantia.</w:t>
      </w:r>
      <w:r w:rsidRPr="002C7BE8">
        <w:t xml:space="preserve"> Nesse sentido, todas as combinações entre responsabilidades e cauções/processos estão devidamente refletidas no</w:t>
      </w:r>
      <w:r w:rsidR="00DF3674" w:rsidRPr="002C7BE8">
        <w:t xml:space="preserve"> </w:t>
      </w:r>
      <w:r w:rsidR="00CB0676" w:rsidRPr="002C7BE8">
        <w:t>modelo de garantias.</w:t>
      </w:r>
      <w:r w:rsidRPr="002C7BE8">
        <w:t>.</w:t>
      </w:r>
    </w:p>
    <w:p w14:paraId="2969EAF6" w14:textId="52DE7B60" w:rsidR="00CB0676" w:rsidRPr="002C7BE8" w:rsidRDefault="00A61585" w:rsidP="00B83F08">
      <w:pPr>
        <w:jc w:val="both"/>
        <w:rPr>
          <w:rFonts w:cstheme="minorHAnsi"/>
          <w:strike/>
        </w:rPr>
      </w:pPr>
      <w:r w:rsidRPr="002C7BE8">
        <w:t xml:space="preserve">É através da tabela de parametrização </w:t>
      </w:r>
      <w:r w:rsidRPr="002C7BE8">
        <w:rPr>
          <w:i/>
        </w:rPr>
        <w:t xml:space="preserve">cd_garantias.gt801_gar_manuais </w:t>
      </w:r>
      <w:r w:rsidRPr="002C7BE8">
        <w:t>que é realizada a transformação da chave da responsabilidade proveniente das aplicações CS</w:t>
      </w:r>
      <w:r w:rsidR="00CB0676" w:rsidRPr="002C7BE8">
        <w:t xml:space="preserve"> (tabela </w:t>
      </w:r>
      <w:r w:rsidR="00CB0676" w:rsidRPr="002C7BE8">
        <w:rPr>
          <w:rFonts w:cstheme="minorHAnsi"/>
          <w:i/>
        </w:rPr>
        <w:t>cd_garantias.cst05_relcsrsp)</w:t>
      </w:r>
      <w:r w:rsidR="00CB0676" w:rsidRPr="002C7BE8">
        <w:t xml:space="preserve"> </w:t>
      </w:r>
      <w:r w:rsidRPr="002C7BE8">
        <w:t xml:space="preserve"> para a chave do modelo. Esta transformação é fundamental para garantir a correta associação das responsabilidades às cauções/processos, permitindo que o</w:t>
      </w:r>
      <w:r w:rsidR="00CB0676" w:rsidRPr="002C7BE8">
        <w:t xml:space="preserve"> modelo de garantias informe corretamente a responsabilidade que deve beneficiar da garantia. </w:t>
      </w:r>
    </w:p>
    <w:p w14:paraId="75940DAC" w14:textId="286B76C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 xml:space="preserve">As garantias manuais podem estra associadas a diferentes tipologias, sendo que, </w:t>
      </w:r>
      <w:r w:rsidR="00CB0676" w:rsidRPr="002C7BE8">
        <w:rPr>
          <w:rFonts w:cstheme="minorHAnsi"/>
        </w:rPr>
        <w:t>até à data esta funcionalidade tem sido utilizada apenas para garantias aplicadas a responsabilidades SIGOM.</w:t>
      </w:r>
      <w:r w:rsidR="00CB0676" w:rsidRPr="002C7BE8" w:rsidDel="00CB0676">
        <w:rPr>
          <w:rFonts w:cstheme="minorHAnsi"/>
        </w:rPr>
        <w:t xml:space="preserve"> </w:t>
      </w:r>
    </w:p>
    <w:p w14:paraId="4BDD7A71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 xml:space="preserve">As garantias manuais também são selecionadas para o modelo de acordo com determinadas regras de elegibilidade de acordo com os princípios funcionais descritos no capítulo 2.2.3., deste documento. </w:t>
      </w:r>
    </w:p>
    <w:p w14:paraId="0AAF1DBE" w14:textId="06D35DC0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>Contudo, importa salientar que, e dado todo o processo, está previsto ser um sistema gradualmente descontinuado, eliminando a necessidade de intervenção manual das áreas de negócio, passando a ter capacidade de carregar diretamente os registos com a chave correta</w:t>
      </w:r>
      <w:r w:rsidR="00CB0676" w:rsidRPr="002C7BE8">
        <w:rPr>
          <w:rFonts w:cstheme="minorHAnsi"/>
        </w:rPr>
        <w:t xml:space="preserve"> diretamente na origem (aplicação CS).</w:t>
      </w:r>
    </w:p>
    <w:p w14:paraId="7B14A995" w14:textId="77777777" w:rsidR="00A61585" w:rsidRPr="002C7BE8" w:rsidRDefault="00A61585" w:rsidP="00B83F08">
      <w:pPr>
        <w:jc w:val="both"/>
        <w:rPr>
          <w:rFonts w:cstheme="minorHAnsi"/>
        </w:rPr>
      </w:pPr>
    </w:p>
    <w:p w14:paraId="62BAB5BC" w14:textId="77777777" w:rsidR="00A61585" w:rsidRPr="002C7BE8" w:rsidRDefault="00A61585" w:rsidP="00B83F08">
      <w:pPr>
        <w:pStyle w:val="Heading5"/>
        <w:numPr>
          <w:ilvl w:val="0"/>
          <w:numId w:val="0"/>
        </w:numPr>
        <w:tabs>
          <w:tab w:val="left" w:pos="3612"/>
        </w:tabs>
        <w:rPr>
          <w:rFonts w:asciiTheme="minorHAnsi" w:eastAsiaTheme="minorHAnsi" w:hAnsiTheme="minorHAnsi" w:cstheme="minorHAnsi"/>
          <w:b w:val="0"/>
          <w:sz w:val="22"/>
          <w:szCs w:val="22"/>
          <w:lang w:eastAsia="en-US"/>
        </w:rPr>
      </w:pPr>
    </w:p>
    <w:p w14:paraId="2FDAC9D6" w14:textId="77777777" w:rsidR="00A61585" w:rsidRPr="002C7BE8" w:rsidRDefault="00A61585" w:rsidP="00B83F08">
      <w:pPr>
        <w:jc w:val="both"/>
      </w:pPr>
    </w:p>
    <w:p w14:paraId="6D9ABEA8" w14:textId="297939A4" w:rsidR="00A61585" w:rsidRPr="002C7BE8" w:rsidRDefault="00A61585" w:rsidP="00B83F08">
      <w:pPr>
        <w:pStyle w:val="Heading5"/>
        <w:numPr>
          <w:ilvl w:val="0"/>
          <w:numId w:val="0"/>
        </w:numPr>
        <w:rPr>
          <w:rFonts w:asciiTheme="minorHAnsi" w:hAnsiTheme="minorHAnsi" w:cstheme="minorHAnsi"/>
          <w:i/>
          <w:sz w:val="28"/>
          <w:szCs w:val="22"/>
        </w:rPr>
      </w:pPr>
      <w:r w:rsidRPr="002C7BE8">
        <w:rPr>
          <w:rFonts w:asciiTheme="minorHAnsi" w:hAnsiTheme="minorHAnsi" w:cstheme="minorHAnsi"/>
          <w:sz w:val="28"/>
          <w:szCs w:val="22"/>
        </w:rPr>
        <w:t xml:space="preserve">Tabela de parametrização de universo: </w:t>
      </w:r>
      <w:r w:rsidRPr="002C7BE8">
        <w:rPr>
          <w:rFonts w:asciiTheme="minorHAnsi" w:hAnsiTheme="minorHAnsi" w:cstheme="minorHAnsi"/>
          <w:i/>
          <w:sz w:val="28"/>
          <w:szCs w:val="22"/>
        </w:rPr>
        <w:t>cd_garantias.gt801_gar_manuais</w:t>
      </w:r>
    </w:p>
    <w:p w14:paraId="6491206D" w14:textId="77777777" w:rsidR="00A61585" w:rsidRPr="002C7BE8" w:rsidRDefault="00A61585" w:rsidP="00B83F08">
      <w:pPr>
        <w:pStyle w:val="Heading6"/>
        <w:numPr>
          <w:ilvl w:val="0"/>
          <w:numId w:val="0"/>
        </w:numPr>
        <w:ind w:left="1440" w:hanging="1440"/>
        <w:rPr>
          <w:rFonts w:asciiTheme="minorHAnsi" w:hAnsiTheme="minorHAnsi" w:cstheme="minorHAnsi"/>
          <w:szCs w:val="22"/>
        </w:rPr>
      </w:pPr>
      <w:r w:rsidRPr="002C7BE8">
        <w:rPr>
          <w:rFonts w:asciiTheme="minorHAnsi" w:hAnsiTheme="minorHAnsi" w:cstheme="minorHAnsi"/>
          <w:szCs w:val="22"/>
        </w:rPr>
        <w:t xml:space="preserve">Visão Geral </w:t>
      </w:r>
    </w:p>
    <w:p w14:paraId="2E95D6EE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t xml:space="preserve">A tabela de parametrização </w:t>
      </w:r>
      <w:r w:rsidRPr="002C7BE8">
        <w:rPr>
          <w:i/>
        </w:rPr>
        <w:t xml:space="preserve">cd_garantias.gt801_gar_manuais </w:t>
      </w:r>
      <w:r w:rsidRPr="002C7BE8">
        <w:t>permite assegura a transformação da chave da responsabilidade proveniente das aplicações CS para a chave do modelo. De forma a garantir a correta associação das responsabilidades às cauções/processos.</w:t>
      </w:r>
    </w:p>
    <w:p w14:paraId="4563406D" w14:textId="0415AF74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 xml:space="preserve">Os campos da tabela de parametrização </w:t>
      </w:r>
      <w:r w:rsidRPr="002C7BE8">
        <w:rPr>
          <w:rFonts w:cstheme="minorHAnsi"/>
          <w:i/>
        </w:rPr>
        <w:t xml:space="preserve">cd_garantias.gt801_gar_manuais </w:t>
      </w:r>
      <w:r w:rsidRPr="002C7BE8">
        <w:rPr>
          <w:rFonts w:cstheme="minorHAnsi"/>
        </w:rPr>
        <w:t>correspondem a todas as combinações responsabilidade-cauções/processos provenientes da origem</w:t>
      </w:r>
      <w:r w:rsidR="00CB0676" w:rsidRPr="002C7BE8">
        <w:rPr>
          <w:rFonts w:cstheme="minorHAnsi"/>
        </w:rPr>
        <w:t xml:space="preserve"> (cauções) e as respetivas responsabilidades destino </w:t>
      </w:r>
      <w:r w:rsidRPr="002C7BE8">
        <w:rPr>
          <w:rFonts w:cstheme="minorHAnsi"/>
        </w:rPr>
        <w:t>(modelo de garantias). Neste sentido, a tabela funciona como um tradutor de chaves essencial para facilitar a rastreabilidade das chaves das garantias manuais.  As chaves das responsabilidades do MUG terminam em “</w:t>
      </w:r>
      <w:r w:rsidRPr="002C7BE8">
        <w:rPr>
          <w:rFonts w:cstheme="minorHAnsi"/>
          <w:i/>
        </w:rPr>
        <w:t xml:space="preserve">_dest” </w:t>
      </w:r>
      <w:r w:rsidRPr="002C7BE8">
        <w:rPr>
          <w:rFonts w:cstheme="minorHAnsi"/>
        </w:rPr>
        <w:t>(‘cempresp_dest’, ‘ckbalres_dest’, ‘ckctares_dest’, ‘ckrefresp_dest’), e os campos da</w:t>
      </w:r>
      <w:r w:rsidR="00CB0676" w:rsidRPr="002C7BE8">
        <w:rPr>
          <w:rFonts w:cstheme="minorHAnsi"/>
        </w:rPr>
        <w:t xml:space="preserve"> responsabilidade</w:t>
      </w:r>
      <w:r w:rsidRPr="002C7BE8">
        <w:rPr>
          <w:rFonts w:cstheme="minorHAnsi"/>
        </w:rPr>
        <w:t xml:space="preserve"> origem apresentam-se com “</w:t>
      </w:r>
      <w:r w:rsidRPr="002C7BE8">
        <w:rPr>
          <w:rFonts w:cstheme="minorHAnsi"/>
          <w:i/>
        </w:rPr>
        <w:t>_orig”</w:t>
      </w:r>
      <w:r w:rsidRPr="002C7BE8">
        <w:rPr>
          <w:rFonts w:cstheme="minorHAnsi"/>
        </w:rPr>
        <w:t xml:space="preserve"> (‘ckbalres_orig’, ‘ckctares_orig’, ‘ckrefresp_orig’). Além destes campos, na tabela é indicada a chave </w:t>
      </w:r>
      <w:r w:rsidRPr="002C7BE8">
        <w:rPr>
          <w:rFonts w:cstheme="minorHAnsi"/>
        </w:rPr>
        <w:lastRenderedPageBreak/>
        <w:t xml:space="preserve">da caução/processo </w:t>
      </w:r>
      <w:r w:rsidR="00CB0676" w:rsidRPr="002C7BE8">
        <w:rPr>
          <w:rFonts w:cstheme="minorHAnsi"/>
        </w:rPr>
        <w:t xml:space="preserve">origem </w:t>
      </w:r>
      <w:r w:rsidRPr="002C7BE8">
        <w:rPr>
          <w:rFonts w:cstheme="minorHAnsi"/>
        </w:rPr>
        <w:t xml:space="preserve">(‘ckbalcao’, ‘cknumcta’, ‘zcaucao’), bem como o número de identificação do cliente titular </w:t>
      </w:r>
      <w:r w:rsidR="00CB0676" w:rsidRPr="002C7BE8">
        <w:rPr>
          <w:rFonts w:cstheme="minorHAnsi"/>
        </w:rPr>
        <w:t>da responsabilidade destino</w:t>
      </w:r>
      <w:r w:rsidRPr="002C7BE8">
        <w:rPr>
          <w:rFonts w:cstheme="minorHAnsi"/>
        </w:rPr>
        <w:t xml:space="preserve"> (‘zcliente_tit’). </w:t>
      </w:r>
    </w:p>
    <w:p w14:paraId="49FC990D" w14:textId="77777777" w:rsidR="00CB0676" w:rsidRPr="002C7BE8" w:rsidRDefault="00CB0676" w:rsidP="00CB0676">
      <w:pPr>
        <w:pStyle w:val="Default"/>
        <w:rPr>
          <w:rFonts w:cstheme="minorHAnsi"/>
          <w:sz w:val="22"/>
          <w:szCs w:val="22"/>
        </w:rPr>
      </w:pPr>
      <w:r w:rsidRPr="002C7BE8">
        <w:rPr>
          <w:rFonts w:asciiTheme="minorHAnsi" w:hAnsiTheme="minorHAnsi" w:cstheme="minorHAnsi"/>
          <w:sz w:val="22"/>
          <w:szCs w:val="22"/>
        </w:rPr>
        <w:t xml:space="preserve">A transformação da chave da responsabilidade origem para a chave da responsabilidade destino depende do preenchimento dos campos </w:t>
      </w:r>
      <w:r w:rsidRPr="002C7BE8">
        <w:rPr>
          <w:rFonts w:cstheme="minorHAnsi"/>
          <w:sz w:val="22"/>
          <w:szCs w:val="22"/>
        </w:rPr>
        <w:t>‘cempresp_dest’, ‘ckbalres_dest’, ‘ckctares_dest’, ‘ckrefresp_dest’, ‘zcliente_tit’</w:t>
      </w:r>
      <w:r w:rsidRPr="002C7BE8">
        <w:rPr>
          <w:rFonts w:cstheme="minorHAnsi"/>
        </w:rPr>
        <w:t xml:space="preserve">. </w:t>
      </w:r>
      <w:r w:rsidRPr="002C7BE8">
        <w:rPr>
          <w:rFonts w:cstheme="minorHAnsi"/>
          <w:sz w:val="22"/>
          <w:szCs w:val="22"/>
        </w:rPr>
        <w:t xml:space="preserve">Apenas os campos que estiverem preenchidos, são considerados no cruzamento posterior com as tabelas </w:t>
      </w:r>
      <w:r w:rsidRPr="002C7BE8">
        <w:rPr>
          <w:rFonts w:cstheme="minorHAnsi"/>
          <w:i/>
          <w:iCs/>
          <w:sz w:val="22"/>
          <w:szCs w:val="22"/>
        </w:rPr>
        <w:t>c</w:t>
      </w:r>
      <w:r w:rsidRPr="002C7BE8">
        <w:rPr>
          <w:i/>
          <w:iCs/>
          <w:sz w:val="22"/>
          <w:szCs w:val="22"/>
        </w:rPr>
        <w:t>d_clientes.cl001_interv_cto</w:t>
      </w:r>
      <w:r w:rsidRPr="002C7BE8">
        <w:rPr>
          <w:rFonts w:asciiTheme="minorHAnsi" w:hAnsiTheme="minorHAnsi" w:cstheme="minorHAnsi"/>
          <w:sz w:val="22"/>
          <w:szCs w:val="22"/>
        </w:rPr>
        <w:t xml:space="preserve">  e </w:t>
      </w:r>
      <w:r w:rsidRPr="002C7BE8">
        <w:rPr>
          <w:rFonts w:cstheme="minorHAnsi"/>
          <w:i/>
          <w:iCs/>
          <w:sz w:val="22"/>
          <w:szCs w:val="22"/>
        </w:rPr>
        <w:t>c</w:t>
      </w:r>
      <w:r w:rsidRPr="002C7BE8">
        <w:rPr>
          <w:i/>
          <w:iCs/>
          <w:sz w:val="22"/>
          <w:szCs w:val="22"/>
        </w:rPr>
        <w:t>d_captools.carteiras</w:t>
      </w:r>
      <w:r w:rsidRPr="002C7BE8">
        <w:rPr>
          <w:sz w:val="22"/>
          <w:szCs w:val="22"/>
        </w:rPr>
        <w:t xml:space="preserve"> ( através dos respetivsos campos </w:t>
      </w:r>
      <w:r w:rsidRPr="002C7BE8">
        <w:rPr>
          <w:rFonts w:cstheme="minorHAnsi"/>
          <w:sz w:val="22"/>
          <w:szCs w:val="22"/>
        </w:rPr>
        <w:t>‘cempresa’, ‘cbalcao’, ‘cnumcta’, ‘zdeposit’, ‘zcliente’)</w:t>
      </w:r>
      <w:r w:rsidRPr="002C7BE8">
        <w:rPr>
          <w:sz w:val="22"/>
          <w:szCs w:val="22"/>
        </w:rPr>
        <w:t xml:space="preserve">. Sempre que a combinação de campos preenchidos da gt801 existir nas tabelas mencionadas, significa que a responsabilidade destino existe no sistema do banco. Uma vez validada a existência, da responsabilidade destino e verificadas as validações descritas no capitulo </w:t>
      </w:r>
      <w:r w:rsidRPr="002C7BE8">
        <w:rPr>
          <w:rFonts w:cstheme="minorHAnsi"/>
          <w:sz w:val="22"/>
          <w:szCs w:val="22"/>
        </w:rPr>
        <w:t>2.2.3 deste documento</w:t>
      </w:r>
      <w:r w:rsidRPr="002C7BE8">
        <w:rPr>
          <w:sz w:val="22"/>
          <w:szCs w:val="22"/>
        </w:rPr>
        <w:t>, o registo parametrizado manualmente é elegível para efeitos do modelo de garantias e é inserido no modelo base, nomeadamente, na tabela</w:t>
      </w:r>
      <w:r w:rsidRPr="002C7BE8">
        <w:rPr>
          <w:i/>
          <w:iCs/>
          <w:sz w:val="22"/>
          <w:szCs w:val="22"/>
        </w:rPr>
        <w:t xml:space="preserve"> cd_garantias.gt001_trz_rsp_gt</w:t>
      </w:r>
      <w:r w:rsidRPr="002C7BE8">
        <w:rPr>
          <w:sz w:val="22"/>
          <w:szCs w:val="22"/>
        </w:rPr>
        <w:t xml:space="preserve">. No caso de existirem campos da responsabilidade destino a vazio na parametrização manual (tabela gt801), estes são preenchidos na tabela </w:t>
      </w:r>
      <w:r w:rsidRPr="002C7BE8">
        <w:rPr>
          <w:i/>
          <w:iCs/>
          <w:sz w:val="22"/>
          <w:szCs w:val="22"/>
        </w:rPr>
        <w:t>cd_garantias.gt001_trz_rsp_gt</w:t>
      </w:r>
      <w:r w:rsidRPr="002C7BE8">
        <w:rPr>
          <w:sz w:val="22"/>
          <w:szCs w:val="22"/>
        </w:rPr>
        <w:t xml:space="preserve"> com a informação proveniente das tabelas </w:t>
      </w:r>
      <w:r w:rsidRPr="002C7BE8">
        <w:rPr>
          <w:rFonts w:cstheme="minorHAnsi"/>
          <w:i/>
          <w:iCs/>
          <w:sz w:val="22"/>
          <w:szCs w:val="22"/>
        </w:rPr>
        <w:t>c</w:t>
      </w:r>
      <w:r w:rsidRPr="002C7BE8">
        <w:rPr>
          <w:i/>
          <w:iCs/>
          <w:sz w:val="22"/>
          <w:szCs w:val="22"/>
        </w:rPr>
        <w:t>d_clientes.cl001_interv_cto</w:t>
      </w:r>
      <w:r w:rsidRPr="002C7BE8">
        <w:rPr>
          <w:rFonts w:asciiTheme="minorHAnsi" w:hAnsiTheme="minorHAnsi" w:cstheme="minorHAnsi"/>
          <w:sz w:val="22"/>
          <w:szCs w:val="22"/>
        </w:rPr>
        <w:t xml:space="preserve">  </w:t>
      </w:r>
      <w:r w:rsidRPr="002C7BE8">
        <w:rPr>
          <w:sz w:val="22"/>
          <w:szCs w:val="22"/>
        </w:rPr>
        <w:t xml:space="preserve">ou  </w:t>
      </w:r>
      <w:r w:rsidRPr="002C7BE8">
        <w:rPr>
          <w:rFonts w:cstheme="minorHAnsi"/>
          <w:i/>
          <w:iCs/>
          <w:sz w:val="22"/>
          <w:szCs w:val="22"/>
        </w:rPr>
        <w:t>c</w:t>
      </w:r>
      <w:r w:rsidRPr="002C7BE8">
        <w:rPr>
          <w:i/>
          <w:iCs/>
          <w:sz w:val="22"/>
          <w:szCs w:val="22"/>
        </w:rPr>
        <w:t>d_captools.carteiras</w:t>
      </w:r>
      <w:r w:rsidRPr="002C7BE8">
        <w:rPr>
          <w:sz w:val="22"/>
          <w:szCs w:val="22"/>
        </w:rPr>
        <w:t xml:space="preserve"> (dependendo da tabela onde a responsabilidade destino estiver informada). </w:t>
      </w:r>
    </w:p>
    <w:p w14:paraId="7A885220" w14:textId="77777777" w:rsidR="00CB0676" w:rsidRPr="002C7BE8" w:rsidRDefault="00CB0676" w:rsidP="00CB0676">
      <w:pPr>
        <w:pStyle w:val="Default"/>
      </w:pPr>
    </w:p>
    <w:p w14:paraId="5AC37DA0" w14:textId="4F63AC65" w:rsidR="00CB0676" w:rsidRPr="002C7BE8" w:rsidRDefault="00CB0676" w:rsidP="00CB0676">
      <w:pPr>
        <w:jc w:val="both"/>
        <w:rPr>
          <w:rFonts w:cstheme="minorHAnsi"/>
        </w:rPr>
      </w:pPr>
      <w:r w:rsidRPr="002C7BE8">
        <w:rPr>
          <w:rFonts w:cstheme="minorHAnsi"/>
        </w:rPr>
        <w:t>É importante destacar o papel do campo ‘zcliente_tit’ na associação da responsabilidade destino à responsabilidade e caução origem. Conforme descrito no paragráfo anteririor, a existência da chave destino depende do preenchimento dos campos que terminam em “</w:t>
      </w:r>
      <w:r w:rsidRPr="002C7BE8">
        <w:rPr>
          <w:rFonts w:cstheme="minorHAnsi"/>
          <w:i/>
        </w:rPr>
        <w:t xml:space="preserve">_dest” </w:t>
      </w:r>
      <w:r w:rsidRPr="002C7BE8">
        <w:rPr>
          <w:rFonts w:cstheme="minorHAnsi"/>
          <w:iCs/>
        </w:rPr>
        <w:t>e do preenchimento do campo ‘</w:t>
      </w:r>
      <w:r w:rsidRPr="002C7BE8">
        <w:rPr>
          <w:rFonts w:cstheme="minorHAnsi"/>
        </w:rPr>
        <w:t>zcliente_tit’. Geralmente, o campo ‘zcliente_tit’ é utilizado quando o campo ‘ckrefresp_dest’ da chave destino é variável, pelo que permanece a vazio na parametrização manual para não se fixar um valor específico. Esta característica é aplicável essencialmente a responsabilidades de Papel Comercial, uma vez que as cauções são criadas no sistema especificamente para cada programa e emitente. Deste modo, a parametrização manual possibilita a ligação entre a responsabilidade-caução origem com a chave do respetivo programa de papel comercial</w:t>
      </w:r>
      <w:bookmarkStart w:id="0" w:name="_GoBack"/>
      <w:bookmarkEnd w:id="0"/>
      <w:r w:rsidRPr="002C7BE8">
        <w:rPr>
          <w:rFonts w:cstheme="minorHAnsi"/>
        </w:rPr>
        <w:t xml:space="preserve"> e emitente. Para este efeito, os campos ‘cempresp_dest’, ‘ckbalres_dest’ e ‘ckctares_dest’ são preenchidos com iformação do programa, assim como, o campo </w:t>
      </w:r>
      <w:r w:rsidRPr="002C7BE8">
        <w:rPr>
          <w:rFonts w:cstheme="minorHAnsi"/>
          <w:iCs/>
        </w:rPr>
        <w:t>‘</w:t>
      </w:r>
      <w:r w:rsidRPr="002C7BE8">
        <w:rPr>
          <w:rFonts w:cstheme="minorHAnsi"/>
        </w:rPr>
        <w:t xml:space="preserve">zcliente_tit’ é preenchido com informação do emitente. Reltivamente ao campo ‘ckrefresp_dest’, este permanece a vazio uma vez que pode tomar mais do que um valor dependendo do prgrama e do emitente. Considerando responsabilidades de papel comercial, o campo ‘ckrefresp_dest’ apresenta valores diferentes para cada saque e para a linha disponível. Um cliente que tenha pelo menos um saque e ainda tenha uma linha disponnível terá mais do que um ckrefresp_dest, que poderá mudar diariamente dependendo da utilização da linha disponível pelo cliente emitente. </w:t>
      </w:r>
    </w:p>
    <w:p w14:paraId="18B74176" w14:textId="77777777" w:rsidR="00CB0676" w:rsidRPr="002C7BE8" w:rsidRDefault="00CB0676" w:rsidP="00CB0676">
      <w:pPr>
        <w:jc w:val="both"/>
        <w:rPr>
          <w:rFonts w:cstheme="minorHAnsi"/>
        </w:rPr>
      </w:pPr>
      <w:r w:rsidRPr="002C7BE8">
        <w:rPr>
          <w:rFonts w:cstheme="minorHAnsi"/>
        </w:rPr>
        <w:t>Não obstante, os campos da responsabilidade destino (‘cempresp_dest’, ‘ckbalres_dest’, ‘ckctares_dest’, ‘ckrefresp_dest’) devem ser preenchidos sempre que possivel, para identificar a responsabilidade correta de forma precisa. Apenas devem ser parametrizados campos a vazio em casos muito pantuias como o exemplo do produto de papel comercial descrito acima.</w:t>
      </w:r>
    </w:p>
    <w:p w14:paraId="2547656D" w14:textId="51C4F035" w:rsidR="00CB0676" w:rsidRPr="002C7BE8" w:rsidRDefault="00CB0676" w:rsidP="00B83F08">
      <w:pPr>
        <w:jc w:val="both"/>
        <w:rPr>
          <w:rFonts w:cstheme="minorHAnsi"/>
        </w:rPr>
      </w:pPr>
    </w:p>
    <w:p w14:paraId="0B401266" w14:textId="77777777" w:rsidR="00CB0676" w:rsidRPr="002C7BE8" w:rsidRDefault="00CB0676" w:rsidP="00B83F08">
      <w:pPr>
        <w:jc w:val="both"/>
        <w:rPr>
          <w:rFonts w:cstheme="minorHAnsi"/>
        </w:rPr>
      </w:pPr>
    </w:p>
    <w:p w14:paraId="2BECDA09" w14:textId="77777777" w:rsidR="00A61585" w:rsidRPr="002C7BE8" w:rsidRDefault="00A61585" w:rsidP="00B83F08">
      <w:pPr>
        <w:pStyle w:val="Heading6"/>
        <w:numPr>
          <w:ilvl w:val="0"/>
          <w:numId w:val="0"/>
        </w:numPr>
        <w:rPr>
          <w:rFonts w:asciiTheme="minorHAnsi" w:hAnsiTheme="minorHAnsi" w:cstheme="minorHAnsi"/>
          <w:szCs w:val="22"/>
        </w:rPr>
      </w:pPr>
      <w:r w:rsidRPr="002C7BE8">
        <w:rPr>
          <w:rFonts w:asciiTheme="minorHAnsi" w:hAnsiTheme="minorHAnsi" w:cstheme="minorHAnsi"/>
          <w:szCs w:val="22"/>
        </w:rPr>
        <w:t>Periodicidade</w:t>
      </w:r>
    </w:p>
    <w:p w14:paraId="38756256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 xml:space="preserve">A tabela </w:t>
      </w:r>
      <w:r w:rsidRPr="002C7BE8">
        <w:rPr>
          <w:rFonts w:cstheme="minorHAnsi"/>
          <w:i/>
        </w:rPr>
        <w:t xml:space="preserve">cd_garantias.gt801_gar_manuais </w:t>
      </w:r>
      <w:r w:rsidRPr="002C7BE8">
        <w:rPr>
          <w:rFonts w:cstheme="minorHAnsi"/>
        </w:rPr>
        <w:t xml:space="preserve">é diária e gerada automaticamente em todos os dias úteis do mês, a partir do </w:t>
      </w:r>
      <w:r w:rsidRPr="002C7BE8">
        <w:rPr>
          <w:rFonts w:cstheme="minorHAnsi"/>
          <w:i/>
        </w:rPr>
        <w:t>Front do Data Lake</w:t>
      </w:r>
      <w:r w:rsidRPr="002C7BE8">
        <w:rPr>
          <w:rFonts w:cstheme="minorHAnsi"/>
        </w:rPr>
        <w:t xml:space="preserve">. No caso do último dia do mês não ser um dia útil, o modelo gera uma cópia do último dia útil e atribui-lhe a partição de último dia de calendário do mês. A título de exemplo, se o dia 31 de um mês é um sábado, o MUG cria uma cópia do dia 30 (último dia útil) e atribui-lhe a ‘ref_date’ do dia 31. </w:t>
      </w:r>
    </w:p>
    <w:p w14:paraId="0A4A59A2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lastRenderedPageBreak/>
        <w:t xml:space="preserve">Só se devem considerar como oficiais os valores constantes nesta tabela desde, e incluindo, 31 dezembro 2022. </w:t>
      </w:r>
    </w:p>
    <w:p w14:paraId="615D4DE7" w14:textId="77777777" w:rsidR="00A61585" w:rsidRPr="002C7BE8" w:rsidRDefault="00A61585" w:rsidP="00B83F08">
      <w:pPr>
        <w:jc w:val="both"/>
        <w:rPr>
          <w:rFonts w:cstheme="minorHAnsi"/>
        </w:rPr>
      </w:pPr>
    </w:p>
    <w:p w14:paraId="53827DA5" w14:textId="77777777" w:rsidR="00A61585" w:rsidRPr="002C7BE8" w:rsidRDefault="00A61585" w:rsidP="00B83F08">
      <w:pPr>
        <w:pStyle w:val="Heading6"/>
        <w:numPr>
          <w:ilvl w:val="0"/>
          <w:numId w:val="0"/>
        </w:numPr>
        <w:rPr>
          <w:rFonts w:asciiTheme="minorHAnsi" w:hAnsiTheme="minorHAnsi" w:cstheme="minorHAnsi"/>
          <w:szCs w:val="22"/>
        </w:rPr>
      </w:pPr>
      <w:r w:rsidRPr="002C7BE8">
        <w:rPr>
          <w:rFonts w:asciiTheme="minorHAnsi" w:hAnsiTheme="minorHAnsi" w:cstheme="minorHAnsi"/>
          <w:szCs w:val="22"/>
        </w:rPr>
        <w:t xml:space="preserve">Aprovisionamento </w:t>
      </w:r>
    </w:p>
    <w:p w14:paraId="501AFDE7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 xml:space="preserve">O aprovisionamento da tabela </w:t>
      </w:r>
      <w:r w:rsidRPr="002C7BE8">
        <w:rPr>
          <w:rFonts w:cstheme="minorHAnsi"/>
          <w:i/>
        </w:rPr>
        <w:t xml:space="preserve">cd_garantias.gt801_gar_manuais </w:t>
      </w:r>
      <w:r w:rsidRPr="002C7BE8">
        <w:rPr>
          <w:rFonts w:cstheme="minorHAnsi"/>
        </w:rPr>
        <w:t xml:space="preserve">é manual e responsabilidade da equipa CDO. A parametrização dos motores dos vários módulos é acessível no </w:t>
      </w:r>
      <w:r w:rsidRPr="002C7BE8">
        <w:rPr>
          <w:rFonts w:cstheme="minorHAnsi"/>
          <w:i/>
        </w:rPr>
        <w:t>Front do Data Lake</w:t>
      </w:r>
      <w:r w:rsidRPr="002C7BE8">
        <w:rPr>
          <w:rFonts w:cstheme="minorHAnsi"/>
        </w:rPr>
        <w:t xml:space="preserve"> - conforme explicado no capítulo 3. do documento ‘</w:t>
      </w:r>
      <w:r w:rsidRPr="002C7BE8">
        <w:rPr>
          <w:rFonts w:cstheme="minorHAnsi"/>
          <w:i/>
        </w:rPr>
        <w:t>Data Lake Hub (Front do Data Lake)</w:t>
      </w:r>
      <w:r w:rsidRPr="002C7BE8">
        <w:rPr>
          <w:rFonts w:cstheme="minorHAnsi"/>
        </w:rPr>
        <w:t>’.</w:t>
      </w:r>
    </w:p>
    <w:p w14:paraId="368B7464" w14:textId="77777777" w:rsidR="00A61585" w:rsidRPr="002C7BE8" w:rsidRDefault="00A61585" w:rsidP="00B83F08">
      <w:pPr>
        <w:spacing w:after="0"/>
        <w:jc w:val="both"/>
        <w:rPr>
          <w:rFonts w:cstheme="minorHAnsi"/>
        </w:rPr>
        <w:sectPr w:rsidR="00A61585" w:rsidRPr="002C7BE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cols w:space="720"/>
        </w:sectPr>
      </w:pPr>
    </w:p>
    <w:p w14:paraId="1EFCE244" w14:textId="77777777" w:rsidR="00A61585" w:rsidRPr="002C7BE8" w:rsidRDefault="00A61585" w:rsidP="00B83F08">
      <w:pPr>
        <w:pStyle w:val="Heading6"/>
        <w:numPr>
          <w:ilvl w:val="0"/>
          <w:numId w:val="0"/>
        </w:numPr>
        <w:rPr>
          <w:rFonts w:asciiTheme="minorHAnsi" w:hAnsiTheme="minorHAnsi" w:cstheme="minorHAnsi"/>
          <w:szCs w:val="22"/>
        </w:rPr>
      </w:pPr>
      <w:r w:rsidRPr="002C7BE8">
        <w:rPr>
          <w:rFonts w:asciiTheme="minorHAnsi" w:hAnsiTheme="minorHAnsi" w:cstheme="minorHAnsi"/>
          <w:szCs w:val="22"/>
        </w:rPr>
        <w:lastRenderedPageBreak/>
        <w:t xml:space="preserve">Detalhe dos Campos </w:t>
      </w:r>
    </w:p>
    <w:p w14:paraId="66811E8C" w14:textId="77777777" w:rsidR="00A61585" w:rsidRPr="002C7BE8" w:rsidRDefault="00A61585" w:rsidP="00B83F08">
      <w:pPr>
        <w:jc w:val="both"/>
        <w:rPr>
          <w:rFonts w:cstheme="minorHAnsi"/>
        </w:rPr>
      </w:pPr>
      <w:r w:rsidRPr="002C7BE8">
        <w:rPr>
          <w:rFonts w:cstheme="minorHAnsi"/>
        </w:rPr>
        <w:t xml:space="preserve">A tabela infra lista todos os campos da tabela </w:t>
      </w:r>
      <w:r w:rsidRPr="002C7BE8">
        <w:rPr>
          <w:rFonts w:cstheme="minorHAnsi"/>
          <w:i/>
        </w:rPr>
        <w:t>cd_garantias.gt801_gar_manuais</w:t>
      </w:r>
      <w:r w:rsidRPr="002C7BE8">
        <w:rPr>
          <w:rFonts w:cstheme="minorHAnsi"/>
        </w:rPr>
        <w:t xml:space="preserve">, bem como os respetivos significados, formato e, em caso de códigos, as respetivas descodificações e valores elegíveis. </w:t>
      </w:r>
    </w:p>
    <w:p w14:paraId="027DC485" w14:textId="77777777" w:rsidR="00A61585" w:rsidRPr="002C7BE8" w:rsidRDefault="00A61585" w:rsidP="00B83F08">
      <w:pPr>
        <w:jc w:val="both"/>
        <w:rPr>
          <w:rFonts w:cstheme="minorHAnsi"/>
        </w:rPr>
      </w:pP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3405"/>
        <w:gridCol w:w="7307"/>
        <w:gridCol w:w="1163"/>
        <w:gridCol w:w="2073"/>
      </w:tblGrid>
      <w:tr w:rsidR="00A61585" w:rsidRPr="002C7BE8" w14:paraId="244C79E6" w14:textId="77777777" w:rsidTr="00A61585">
        <w:trPr>
          <w:trHeight w:val="5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hideMark/>
          </w:tcPr>
          <w:p w14:paraId="2DE8C5C2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b/>
                <w:bCs/>
                <w:color w:val="FFFFFF"/>
              </w:rPr>
            </w:pPr>
            <w:r w:rsidRPr="002C7BE8">
              <w:rPr>
                <w:rFonts w:cstheme="minorHAnsi"/>
                <w:b/>
                <w:bCs/>
                <w:color w:val="FFFFFF"/>
              </w:rPr>
              <w:t>Chaves da tabela</w:t>
            </w:r>
            <w:r w:rsidRPr="002C7BE8">
              <w:rPr>
                <w:rFonts w:cstheme="minorHAnsi"/>
                <w:i/>
              </w:rPr>
              <w:t xml:space="preserve"> </w:t>
            </w:r>
            <w:r w:rsidRPr="002C7BE8">
              <w:rPr>
                <w:rFonts w:cstheme="minorHAnsi"/>
                <w:b/>
                <w:bCs/>
                <w:i/>
                <w:color w:val="FFFFFF"/>
              </w:rPr>
              <w:t>cd_garantias.gt801_gar_manuais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hideMark/>
          </w:tcPr>
          <w:p w14:paraId="55F77A18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b/>
                <w:bCs/>
                <w:color w:val="FFFFFF"/>
              </w:rPr>
            </w:pPr>
            <w:r w:rsidRPr="002C7BE8">
              <w:rPr>
                <w:rFonts w:cstheme="minorHAnsi"/>
                <w:b/>
                <w:bCs/>
                <w:color w:val="FFFFFF"/>
              </w:rPr>
              <w:t>Significado do campo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hideMark/>
          </w:tcPr>
          <w:p w14:paraId="1213DAAA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b/>
                <w:bCs/>
                <w:color w:val="FFFFFF"/>
              </w:rPr>
            </w:pPr>
            <w:r w:rsidRPr="002C7BE8">
              <w:rPr>
                <w:rFonts w:cstheme="minorHAnsi"/>
                <w:b/>
                <w:bCs/>
                <w:color w:val="FFFFFF"/>
              </w:rPr>
              <w:t>Formato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hideMark/>
          </w:tcPr>
          <w:p w14:paraId="1EB86D79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b/>
                <w:bCs/>
                <w:color w:val="FFFFFF"/>
              </w:rPr>
            </w:pPr>
            <w:r w:rsidRPr="002C7BE8">
              <w:rPr>
                <w:rFonts w:cstheme="minorHAnsi"/>
                <w:b/>
                <w:bCs/>
                <w:color w:val="FFFFFF"/>
              </w:rPr>
              <w:t xml:space="preserve">Tabela(s) com valores elegíveis </w:t>
            </w:r>
          </w:p>
        </w:tc>
      </w:tr>
      <w:tr w:rsidR="00A61585" w:rsidRPr="002C7BE8" w14:paraId="2568254E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3636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cempresp_dest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457E4C" w14:textId="7777777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Código da empresa da </w:t>
            </w:r>
            <w:r w:rsidRPr="002C7BE8">
              <w:rPr>
                <w:rFonts w:cstheme="minorHAnsi"/>
                <w:b/>
                <w:color w:val="000000"/>
              </w:rPr>
              <w:t>responsabilidade no MUG:</w:t>
            </w:r>
            <w:r w:rsidRPr="002C7BE8">
              <w:rPr>
                <w:rFonts w:cstheme="minorHAnsi"/>
                <w:color w:val="000000"/>
              </w:rPr>
              <w:t xml:space="preserve"> </w:t>
            </w:r>
          </w:p>
          <w:p w14:paraId="740B0ACA" w14:textId="77777777" w:rsidR="00A61585" w:rsidRPr="002C7BE8" w:rsidRDefault="00A61585" w:rsidP="00B83F08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Este campo integra a chave da responsabilidade, juntamente com os campos ‘ckbalres’, ‘ckctares’ e ‘ckrefresp’. </w:t>
            </w:r>
          </w:p>
          <w:p w14:paraId="66A9D7C6" w14:textId="77777777" w:rsidR="00A61585" w:rsidRPr="002C7BE8" w:rsidRDefault="00A61585" w:rsidP="00B83F08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Indica a entidade jurídica/ empresa operativa onde o contrato está registado. </w:t>
            </w:r>
          </w:p>
          <w:p w14:paraId="1CC7B274" w14:textId="77777777" w:rsidR="00A61585" w:rsidRPr="002C7BE8" w:rsidRDefault="00A61585" w:rsidP="00B83F08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Atualmente, e refletindo os dados nas origens, o modelo integra apenas responsabilidades da empresa operativa BST ('31') e da empresa operativa IFIC, que inclui essencialmente Factoring e Leasing ('89'). </w:t>
            </w:r>
          </w:p>
          <w:p w14:paraId="3415D8B8" w14:textId="77777777" w:rsidR="00A61585" w:rsidRPr="002C7BE8" w:rsidRDefault="00A61585" w:rsidP="00B83F08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Existem outros modelos de dados para além das ICs, em que este campo da responsabilidade corresponde ao campo ‘cempresa’ ou ao campo ‘cempcta’.</w:t>
            </w:r>
          </w:p>
          <w:p w14:paraId="4527D6BF" w14:textId="7777777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374D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645D9E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68400231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BEFF0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ckbalres_dest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0A0CD" w14:textId="7777777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Código do balcão da </w:t>
            </w:r>
            <w:r w:rsidRPr="002C7BE8">
              <w:rPr>
                <w:rFonts w:cstheme="minorHAnsi"/>
                <w:b/>
                <w:color w:val="000000"/>
              </w:rPr>
              <w:t>responsabilidade no MUG</w:t>
            </w:r>
            <w:r w:rsidRPr="002C7BE8">
              <w:rPr>
                <w:rFonts w:cstheme="minorHAnsi"/>
                <w:color w:val="000000"/>
              </w:rPr>
              <w:t>:</w:t>
            </w:r>
          </w:p>
          <w:p w14:paraId="2E85D7C7" w14:textId="77777777" w:rsidR="00A61585" w:rsidRPr="002C7BE8" w:rsidRDefault="00A61585" w:rsidP="00B83F08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Este campo, juntamente com o ‘cempresp’, ‘ckctares’ e ‘ckrefresp’, correspondem à chave única de cada responsabilidade de crédito no banco. </w:t>
            </w:r>
          </w:p>
          <w:p w14:paraId="5FB3B825" w14:textId="77777777" w:rsidR="00A61585" w:rsidRPr="002C7BE8" w:rsidRDefault="00A61585" w:rsidP="00B83F08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A chave é normalizada de acordo com as chaves contratuais da aplicação ICs da Contabilidade, com o ‘ckbalres’ a corresponder nesse modelo ao campo ‘cbalcao’.</w:t>
            </w:r>
          </w:p>
          <w:p w14:paraId="0CAC4EE4" w14:textId="77777777" w:rsidR="00A61585" w:rsidRPr="002C7BE8" w:rsidRDefault="00A61585" w:rsidP="00B83F08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Existem outros modelos de dados para além das ICs, em que este campo da responsabilidade corresponde ao campo ‘cbalcao’ ou ao campo ‘ckbalcao’.</w:t>
            </w:r>
          </w:p>
          <w:p w14:paraId="495B4670" w14:textId="77777777" w:rsidR="00A61585" w:rsidRPr="002C7BE8" w:rsidRDefault="00A61585" w:rsidP="00B83F08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Apesar da nomenclatura, este campo não corresponde ao balcão em que a responsabilidade está registada ou criada.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A06B6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04DA9" w14:textId="77777777" w:rsidR="00A61585" w:rsidRPr="002C7BE8" w:rsidRDefault="00A61585" w:rsidP="00B83F08">
            <w:pPr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66F5AB67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FBAC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ckctares_dest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E894" w14:textId="7777777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Número de conta da </w:t>
            </w:r>
            <w:r w:rsidRPr="002C7BE8">
              <w:rPr>
                <w:rFonts w:cstheme="minorHAnsi"/>
                <w:b/>
                <w:color w:val="000000"/>
              </w:rPr>
              <w:t>responsabilidade no MUG</w:t>
            </w:r>
            <w:r w:rsidRPr="002C7BE8">
              <w:rPr>
                <w:rFonts w:cstheme="minorHAnsi"/>
                <w:color w:val="000000"/>
              </w:rPr>
              <w:t>:</w:t>
            </w:r>
          </w:p>
          <w:p w14:paraId="1E5E293E" w14:textId="77777777" w:rsidR="00A61585" w:rsidRPr="002C7BE8" w:rsidRDefault="00A61585" w:rsidP="00B83F08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Este campo, juntamente com o ‘cempresp’, ‘ckbalres’ e ‘ckrefresp’, correspondem à chave única de cada responsabilidade de crédito no banco.</w:t>
            </w:r>
          </w:p>
          <w:p w14:paraId="1D610133" w14:textId="77777777" w:rsidR="00A61585" w:rsidRPr="002C7BE8" w:rsidRDefault="00A61585" w:rsidP="00B83F08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lastRenderedPageBreak/>
              <w:t xml:space="preserve">A chave é normalizada de acordo com as chaves contratuais da aplicação ICs da Contabilidade, com o ‘ckctares’ a corresponder nesse modelo ao campo ‘cnumecta’.  </w:t>
            </w:r>
          </w:p>
          <w:p w14:paraId="2D77B48E" w14:textId="77777777" w:rsidR="00A61585" w:rsidRPr="002C7BE8" w:rsidRDefault="00A61585" w:rsidP="00B83F08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Existem outros modelos de dados para além das ICs, em que este campo da responsabilidade corresponde ao campo ‘cnumecta’ ou ao campo ‘cknumcta’.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79CF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lastRenderedPageBreak/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8BEC50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  <w:lang w:val="en-US"/>
              </w:rPr>
            </w:pPr>
          </w:p>
        </w:tc>
      </w:tr>
      <w:tr w:rsidR="00A61585" w:rsidRPr="002C7BE8" w14:paraId="6F954E34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6F4C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ckrefresp_dest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B17D" w14:textId="7777777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Número depósito da </w:t>
            </w:r>
            <w:r w:rsidRPr="002C7BE8">
              <w:rPr>
                <w:rFonts w:cstheme="minorHAnsi"/>
                <w:b/>
                <w:color w:val="000000"/>
              </w:rPr>
              <w:t>responsabilidade no MUG</w:t>
            </w:r>
            <w:r w:rsidRPr="002C7BE8">
              <w:rPr>
                <w:rFonts w:cstheme="minorHAnsi"/>
                <w:color w:val="000000"/>
              </w:rPr>
              <w:t>:</w:t>
            </w:r>
          </w:p>
          <w:p w14:paraId="529D046A" w14:textId="77777777" w:rsidR="00A61585" w:rsidRPr="002C7BE8" w:rsidRDefault="00A61585" w:rsidP="00B83F08">
            <w:pPr>
              <w:pStyle w:val="ListParagraph"/>
              <w:numPr>
                <w:ilvl w:val="0"/>
                <w:numId w:val="12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Estes campos, juntamente com o ‘cempresp’, ‘ckbalres’ e ‘ckctares’, correspondem à chave única de cada responsabilidade de crédito no banco.</w:t>
            </w:r>
          </w:p>
          <w:p w14:paraId="6CBF4806" w14:textId="77777777" w:rsidR="00A61585" w:rsidRPr="002C7BE8" w:rsidRDefault="00A61585" w:rsidP="00B83F08">
            <w:pPr>
              <w:pStyle w:val="ListParagraph"/>
              <w:numPr>
                <w:ilvl w:val="0"/>
                <w:numId w:val="12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A chave é normalizada de acordo com as chaves contratuais da aplicação ICs da Contabilidade, com o ‘ckrefresp’ a corresponder nesse modelo ao campo ‘zdeposit’.</w:t>
            </w:r>
          </w:p>
          <w:p w14:paraId="013AEF24" w14:textId="77777777" w:rsidR="00A61585" w:rsidRPr="002C7BE8" w:rsidRDefault="00A61585" w:rsidP="00B83F08">
            <w:pPr>
              <w:pStyle w:val="ListParagraph"/>
              <w:numPr>
                <w:ilvl w:val="0"/>
                <w:numId w:val="12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Existem outros modelos de dados para além das ICs, em que este campo da responsabilidade corresponde ao campo ‘zdeposit’ ou ao campo ‘creferencia’.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ED5A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7527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NULL</w:t>
            </w:r>
          </w:p>
        </w:tc>
      </w:tr>
      <w:tr w:rsidR="00A61585" w:rsidRPr="002C7BE8" w14:paraId="6F0D0CC8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169A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zcliente_tit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FDF993" w14:textId="1B16A731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 xml:space="preserve">Número de identificação do titular da </w:t>
            </w:r>
            <w:r w:rsidR="00DF3674" w:rsidRPr="002C7BE8">
              <w:rPr>
                <w:rFonts w:eastAsia="Times New Roman" w:cstheme="minorHAnsi"/>
                <w:b/>
                <w:color w:val="000000"/>
                <w:lang w:eastAsia="pt-PT"/>
              </w:rPr>
              <w:t>responsabilidade MUG</w:t>
            </w:r>
            <w:r w:rsidRPr="002C7BE8">
              <w:rPr>
                <w:rFonts w:eastAsia="Times New Roman" w:cstheme="minorHAnsi"/>
                <w:color w:val="000000"/>
                <w:lang w:eastAsia="pt-PT"/>
              </w:rPr>
              <w:t>:</w:t>
            </w:r>
          </w:p>
          <w:p w14:paraId="405C37E5" w14:textId="7F2A0554" w:rsidR="00A61585" w:rsidRPr="002C7BE8" w:rsidRDefault="00A61585" w:rsidP="00B83F08">
            <w:pPr>
              <w:pStyle w:val="ListParagraph"/>
              <w:numPr>
                <w:ilvl w:val="0"/>
                <w:numId w:val="12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Este campo reflete o código do cliente titular da </w:t>
            </w:r>
            <w:r w:rsidR="00DF3674"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responsabilidade</w:t>
            </w: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.</w:t>
            </w:r>
          </w:p>
          <w:p w14:paraId="22DC83D6" w14:textId="77777777" w:rsidR="00A61585" w:rsidRPr="002C7BE8" w:rsidRDefault="00A61585" w:rsidP="00B83F08">
            <w:pPr>
              <w:pStyle w:val="ListParagraph"/>
              <w:numPr>
                <w:ilvl w:val="0"/>
                <w:numId w:val="12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Corresponde ao código de cliente Sintra/Altamira no Banco. Note-se que, para além dos verdadeiros clientes, inclui também entidades que, de facto, não são clientes do Banco, mas sim contrapartes ou pessoas com outro tipo de relações com o Banco, nomeadamente outras instituições de crédito. </w:t>
            </w:r>
          </w:p>
          <w:p w14:paraId="00BA78B2" w14:textId="52935F4C" w:rsidR="00A61585" w:rsidRPr="002C7BE8" w:rsidRDefault="00A61585" w:rsidP="00B83F08">
            <w:pPr>
              <w:pStyle w:val="ListParagraph"/>
              <w:numPr>
                <w:ilvl w:val="0"/>
                <w:numId w:val="12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Este campo pode ser cruzado com o campo ‘zcliente’ da tabela </w:t>
            </w:r>
            <w:r w:rsidRPr="002C7BE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eastAsia="en-US"/>
              </w:rPr>
              <w:t>cd_captools.ct003_univ_cli</w:t>
            </w: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="00DF3674"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(sugeria mencionar antes a tabela </w:t>
            </w:r>
            <w:r w:rsidR="00DF3674" w:rsidRPr="002C7BE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eastAsia="en-US"/>
              </w:rPr>
              <w:t>cd_estruturais.interface_clientes</w:t>
            </w:r>
            <w:r w:rsidR="00DF3674"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, é a tabela utilizada pelo MUG para validação do cliente e tem periodicidade diária) </w:t>
            </w: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para obter uma variedade significativo de dados de clientes. </w:t>
            </w:r>
          </w:p>
          <w:p w14:paraId="0CB4F0E0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7B4C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4BE13E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5CB8EBA4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43A0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ckbalres_orig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2B6A" w14:textId="2DC4250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Código do balcão da </w:t>
            </w:r>
            <w:r w:rsidRPr="002C7BE8">
              <w:rPr>
                <w:rFonts w:cstheme="minorHAnsi"/>
                <w:b/>
                <w:color w:val="000000"/>
              </w:rPr>
              <w:t>responsabilidade na aplicação de origem</w:t>
            </w:r>
            <w:r w:rsidR="00DF3674" w:rsidRPr="002C7BE8">
              <w:rPr>
                <w:rFonts w:cstheme="minorHAnsi"/>
                <w:b/>
                <w:color w:val="000000"/>
              </w:rPr>
              <w:t xml:space="preserve"> (CS)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156A1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F51F27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37F1948D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4CF91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ckctares_orig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B11D" w14:textId="3EF5F7FA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Número de conta da </w:t>
            </w:r>
            <w:r w:rsidRPr="002C7BE8">
              <w:rPr>
                <w:rFonts w:cstheme="minorHAnsi"/>
                <w:b/>
                <w:color w:val="000000"/>
              </w:rPr>
              <w:t>responsabilidade na aplicação de origem</w:t>
            </w:r>
            <w:r w:rsidR="00DF3674" w:rsidRPr="002C7BE8">
              <w:rPr>
                <w:rFonts w:cstheme="minorHAnsi"/>
                <w:b/>
                <w:color w:val="000000"/>
              </w:rPr>
              <w:t xml:space="preserve"> (CS)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66B4C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9EFA35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382E38E4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C222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ckrefresp_orig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0752F" w14:textId="2A7500BD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Número de conta da </w:t>
            </w:r>
            <w:r w:rsidRPr="002C7BE8">
              <w:rPr>
                <w:rFonts w:cstheme="minorHAnsi"/>
                <w:b/>
                <w:color w:val="000000"/>
              </w:rPr>
              <w:t>responsabilidade na aplicação de origem</w:t>
            </w:r>
            <w:r w:rsidR="00DF3674" w:rsidRPr="002C7BE8">
              <w:rPr>
                <w:rFonts w:cstheme="minorHAnsi"/>
                <w:b/>
                <w:color w:val="000000"/>
              </w:rPr>
              <w:t xml:space="preserve"> (CS)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55F4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2A4F39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203FBEDA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DFB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ckbalcao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7723" w14:textId="7E8B704E" w:rsidR="00A61585" w:rsidRPr="002C7BE8" w:rsidRDefault="00A61585" w:rsidP="00DF3674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Código do balcão da conta ID da </w:t>
            </w:r>
            <w:r w:rsidR="00DF3674" w:rsidRPr="002C7BE8">
              <w:rPr>
                <w:rFonts w:cstheme="minorHAnsi"/>
                <w:color w:val="000000"/>
              </w:rPr>
              <w:t>caução</w:t>
            </w:r>
            <w:r w:rsidRPr="002C7BE8">
              <w:rPr>
                <w:rFonts w:cstheme="minorHAnsi"/>
                <w:color w:val="000000"/>
              </w:rPr>
              <w:t xml:space="preserve"> </w:t>
            </w:r>
            <w:r w:rsidRPr="002C7BE8">
              <w:rPr>
                <w:rFonts w:cstheme="minorHAnsi"/>
                <w:b/>
                <w:color w:val="000000"/>
              </w:rPr>
              <w:t>na aplicação de origem</w:t>
            </w:r>
            <w:r w:rsidR="00DF3674" w:rsidRPr="002C7BE8">
              <w:rPr>
                <w:rFonts w:cstheme="minorHAnsi"/>
                <w:b/>
                <w:color w:val="000000"/>
              </w:rPr>
              <w:t xml:space="preserve"> (CS)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7B91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853B45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565B4F25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9838B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cknumcta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36DF" w14:textId="7D7149E6" w:rsidR="00A61585" w:rsidRPr="002C7BE8" w:rsidRDefault="00A61585" w:rsidP="00DF3674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Número de conta ID da </w:t>
            </w:r>
            <w:r w:rsidR="00DF3674" w:rsidRPr="002C7BE8">
              <w:rPr>
                <w:rFonts w:cstheme="minorHAnsi"/>
                <w:color w:val="000000"/>
              </w:rPr>
              <w:t>caução</w:t>
            </w:r>
            <w:r w:rsidRPr="002C7BE8">
              <w:rPr>
                <w:rFonts w:cstheme="minorHAnsi"/>
                <w:color w:val="000000"/>
              </w:rPr>
              <w:t xml:space="preserve"> </w:t>
            </w:r>
            <w:r w:rsidRPr="002C7BE8">
              <w:rPr>
                <w:rFonts w:cstheme="minorHAnsi"/>
                <w:b/>
                <w:color w:val="000000"/>
              </w:rPr>
              <w:t>na aplicação de origem</w:t>
            </w:r>
            <w:r w:rsidR="00DF3674" w:rsidRPr="002C7BE8">
              <w:rPr>
                <w:rFonts w:cstheme="minorHAnsi"/>
                <w:b/>
                <w:color w:val="000000"/>
              </w:rPr>
              <w:t xml:space="preserve"> (CS)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FEE0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17A67F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:rsidRPr="002C7BE8" w14:paraId="09BC87E7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25C5" w14:textId="77777777" w:rsidR="00A61585" w:rsidRPr="002C7BE8" w:rsidRDefault="00A61585" w:rsidP="00B83F08">
            <w:pPr>
              <w:spacing w:line="240" w:lineRule="auto"/>
              <w:jc w:val="both"/>
              <w:rPr>
                <w:rFonts w:eastAsia="Times New Roman" w:cstheme="minorHAnsi"/>
                <w:color w:val="000000"/>
                <w:lang w:eastAsia="pt-PT"/>
              </w:rPr>
            </w:pPr>
            <w:r w:rsidRPr="002C7BE8">
              <w:rPr>
                <w:rFonts w:eastAsia="Times New Roman" w:cstheme="minorHAnsi"/>
                <w:color w:val="000000"/>
                <w:lang w:eastAsia="pt-PT"/>
              </w:rPr>
              <w:t>zcaucao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BC8C" w14:textId="74D4A39B" w:rsidR="00A61585" w:rsidRPr="002C7BE8" w:rsidRDefault="00DF3674" w:rsidP="00DF3674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 xml:space="preserve">Número ID da caução/processo </w:t>
            </w:r>
            <w:r w:rsidR="00A61585" w:rsidRPr="002C7BE8">
              <w:rPr>
                <w:rFonts w:cstheme="minorHAnsi"/>
                <w:b/>
                <w:color w:val="000000"/>
              </w:rPr>
              <w:t>na aplicação de origem</w:t>
            </w:r>
            <w:r w:rsidRPr="002C7BE8">
              <w:rPr>
                <w:rFonts w:cstheme="minorHAnsi"/>
                <w:b/>
                <w:color w:val="000000"/>
              </w:rPr>
              <w:t xml:space="preserve"> (CS)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739B9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</w:rPr>
            </w:pPr>
            <w:r w:rsidRPr="002C7BE8">
              <w:rPr>
                <w:rFonts w:cstheme="minorHAnsi"/>
                <w:color w:val="000000"/>
              </w:rPr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FE5982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  <w:tr w:rsidR="00A61585" w14:paraId="069FBD4F" w14:textId="77777777" w:rsidTr="00A61585">
        <w:trPr>
          <w:trHeight w:val="290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5AD3" w14:textId="77777777" w:rsidR="00A61585" w:rsidRPr="002C7BE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ref_date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0315" w14:textId="77777777" w:rsidR="00A61585" w:rsidRPr="002C7BE8" w:rsidRDefault="00A61585" w:rsidP="00B83F08">
            <w:pPr>
              <w:spacing w:line="240" w:lineRule="auto"/>
              <w:ind w:left="170" w:hanging="170"/>
              <w:jc w:val="both"/>
              <w:rPr>
                <w:rFonts w:cstheme="minorHAnsi"/>
                <w:color w:val="000000"/>
              </w:rPr>
            </w:pPr>
            <w:r w:rsidRPr="002C7BE8">
              <w:rPr>
                <w:rFonts w:cstheme="minorHAnsi"/>
                <w:color w:val="000000"/>
              </w:rPr>
              <w:t>Data de referência dos dados:</w:t>
            </w:r>
          </w:p>
          <w:p w14:paraId="03CDF97A" w14:textId="77777777" w:rsidR="00A61585" w:rsidRPr="002C7BE8" w:rsidRDefault="00A61585" w:rsidP="00B83F08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lastRenderedPageBreak/>
              <w:t xml:space="preserve">Todas as tabelas de </w:t>
            </w:r>
            <w:r w:rsidRPr="002C7BE8"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eastAsia="en-US"/>
              </w:rPr>
              <w:t>output</w:t>
            </w: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 dos motores incluem sempre o campo ‘ref_date’ que reflete a data de referência dos dados. </w:t>
            </w:r>
          </w:p>
          <w:p w14:paraId="0FE85D51" w14:textId="77777777" w:rsidR="00A61585" w:rsidRPr="002C7BE8" w:rsidRDefault="00A61585" w:rsidP="00B83F08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Dado que o MUG é diário, este campo informará o dia útil relevante a que respeitam todos os dados dessa partição temporal. Note-se que, no caso do último dia de calendário do mês não ser um dia útil, o MUG criará automaticamente a partição temporal com referência ao último dia de calendário do mês, e preencherá essa partição com os dados registados no último dia útil desse mês.</w:t>
            </w:r>
          </w:p>
          <w:p w14:paraId="6050B567" w14:textId="77777777" w:rsidR="00A61585" w:rsidRPr="002C7BE8" w:rsidRDefault="00A61585" w:rsidP="00B83F08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C7BE8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Todas as datas no modelo respeitam o formato  ‘aaaa-mm-dd’.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2D7A" w14:textId="77777777" w:rsidR="00A61585" w:rsidRPr="00B83F08" w:rsidRDefault="00A61585" w:rsidP="00B83F08">
            <w:pPr>
              <w:spacing w:line="240" w:lineRule="auto"/>
              <w:jc w:val="both"/>
              <w:rPr>
                <w:rFonts w:cstheme="minorHAnsi"/>
              </w:rPr>
            </w:pPr>
            <w:r w:rsidRPr="002C7BE8">
              <w:rPr>
                <w:rFonts w:cstheme="minorHAnsi"/>
                <w:color w:val="000000"/>
              </w:rPr>
              <w:lastRenderedPageBreak/>
              <w:t>String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795ADD" w14:textId="77777777" w:rsidR="00A61585" w:rsidRPr="00B83F08" w:rsidRDefault="00A61585" w:rsidP="00B83F08">
            <w:pPr>
              <w:spacing w:line="240" w:lineRule="auto"/>
              <w:jc w:val="both"/>
              <w:rPr>
                <w:rFonts w:cstheme="minorHAnsi"/>
                <w:color w:val="000000"/>
              </w:rPr>
            </w:pPr>
          </w:p>
        </w:tc>
      </w:tr>
    </w:tbl>
    <w:p w14:paraId="392E3E44" w14:textId="77777777" w:rsidR="00A61585" w:rsidRPr="00B83F08" w:rsidRDefault="00A61585" w:rsidP="00B83F08">
      <w:pPr>
        <w:jc w:val="both"/>
        <w:rPr>
          <w:rFonts w:cstheme="minorHAnsi"/>
        </w:rPr>
      </w:pPr>
    </w:p>
    <w:p w14:paraId="3E1783E1" w14:textId="77777777" w:rsidR="00A61585" w:rsidRDefault="00A61585" w:rsidP="00B83F08">
      <w:pPr>
        <w:jc w:val="both"/>
      </w:pPr>
    </w:p>
    <w:p w14:paraId="7FFF01D5" w14:textId="77777777" w:rsidR="00FE5A70" w:rsidRPr="00A61585" w:rsidRDefault="00FE5A70" w:rsidP="00B83F08">
      <w:pPr>
        <w:jc w:val="both"/>
      </w:pPr>
    </w:p>
    <w:sectPr w:rsidR="00FE5A70" w:rsidRPr="00A61585" w:rsidSect="00822F7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9B5260" w14:textId="77777777" w:rsidR="00B83F08" w:rsidRDefault="00B83F08" w:rsidP="007E2738">
      <w:pPr>
        <w:spacing w:after="0" w:line="240" w:lineRule="auto"/>
      </w:pPr>
      <w:r>
        <w:separator/>
      </w:r>
    </w:p>
  </w:endnote>
  <w:endnote w:type="continuationSeparator" w:id="0">
    <w:p w14:paraId="33889192" w14:textId="77777777" w:rsidR="00B83F08" w:rsidRDefault="00B83F08" w:rsidP="007E2738">
      <w:pPr>
        <w:spacing w:after="0" w:line="240" w:lineRule="auto"/>
      </w:pPr>
      <w:r>
        <w:continuationSeparator/>
      </w:r>
    </w:p>
  </w:endnote>
  <w:endnote w:type="continuationNotice" w:id="1">
    <w:p w14:paraId="12D220E7" w14:textId="77777777" w:rsidR="00B83F08" w:rsidRDefault="00B83F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0038C1" w14:textId="77777777" w:rsidR="00B83F08" w:rsidRDefault="00B83F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3EF74" w14:textId="77777777" w:rsidR="00B83F08" w:rsidRDefault="00B83F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C82F7" w14:textId="77777777" w:rsidR="00B83F08" w:rsidRDefault="00B83F0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4CFAF" w14:textId="77777777" w:rsidR="00B83F08" w:rsidRDefault="00B83F0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A7D73" w14:textId="77777777" w:rsidR="00B83F08" w:rsidRDefault="00B83F0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9E296" w14:textId="77777777" w:rsidR="00B83F08" w:rsidRDefault="00B83F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4690F5" w14:textId="77777777" w:rsidR="00B83F08" w:rsidRDefault="00B83F08" w:rsidP="007E2738">
      <w:pPr>
        <w:spacing w:after="0" w:line="240" w:lineRule="auto"/>
      </w:pPr>
      <w:r>
        <w:separator/>
      </w:r>
    </w:p>
  </w:footnote>
  <w:footnote w:type="continuationSeparator" w:id="0">
    <w:p w14:paraId="7BB7B16A" w14:textId="77777777" w:rsidR="00B83F08" w:rsidRDefault="00B83F08" w:rsidP="007E2738">
      <w:pPr>
        <w:spacing w:after="0" w:line="240" w:lineRule="auto"/>
      </w:pPr>
      <w:r>
        <w:continuationSeparator/>
      </w:r>
    </w:p>
  </w:footnote>
  <w:footnote w:type="continuationNotice" w:id="1">
    <w:p w14:paraId="0D755250" w14:textId="77777777" w:rsidR="00B83F08" w:rsidRDefault="00B83F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A2AFA" w14:textId="77777777" w:rsidR="00B83F08" w:rsidRDefault="00B83F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6A128" w14:textId="77777777" w:rsidR="00B83F08" w:rsidRDefault="00B83F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C6AE0" w14:textId="77777777" w:rsidR="00B83F08" w:rsidRDefault="00B83F0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8869B" w14:textId="77777777" w:rsidR="00B83F08" w:rsidRDefault="00B83F0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80F02" w14:textId="77777777" w:rsidR="00B83F08" w:rsidRDefault="00B83F0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7E24FE" w14:textId="77777777" w:rsidR="00B83F08" w:rsidRDefault="00B83F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5EEE"/>
    <w:multiLevelType w:val="hybridMultilevel"/>
    <w:tmpl w:val="401836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E7B2A"/>
    <w:multiLevelType w:val="hybridMultilevel"/>
    <w:tmpl w:val="BB8091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D17E6"/>
    <w:multiLevelType w:val="multilevel"/>
    <w:tmpl w:val="CD82AD0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AFA13D8"/>
    <w:multiLevelType w:val="hybridMultilevel"/>
    <w:tmpl w:val="10B67D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C762F"/>
    <w:multiLevelType w:val="hybridMultilevel"/>
    <w:tmpl w:val="E79A8F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84CE8"/>
    <w:multiLevelType w:val="hybridMultilevel"/>
    <w:tmpl w:val="52BA1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A638D"/>
    <w:multiLevelType w:val="multilevel"/>
    <w:tmpl w:val="CEB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"/>
  </w:num>
  <w:num w:numId="11">
    <w:abstractNumId w:val="4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38"/>
    <w:rsid w:val="000277C9"/>
    <w:rsid w:val="000A05EC"/>
    <w:rsid w:val="002C7BE8"/>
    <w:rsid w:val="003F1DCD"/>
    <w:rsid w:val="00401C5E"/>
    <w:rsid w:val="004032D9"/>
    <w:rsid w:val="00444996"/>
    <w:rsid w:val="00545FC8"/>
    <w:rsid w:val="005553DF"/>
    <w:rsid w:val="00561231"/>
    <w:rsid w:val="005B7D53"/>
    <w:rsid w:val="0070730A"/>
    <w:rsid w:val="007A3795"/>
    <w:rsid w:val="007A54C1"/>
    <w:rsid w:val="007E2738"/>
    <w:rsid w:val="007E3501"/>
    <w:rsid w:val="00822F78"/>
    <w:rsid w:val="00886DFD"/>
    <w:rsid w:val="00890577"/>
    <w:rsid w:val="008D6915"/>
    <w:rsid w:val="0094566A"/>
    <w:rsid w:val="00993F3A"/>
    <w:rsid w:val="00A13BE2"/>
    <w:rsid w:val="00A46731"/>
    <w:rsid w:val="00A61585"/>
    <w:rsid w:val="00AA0900"/>
    <w:rsid w:val="00AB01FF"/>
    <w:rsid w:val="00B83F08"/>
    <w:rsid w:val="00BC35DC"/>
    <w:rsid w:val="00CB0676"/>
    <w:rsid w:val="00D93222"/>
    <w:rsid w:val="00DF3674"/>
    <w:rsid w:val="00E22BE4"/>
    <w:rsid w:val="00F645B9"/>
    <w:rsid w:val="00F95F74"/>
    <w:rsid w:val="00FC3352"/>
    <w:rsid w:val="00FE1999"/>
    <w:rsid w:val="00FE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A55B261"/>
  <w15:chartTrackingRefBased/>
  <w15:docId w15:val="{3D51D6B8-E8AC-45F2-9ECA-09B7B2CF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585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231"/>
    <w:pPr>
      <w:keepNext/>
      <w:keepLines/>
      <w:numPr>
        <w:ilvl w:val="1"/>
        <w:numId w:val="2"/>
      </w:numPr>
      <w:spacing w:before="40" w:after="240" w:line="240" w:lineRule="auto"/>
      <w:jc w:val="both"/>
      <w:outlineLvl w:val="1"/>
    </w:pPr>
    <w:rPr>
      <w:rFonts w:ascii="Calibri" w:eastAsiaTheme="majorEastAsia" w:hAnsi="Calibri" w:cstheme="majorBidi"/>
      <w:b/>
      <w:sz w:val="26"/>
      <w:szCs w:val="26"/>
      <w:lang w:eastAsia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231"/>
    <w:pPr>
      <w:keepNext/>
      <w:keepLines/>
      <w:numPr>
        <w:ilvl w:val="2"/>
        <w:numId w:val="2"/>
      </w:numPr>
      <w:spacing w:before="40" w:after="120" w:line="240" w:lineRule="auto"/>
      <w:jc w:val="both"/>
      <w:outlineLvl w:val="2"/>
    </w:pPr>
    <w:rPr>
      <w:rFonts w:ascii="Calibri" w:eastAsiaTheme="majorEastAsia" w:hAnsi="Calibri" w:cstheme="majorBidi"/>
      <w:b/>
      <w:sz w:val="24"/>
      <w:szCs w:val="24"/>
      <w:lang w:eastAsia="pt-PT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231"/>
    <w:pPr>
      <w:keepNext/>
      <w:keepLines/>
      <w:numPr>
        <w:ilvl w:val="3"/>
        <w:numId w:val="2"/>
      </w:numPr>
      <w:spacing w:before="40" w:after="120" w:line="240" w:lineRule="auto"/>
      <w:ind w:left="1077" w:hanging="1077"/>
      <w:jc w:val="both"/>
      <w:outlineLvl w:val="3"/>
    </w:pPr>
    <w:rPr>
      <w:rFonts w:ascii="Calibri" w:eastAsiaTheme="majorEastAsia" w:hAnsi="Calibri" w:cstheme="majorBidi"/>
      <w:b/>
      <w:iCs/>
      <w:sz w:val="24"/>
      <w:szCs w:val="24"/>
      <w:lang w:eastAsia="pt-PT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1231"/>
    <w:pPr>
      <w:keepNext/>
      <w:keepLines/>
      <w:numPr>
        <w:ilvl w:val="4"/>
        <w:numId w:val="2"/>
      </w:numPr>
      <w:spacing w:before="40" w:after="120" w:line="240" w:lineRule="auto"/>
      <w:jc w:val="both"/>
      <w:outlineLvl w:val="4"/>
    </w:pPr>
    <w:rPr>
      <w:rFonts w:ascii="Calibri" w:eastAsiaTheme="majorEastAsia" w:hAnsi="Calibri" w:cstheme="majorBidi"/>
      <w:b/>
      <w:sz w:val="24"/>
      <w:szCs w:val="24"/>
      <w:lang w:eastAsia="pt-PT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1231"/>
    <w:pPr>
      <w:keepNext/>
      <w:keepLines/>
      <w:numPr>
        <w:ilvl w:val="5"/>
        <w:numId w:val="2"/>
      </w:numPr>
      <w:spacing w:before="40" w:after="120" w:line="240" w:lineRule="auto"/>
      <w:ind w:left="1582"/>
      <w:jc w:val="both"/>
      <w:outlineLvl w:val="5"/>
    </w:pPr>
    <w:rPr>
      <w:rFonts w:ascii="Calibri" w:eastAsiaTheme="majorEastAsia" w:hAnsi="Calibri" w:cstheme="majorBidi"/>
      <w:sz w:val="24"/>
      <w:szCs w:val="24"/>
      <w:u w:val="single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FootnoteText">
    <w:name w:val="footnote text"/>
    <w:basedOn w:val="Normal"/>
    <w:link w:val="FootnoteTextChar"/>
    <w:uiPriority w:val="99"/>
    <w:unhideWhenUsed/>
    <w:rsid w:val="00890577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90577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styleId="FootnoteReference">
    <w:name w:val="footnote reference"/>
    <w:basedOn w:val="DefaultParagraphFont"/>
    <w:uiPriority w:val="99"/>
    <w:unhideWhenUsed/>
    <w:rsid w:val="00890577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561231"/>
    <w:rPr>
      <w:rFonts w:ascii="Calibri" w:eastAsiaTheme="majorEastAsia" w:hAnsi="Calibri" w:cstheme="majorBidi"/>
      <w:b/>
      <w:sz w:val="26"/>
      <w:szCs w:val="2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561231"/>
    <w:rPr>
      <w:rFonts w:ascii="Calibri" w:eastAsiaTheme="majorEastAsia" w:hAnsi="Calibri" w:cstheme="majorBidi"/>
      <w:b/>
      <w:sz w:val="24"/>
      <w:szCs w:val="24"/>
      <w:lang w:eastAsia="pt-PT"/>
    </w:rPr>
  </w:style>
  <w:style w:type="character" w:customStyle="1" w:styleId="Heading4Char">
    <w:name w:val="Heading 4 Char"/>
    <w:basedOn w:val="DefaultParagraphFont"/>
    <w:link w:val="Heading4"/>
    <w:uiPriority w:val="9"/>
    <w:rsid w:val="00561231"/>
    <w:rPr>
      <w:rFonts w:ascii="Calibri" w:eastAsiaTheme="majorEastAsia" w:hAnsi="Calibri" w:cstheme="majorBidi"/>
      <w:b/>
      <w:iCs/>
      <w:sz w:val="24"/>
      <w:szCs w:val="24"/>
      <w:lang w:eastAsia="pt-PT"/>
    </w:rPr>
  </w:style>
  <w:style w:type="character" w:customStyle="1" w:styleId="Heading5Char">
    <w:name w:val="Heading 5 Char"/>
    <w:basedOn w:val="DefaultParagraphFont"/>
    <w:link w:val="Heading5"/>
    <w:uiPriority w:val="9"/>
    <w:rsid w:val="00561231"/>
    <w:rPr>
      <w:rFonts w:ascii="Calibri" w:eastAsiaTheme="majorEastAsia" w:hAnsi="Calibri" w:cstheme="majorBidi"/>
      <w:b/>
      <w:sz w:val="24"/>
      <w:szCs w:val="24"/>
      <w:lang w:eastAsia="pt-PT"/>
    </w:rPr>
  </w:style>
  <w:style w:type="character" w:customStyle="1" w:styleId="Heading6Char">
    <w:name w:val="Heading 6 Char"/>
    <w:basedOn w:val="DefaultParagraphFont"/>
    <w:link w:val="Heading6"/>
    <w:uiPriority w:val="9"/>
    <w:rsid w:val="00561231"/>
    <w:rPr>
      <w:rFonts w:ascii="Calibri" w:eastAsiaTheme="majorEastAsia" w:hAnsi="Calibri" w:cstheme="majorBidi"/>
      <w:sz w:val="24"/>
      <w:szCs w:val="24"/>
      <w:u w:val="single"/>
      <w:lang w:eastAsia="pt-PT"/>
    </w:rPr>
  </w:style>
  <w:style w:type="paragraph" w:styleId="ListParagraph">
    <w:name w:val="List Paragraph"/>
    <w:basedOn w:val="Normal"/>
    <w:uiPriority w:val="34"/>
    <w:qFormat/>
    <w:rsid w:val="00A46731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table" w:styleId="TableGrid">
    <w:name w:val="Table Grid"/>
    <w:basedOn w:val="TableNormal"/>
    <w:uiPriority w:val="39"/>
    <w:rsid w:val="00A46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6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731"/>
  </w:style>
  <w:style w:type="paragraph" w:styleId="Footer">
    <w:name w:val="footer"/>
    <w:basedOn w:val="Normal"/>
    <w:link w:val="FooterChar"/>
    <w:uiPriority w:val="99"/>
    <w:unhideWhenUsed/>
    <w:rsid w:val="00A46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731"/>
  </w:style>
  <w:style w:type="paragraph" w:customStyle="1" w:styleId="Default">
    <w:name w:val="Default"/>
    <w:rsid w:val="007A54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724570-A3B6-4484-A3B1-8559A3A656F5}">
  <ds:schemaRefs>
    <ds:schemaRef ds:uri="http://www.w3.org/XML/1998/namespace"/>
    <ds:schemaRef ds:uri="a9b50dc7-8f72-473c-8b7e-4a8c46ecad32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7b1ec8e5-5652-48eb-8550-a56a35f5f817"/>
    <ds:schemaRef ds:uri="http://schemas.microsoft.com/sharepoint/v3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51E2580-3B5E-422E-8B34-0EAA1EFC1E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85371-D185-40BC-8931-D825AC592C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6</Pages>
  <Words>1842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Rafaela Teixeira Nunes</dc:creator>
  <cp:keywords/>
  <dc:description/>
  <cp:lastModifiedBy>Marta Rafaela Teixeira Nunes</cp:lastModifiedBy>
  <cp:revision>16</cp:revision>
  <cp:lastPrinted>2024-12-17T16:04:00Z</cp:lastPrinted>
  <dcterms:created xsi:type="dcterms:W3CDTF">2024-12-04T10:18:00Z</dcterms:created>
  <dcterms:modified xsi:type="dcterms:W3CDTF">2024-12-18T13:05:00Z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2024-12-04T10:19:41Z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25f251a1-7e0f-4235-b487-76674b586395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