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B5836" w14:textId="77777777" w:rsidR="0056612F" w:rsidRPr="0056612F" w:rsidRDefault="0056612F" w:rsidP="0056612F">
      <w:pPr>
        <w:spacing w:before="60" w:after="60" w:line="160" w:lineRule="atLeast"/>
        <w:ind w:left="720"/>
        <w:jc w:val="right"/>
        <w:rPr>
          <w:rFonts w:ascii="Arial" w:eastAsia="Times New Roman" w:hAnsi="Arial" w:cs="Arial"/>
          <w:b/>
          <w:bCs/>
          <w:sz w:val="20"/>
          <w:szCs w:val="20"/>
          <w:lang w:val="en-US" w:eastAsia="en-GB"/>
        </w:rPr>
      </w:pPr>
      <w:r w:rsidRPr="0056612F">
        <w:rPr>
          <w:rFonts w:ascii="Arial" w:eastAsia="Times New Roman" w:hAnsi="Arial" w:cs="Arial"/>
          <w:b/>
          <w:bCs/>
          <w:sz w:val="20"/>
          <w:szCs w:val="20"/>
          <w:lang w:val="en-US" w:eastAsia="en-GB"/>
        </w:rPr>
        <w:t>ECB-PUBLIC</w:t>
      </w:r>
    </w:p>
    <w:p w14:paraId="5FD03CBD" w14:textId="5797271B" w:rsidR="00271777" w:rsidRPr="0056612F" w:rsidRDefault="0056612F" w:rsidP="00271777">
      <w:pPr>
        <w:spacing w:before="120" w:after="0" w:line="240" w:lineRule="auto"/>
        <w:jc w:val="right"/>
        <w:rPr>
          <w:rFonts w:ascii="Arial" w:hAnsi="Arial" w:cs="Arial"/>
          <w:sz w:val="20"/>
          <w:szCs w:val="20"/>
        </w:rPr>
      </w:pPr>
      <w:r w:rsidRPr="0056612F">
        <w:rPr>
          <w:rFonts w:ascii="Arial" w:hAnsi="Arial" w:cs="Arial"/>
          <w:sz w:val="20"/>
          <w:szCs w:val="20"/>
        </w:rPr>
        <w:t>16</w:t>
      </w:r>
      <w:r w:rsidR="00DA74D0" w:rsidRPr="0056612F">
        <w:rPr>
          <w:rFonts w:ascii="Arial" w:hAnsi="Arial" w:cs="Arial"/>
          <w:sz w:val="20"/>
          <w:szCs w:val="20"/>
        </w:rPr>
        <w:t xml:space="preserve"> December</w:t>
      </w:r>
      <w:r w:rsidR="00FA5360" w:rsidRPr="0056612F">
        <w:rPr>
          <w:rFonts w:ascii="Arial" w:hAnsi="Arial" w:cs="Arial"/>
          <w:sz w:val="20"/>
          <w:szCs w:val="20"/>
        </w:rPr>
        <w:t xml:space="preserve"> 202</w:t>
      </w:r>
      <w:r w:rsidR="007F23F6">
        <w:rPr>
          <w:rFonts w:ascii="Arial" w:hAnsi="Arial" w:cs="Arial"/>
          <w:sz w:val="20"/>
          <w:szCs w:val="20"/>
        </w:rPr>
        <w:t>3</w:t>
      </w:r>
    </w:p>
    <w:p w14:paraId="52B70430" w14:textId="2780AF12" w:rsidR="00271777" w:rsidRPr="0056612F" w:rsidRDefault="00271777" w:rsidP="00271777">
      <w:pPr>
        <w:spacing w:before="120" w:after="0" w:line="240" w:lineRule="auto"/>
        <w:rPr>
          <w:rFonts w:ascii="Arial" w:hAnsi="Arial" w:cs="Arial"/>
          <w:sz w:val="20"/>
          <w:szCs w:val="20"/>
        </w:rPr>
      </w:pPr>
      <w:r w:rsidRPr="0056612F">
        <w:rPr>
          <w:rFonts w:ascii="Arial" w:hAnsi="Arial" w:cs="Arial"/>
          <w:sz w:val="20"/>
          <w:szCs w:val="20"/>
        </w:rPr>
        <w:t>DG</w:t>
      </w:r>
      <w:r w:rsidR="00E97BB3" w:rsidRPr="0056612F">
        <w:rPr>
          <w:rFonts w:ascii="Arial" w:hAnsi="Arial" w:cs="Arial"/>
          <w:sz w:val="20"/>
          <w:szCs w:val="20"/>
        </w:rPr>
        <w:t xml:space="preserve"> HORIZONTAL LINE SUPERVISION</w:t>
      </w:r>
    </w:p>
    <w:p w14:paraId="522883FF" w14:textId="09BC9D6A" w:rsidR="00271777" w:rsidRPr="0056612F" w:rsidRDefault="00E97BB3" w:rsidP="00271777">
      <w:pPr>
        <w:spacing w:before="120" w:after="0" w:line="240" w:lineRule="auto"/>
        <w:rPr>
          <w:rFonts w:ascii="Arial" w:hAnsi="Arial" w:cs="Arial"/>
          <w:sz w:val="20"/>
          <w:szCs w:val="20"/>
        </w:rPr>
      </w:pPr>
      <w:r w:rsidRPr="0056612F">
        <w:rPr>
          <w:rFonts w:ascii="Arial" w:hAnsi="Arial" w:cs="Arial"/>
          <w:sz w:val="20"/>
          <w:szCs w:val="20"/>
        </w:rPr>
        <w:t xml:space="preserve">SUPERVISORY METHODOLOGY </w:t>
      </w:r>
      <w:r w:rsidR="00C87BC9" w:rsidRPr="0056612F">
        <w:rPr>
          <w:rFonts w:ascii="Arial" w:hAnsi="Arial" w:cs="Arial"/>
          <w:sz w:val="20"/>
          <w:szCs w:val="20"/>
        </w:rPr>
        <w:t>DIVISION</w:t>
      </w:r>
    </w:p>
    <w:p w14:paraId="775CB050" w14:textId="77777777" w:rsidR="00271777" w:rsidRPr="0056612F" w:rsidRDefault="00271777" w:rsidP="00271777">
      <w:pPr>
        <w:spacing w:before="120" w:after="0" w:line="240" w:lineRule="auto"/>
        <w:rPr>
          <w:rFonts w:ascii="Arial" w:hAnsi="Arial" w:cs="Arial"/>
          <w:sz w:val="20"/>
          <w:szCs w:val="20"/>
        </w:rPr>
      </w:pPr>
    </w:p>
    <w:p w14:paraId="39E4F5BB" w14:textId="77777777" w:rsidR="00271777" w:rsidRPr="0056612F" w:rsidRDefault="00271777" w:rsidP="00271777">
      <w:pPr>
        <w:spacing w:before="120" w:after="0" w:line="240" w:lineRule="auto"/>
        <w:rPr>
          <w:rFonts w:ascii="Arial" w:hAnsi="Arial" w:cs="Arial"/>
          <w:sz w:val="20"/>
          <w:szCs w:val="20"/>
        </w:rPr>
      </w:pPr>
    </w:p>
    <w:p w14:paraId="1FB3ECC3" w14:textId="77777777" w:rsidR="00271777" w:rsidRPr="0056612F" w:rsidRDefault="00271777" w:rsidP="00271777">
      <w:pPr>
        <w:pStyle w:val="DocTitle"/>
        <w:tabs>
          <w:tab w:val="clear" w:pos="9356"/>
          <w:tab w:val="right" w:pos="9072"/>
        </w:tabs>
        <w:spacing w:before="120" w:line="240" w:lineRule="auto"/>
        <w:rPr>
          <w:rFonts w:ascii="Arial" w:hAnsi="Arial" w:cs="Arial"/>
          <w:sz w:val="20"/>
          <w:szCs w:val="20"/>
        </w:rPr>
      </w:pPr>
      <w:r w:rsidRPr="0056612F">
        <w:rPr>
          <w:rFonts w:ascii="Arial" w:hAnsi="Arial" w:cs="Arial"/>
          <w:sz w:val="20"/>
          <w:szCs w:val="20"/>
        </w:rPr>
        <w:t>SSM Short Term Exercise collected for SREP purposes (STE)</w:t>
      </w:r>
    </w:p>
    <w:p w14:paraId="548EC8E9" w14:textId="4BDC66CD" w:rsidR="00271777" w:rsidRPr="0056612F" w:rsidRDefault="00271777" w:rsidP="00271777">
      <w:pPr>
        <w:spacing w:before="120" w:line="240" w:lineRule="auto"/>
        <w:jc w:val="center"/>
        <w:rPr>
          <w:rFonts w:ascii="Arial" w:hAnsi="Arial" w:cs="Arial"/>
          <w:b/>
          <w:sz w:val="20"/>
          <w:szCs w:val="20"/>
        </w:rPr>
      </w:pPr>
      <w:r w:rsidRPr="0056612F">
        <w:rPr>
          <w:rFonts w:ascii="Arial" w:hAnsi="Arial" w:cs="Arial"/>
          <w:b/>
          <w:sz w:val="20"/>
          <w:szCs w:val="20"/>
        </w:rPr>
        <w:t>Reporting Instructions for</w:t>
      </w:r>
      <w:r w:rsidRPr="0056612F">
        <w:rPr>
          <w:rFonts w:ascii="Arial" w:hAnsi="Arial" w:cs="Arial"/>
          <w:b/>
          <w:sz w:val="20"/>
          <w:szCs w:val="20"/>
        </w:rPr>
        <w:br/>
        <w:t>I</w:t>
      </w:r>
      <w:r w:rsidR="0064493B" w:rsidRPr="0056612F">
        <w:rPr>
          <w:rFonts w:ascii="Arial" w:hAnsi="Arial" w:cs="Arial"/>
          <w:b/>
          <w:sz w:val="20"/>
          <w:szCs w:val="20"/>
        </w:rPr>
        <w:t xml:space="preserve">rrevocable Payment Commitments (IPCs) </w:t>
      </w:r>
      <w:r w:rsidRPr="0056612F">
        <w:rPr>
          <w:rFonts w:ascii="Arial" w:hAnsi="Arial" w:cs="Arial"/>
          <w:b/>
          <w:sz w:val="20"/>
          <w:szCs w:val="20"/>
        </w:rPr>
        <w:t>Template</w:t>
      </w:r>
    </w:p>
    <w:p w14:paraId="04BE64D8" w14:textId="77777777" w:rsidR="00271777" w:rsidRPr="0056612F" w:rsidRDefault="00271777" w:rsidP="00271777">
      <w:pPr>
        <w:spacing w:before="120" w:line="240" w:lineRule="auto"/>
        <w:jc w:val="both"/>
        <w:rPr>
          <w:rFonts w:ascii="Arial" w:hAnsi="Arial" w:cs="Arial"/>
          <w:b/>
          <w:sz w:val="20"/>
          <w:szCs w:val="20"/>
        </w:rPr>
      </w:pPr>
    </w:p>
    <w:p w14:paraId="172F6FEA" w14:textId="540F81EE" w:rsidR="00271777" w:rsidRPr="0056612F" w:rsidRDefault="00271777" w:rsidP="00271777">
      <w:pPr>
        <w:spacing w:before="120" w:line="240" w:lineRule="auto"/>
        <w:jc w:val="both"/>
        <w:rPr>
          <w:rFonts w:ascii="Arial" w:hAnsi="Arial" w:cs="Arial"/>
          <w:sz w:val="20"/>
          <w:szCs w:val="20"/>
        </w:rPr>
      </w:pPr>
      <w:r w:rsidRPr="0056612F">
        <w:rPr>
          <w:rFonts w:ascii="Arial" w:hAnsi="Arial" w:cs="Arial"/>
          <w:sz w:val="20"/>
          <w:szCs w:val="20"/>
        </w:rPr>
        <w:t xml:space="preserve">To fill-in the template </w:t>
      </w:r>
      <w:r w:rsidR="0064493B" w:rsidRPr="0056612F">
        <w:rPr>
          <w:rFonts w:ascii="Arial" w:hAnsi="Arial" w:cs="Arial"/>
          <w:b/>
          <w:color w:val="2038EC"/>
          <w:sz w:val="20"/>
          <w:szCs w:val="20"/>
        </w:rPr>
        <w:t>14</w:t>
      </w:r>
      <w:r w:rsidRPr="0056612F">
        <w:rPr>
          <w:rFonts w:ascii="Arial" w:hAnsi="Arial" w:cs="Arial"/>
          <w:b/>
          <w:color w:val="2038EC"/>
          <w:sz w:val="20"/>
          <w:szCs w:val="20"/>
        </w:rPr>
        <w:t xml:space="preserve"> – YYYY QX SREP</w:t>
      </w:r>
      <w:r w:rsidR="0064493B" w:rsidRPr="0056612F">
        <w:rPr>
          <w:rFonts w:ascii="Arial" w:hAnsi="Arial" w:cs="Arial"/>
          <w:b/>
          <w:color w:val="2038EC"/>
          <w:sz w:val="20"/>
          <w:szCs w:val="20"/>
        </w:rPr>
        <w:t xml:space="preserve"> Irrevocable Payment Commitments (IPCs)</w:t>
      </w:r>
      <w:r w:rsidRPr="0056612F">
        <w:rPr>
          <w:rFonts w:ascii="Arial" w:hAnsi="Arial" w:cs="Arial"/>
          <w:b/>
          <w:color w:val="2038EC"/>
          <w:sz w:val="20"/>
          <w:szCs w:val="20"/>
        </w:rPr>
        <w:t>.xlsx</w:t>
      </w:r>
      <w:r w:rsidRPr="0056612F">
        <w:rPr>
          <w:rFonts w:ascii="Arial" w:hAnsi="Arial" w:cs="Arial"/>
          <w:sz w:val="20"/>
          <w:szCs w:val="20"/>
        </w:rPr>
        <w:t>, institutions are requested to respect the following instructions.</w:t>
      </w:r>
    </w:p>
    <w:p w14:paraId="11E51564" w14:textId="77777777" w:rsidR="00271777" w:rsidRPr="0056612F" w:rsidRDefault="00271777" w:rsidP="00271777">
      <w:pPr>
        <w:spacing w:before="120" w:line="240" w:lineRule="auto"/>
        <w:jc w:val="both"/>
        <w:rPr>
          <w:rFonts w:ascii="Arial" w:hAnsi="Arial" w:cs="Arial"/>
          <w:sz w:val="20"/>
          <w:szCs w:val="20"/>
        </w:rPr>
      </w:pPr>
      <w:r w:rsidRPr="0056612F">
        <w:rPr>
          <w:rFonts w:ascii="Arial" w:hAnsi="Arial" w:cs="Arial"/>
          <w:sz w:val="20"/>
          <w:szCs w:val="20"/>
        </w:rPr>
        <w:t>This document comprises the following sections:</w:t>
      </w:r>
    </w:p>
    <w:sdt>
      <w:sdtPr>
        <w:rPr>
          <w:rFonts w:ascii="Arial" w:eastAsiaTheme="minorHAnsi" w:hAnsi="Arial" w:cs="Arial"/>
          <w:b w:val="0"/>
          <w:bCs w:val="0"/>
          <w:color w:val="auto"/>
          <w:sz w:val="20"/>
          <w:szCs w:val="20"/>
          <w:lang w:val="en-GB" w:eastAsia="en-US"/>
        </w:rPr>
        <w:id w:val="-1256286849"/>
        <w:docPartObj>
          <w:docPartGallery w:val="Table of Contents"/>
          <w:docPartUnique/>
        </w:docPartObj>
      </w:sdtPr>
      <w:sdtEndPr>
        <w:rPr>
          <w:noProof/>
        </w:rPr>
      </w:sdtEndPr>
      <w:sdtContent>
        <w:p w14:paraId="1C724558" w14:textId="77777777" w:rsidR="00271777" w:rsidRPr="0056612F" w:rsidRDefault="00271777" w:rsidP="00271777">
          <w:pPr>
            <w:pStyle w:val="TOCHeading"/>
            <w:spacing w:before="120" w:line="240" w:lineRule="auto"/>
            <w:jc w:val="both"/>
            <w:rPr>
              <w:rFonts w:ascii="Arial" w:hAnsi="Arial" w:cs="Arial"/>
              <w:color w:val="auto"/>
              <w:sz w:val="20"/>
              <w:szCs w:val="20"/>
            </w:rPr>
          </w:pPr>
        </w:p>
        <w:p w14:paraId="314C86CF" w14:textId="125EF5C2" w:rsidR="00E73097" w:rsidRPr="0056612F" w:rsidRDefault="00271777">
          <w:pPr>
            <w:pStyle w:val="TOC1"/>
            <w:tabs>
              <w:tab w:val="left" w:pos="442"/>
              <w:tab w:val="right" w:leader="dot" w:pos="9016"/>
            </w:tabs>
            <w:rPr>
              <w:rFonts w:ascii="Arial" w:eastAsiaTheme="minorEastAsia" w:hAnsi="Arial" w:cs="Arial"/>
              <w:noProof/>
              <w:sz w:val="20"/>
              <w:szCs w:val="20"/>
              <w:lang w:eastAsia="en-GB"/>
            </w:rPr>
          </w:pPr>
          <w:r w:rsidRPr="0056612F">
            <w:rPr>
              <w:rFonts w:ascii="Arial" w:hAnsi="Arial" w:cs="Arial"/>
              <w:sz w:val="20"/>
              <w:szCs w:val="20"/>
            </w:rPr>
            <w:fldChar w:fldCharType="begin"/>
          </w:r>
          <w:r w:rsidRPr="0056612F">
            <w:rPr>
              <w:rFonts w:ascii="Arial" w:hAnsi="Arial" w:cs="Arial"/>
              <w:sz w:val="20"/>
              <w:szCs w:val="20"/>
            </w:rPr>
            <w:instrText xml:space="preserve"> TOC \o "1-3" \h \z \u </w:instrText>
          </w:r>
          <w:r w:rsidRPr="0056612F">
            <w:rPr>
              <w:rFonts w:ascii="Arial" w:hAnsi="Arial" w:cs="Arial"/>
              <w:sz w:val="20"/>
              <w:szCs w:val="20"/>
            </w:rPr>
            <w:fldChar w:fldCharType="separate"/>
          </w:r>
          <w:hyperlink w:anchor="_Toc117695171" w:history="1">
            <w:r w:rsidR="00E73097" w:rsidRPr="0056612F">
              <w:rPr>
                <w:rStyle w:val="Hyperlink"/>
                <w:rFonts w:ascii="Arial" w:eastAsia="Times New Roman" w:hAnsi="Arial" w:cs="Arial"/>
                <w:noProof/>
                <w:kern w:val="28"/>
                <w:sz w:val="20"/>
                <w:szCs w:val="20"/>
                <w:lang w:eastAsia="en-GB"/>
              </w:rPr>
              <w:t>1.</w:t>
            </w:r>
            <w:r w:rsidR="00E73097" w:rsidRPr="0056612F">
              <w:rPr>
                <w:rFonts w:ascii="Arial" w:eastAsiaTheme="minorEastAsia" w:hAnsi="Arial" w:cs="Arial"/>
                <w:noProof/>
                <w:sz w:val="20"/>
                <w:szCs w:val="20"/>
                <w:lang w:eastAsia="en-GB"/>
              </w:rPr>
              <w:tab/>
            </w:r>
            <w:r w:rsidR="00E73097" w:rsidRPr="0056612F">
              <w:rPr>
                <w:rStyle w:val="Hyperlink"/>
                <w:rFonts w:ascii="Arial" w:eastAsia="Times New Roman" w:hAnsi="Arial" w:cs="Arial"/>
                <w:noProof/>
                <w:kern w:val="28"/>
                <w:sz w:val="20"/>
                <w:szCs w:val="20"/>
                <w:lang w:eastAsia="en-GB"/>
              </w:rPr>
              <w:t>General instructions</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_Toc117695171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2</w:t>
            </w:r>
            <w:r w:rsidR="00E73097" w:rsidRPr="0056612F">
              <w:rPr>
                <w:rFonts w:ascii="Arial" w:hAnsi="Arial" w:cs="Arial"/>
                <w:noProof/>
                <w:webHidden/>
                <w:sz w:val="20"/>
                <w:szCs w:val="20"/>
              </w:rPr>
              <w:fldChar w:fldCharType="end"/>
            </w:r>
          </w:hyperlink>
        </w:p>
        <w:p w14:paraId="5FDC8A44" w14:textId="156D14D8"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72" w:history="1">
            <w:r w:rsidR="00E73097" w:rsidRPr="0056612F">
              <w:rPr>
                <w:rStyle w:val="Hyperlink"/>
                <w:rFonts w:ascii="Arial" w:hAnsi="Arial" w:cs="Arial"/>
                <w:noProof/>
                <w:sz w:val="20"/>
                <w:szCs w:val="20"/>
              </w:rPr>
              <w:t>Background</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_Toc117695172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2</w:t>
            </w:r>
            <w:r w:rsidR="00E73097" w:rsidRPr="0056612F">
              <w:rPr>
                <w:rFonts w:ascii="Arial" w:hAnsi="Arial" w:cs="Arial"/>
                <w:noProof/>
                <w:webHidden/>
                <w:sz w:val="20"/>
                <w:szCs w:val="20"/>
              </w:rPr>
              <w:fldChar w:fldCharType="end"/>
            </w:r>
          </w:hyperlink>
        </w:p>
        <w:p w14:paraId="2AB12F17" w14:textId="03FFAC7C"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73" w:history="1">
            <w:r w:rsidR="00E73097" w:rsidRPr="0056612F">
              <w:rPr>
                <w:rStyle w:val="Hyperlink"/>
                <w:rFonts w:ascii="Arial" w:hAnsi="Arial" w:cs="Arial"/>
                <w:noProof/>
                <w:sz w:val="20"/>
                <w:szCs w:val="20"/>
              </w:rPr>
              <w:t>Reference date</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_Toc117695173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3</w:t>
            </w:r>
            <w:r w:rsidR="00E73097" w:rsidRPr="0056612F">
              <w:rPr>
                <w:rFonts w:ascii="Arial" w:hAnsi="Arial" w:cs="Arial"/>
                <w:noProof/>
                <w:webHidden/>
                <w:sz w:val="20"/>
                <w:szCs w:val="20"/>
              </w:rPr>
              <w:fldChar w:fldCharType="end"/>
            </w:r>
          </w:hyperlink>
        </w:p>
        <w:p w14:paraId="6A685DC5" w14:textId="68B9980C"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74" w:history="1">
            <w:r w:rsidR="00E73097" w:rsidRPr="0056612F">
              <w:rPr>
                <w:rStyle w:val="Hyperlink"/>
                <w:rFonts w:ascii="Arial" w:hAnsi="Arial" w:cs="Arial"/>
                <w:noProof/>
                <w:sz w:val="20"/>
                <w:szCs w:val="20"/>
              </w:rPr>
              <w:t>Reporting units</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_Toc117695174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3</w:t>
            </w:r>
            <w:r w:rsidR="00E73097" w:rsidRPr="0056612F">
              <w:rPr>
                <w:rFonts w:ascii="Arial" w:hAnsi="Arial" w:cs="Arial"/>
                <w:noProof/>
                <w:webHidden/>
                <w:sz w:val="20"/>
                <w:szCs w:val="20"/>
              </w:rPr>
              <w:fldChar w:fldCharType="end"/>
            </w:r>
          </w:hyperlink>
        </w:p>
        <w:p w14:paraId="40E2354B" w14:textId="505FBF2E"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75" w:history="1">
            <w:r w:rsidR="00E73097" w:rsidRPr="0056612F">
              <w:rPr>
                <w:rStyle w:val="Hyperlink"/>
                <w:rFonts w:ascii="Arial" w:hAnsi="Arial" w:cs="Arial"/>
                <w:noProof/>
                <w:sz w:val="20"/>
                <w:szCs w:val="20"/>
              </w:rPr>
              <w:t>Data</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_Toc117695175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4</w:t>
            </w:r>
            <w:r w:rsidR="00E73097" w:rsidRPr="0056612F">
              <w:rPr>
                <w:rFonts w:ascii="Arial" w:hAnsi="Arial" w:cs="Arial"/>
                <w:noProof/>
                <w:webHidden/>
                <w:sz w:val="20"/>
                <w:szCs w:val="20"/>
              </w:rPr>
              <w:fldChar w:fldCharType="end"/>
            </w:r>
          </w:hyperlink>
        </w:p>
        <w:p w14:paraId="41235936" w14:textId="7652EBB1"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76" w:history="1">
            <w:r w:rsidR="00E73097" w:rsidRPr="0056612F">
              <w:rPr>
                <w:rStyle w:val="Hyperlink"/>
                <w:rFonts w:ascii="Arial" w:hAnsi="Arial" w:cs="Arial"/>
                <w:noProof/>
                <w:sz w:val="20"/>
                <w:szCs w:val="20"/>
              </w:rPr>
              <w:t>Validation rules</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_Toc117695176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4</w:t>
            </w:r>
            <w:r w:rsidR="00E73097" w:rsidRPr="0056612F">
              <w:rPr>
                <w:rFonts w:ascii="Arial" w:hAnsi="Arial" w:cs="Arial"/>
                <w:noProof/>
                <w:webHidden/>
                <w:sz w:val="20"/>
                <w:szCs w:val="20"/>
              </w:rPr>
              <w:fldChar w:fldCharType="end"/>
            </w:r>
          </w:hyperlink>
        </w:p>
        <w:p w14:paraId="042233BA" w14:textId="4B63DC10" w:rsidR="00E73097" w:rsidRPr="0056612F" w:rsidRDefault="00000000">
          <w:pPr>
            <w:pStyle w:val="TOC1"/>
            <w:tabs>
              <w:tab w:val="left" w:pos="442"/>
              <w:tab w:val="right" w:leader="dot" w:pos="9016"/>
            </w:tabs>
            <w:rPr>
              <w:rFonts w:ascii="Arial" w:eastAsiaTheme="minorEastAsia" w:hAnsi="Arial" w:cs="Arial"/>
              <w:noProof/>
              <w:sz w:val="20"/>
              <w:szCs w:val="20"/>
              <w:lang w:eastAsia="en-GB"/>
            </w:rPr>
          </w:pPr>
          <w:hyperlink w:anchor="_Toc117695177" w:history="1">
            <w:r w:rsidR="00E73097" w:rsidRPr="0056612F">
              <w:rPr>
                <w:rStyle w:val="Hyperlink"/>
                <w:rFonts w:ascii="Arial" w:eastAsia="Times New Roman" w:hAnsi="Arial" w:cs="Arial"/>
                <w:noProof/>
                <w:kern w:val="28"/>
                <w:sz w:val="20"/>
                <w:szCs w:val="20"/>
                <w:lang w:eastAsia="en-GB"/>
              </w:rPr>
              <w:t>2.</w:t>
            </w:r>
            <w:r w:rsidR="00E73097" w:rsidRPr="0056612F">
              <w:rPr>
                <w:rFonts w:ascii="Arial" w:eastAsiaTheme="minorEastAsia" w:hAnsi="Arial" w:cs="Arial"/>
                <w:noProof/>
                <w:sz w:val="20"/>
                <w:szCs w:val="20"/>
                <w:lang w:eastAsia="en-GB"/>
              </w:rPr>
              <w:tab/>
            </w:r>
            <w:r w:rsidR="00E73097" w:rsidRPr="0056612F">
              <w:rPr>
                <w:rStyle w:val="Hyperlink"/>
                <w:rFonts w:ascii="Arial" w:eastAsia="Times New Roman" w:hAnsi="Arial" w:cs="Arial"/>
                <w:noProof/>
                <w:kern w:val="28"/>
                <w:sz w:val="20"/>
                <w:szCs w:val="20"/>
                <w:lang w:eastAsia="en-GB"/>
              </w:rPr>
              <w:t>Specific instructions</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_Toc117695177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4</w:t>
            </w:r>
            <w:r w:rsidR="00E73097" w:rsidRPr="0056612F">
              <w:rPr>
                <w:rFonts w:ascii="Arial" w:hAnsi="Arial" w:cs="Arial"/>
                <w:noProof/>
                <w:webHidden/>
                <w:sz w:val="20"/>
                <w:szCs w:val="20"/>
              </w:rPr>
              <w:fldChar w:fldCharType="end"/>
            </w:r>
          </w:hyperlink>
        </w:p>
        <w:p w14:paraId="2F272882" w14:textId="7A1A2405"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78" w:history="1">
            <w:r w:rsidR="00E73097" w:rsidRPr="0056612F">
              <w:rPr>
                <w:rStyle w:val="Hyperlink"/>
                <w:rFonts w:ascii="Arial" w:hAnsi="Arial" w:cs="Arial"/>
                <w:noProof/>
                <w:sz w:val="20"/>
                <w:szCs w:val="20"/>
              </w:rPr>
              <w:t>Tab 0 “Identification”</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_Toc117695178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4</w:t>
            </w:r>
            <w:r w:rsidR="00E73097" w:rsidRPr="0056612F">
              <w:rPr>
                <w:rFonts w:ascii="Arial" w:hAnsi="Arial" w:cs="Arial"/>
                <w:noProof/>
                <w:webHidden/>
                <w:sz w:val="20"/>
                <w:szCs w:val="20"/>
              </w:rPr>
              <w:fldChar w:fldCharType="end"/>
            </w:r>
          </w:hyperlink>
        </w:p>
        <w:p w14:paraId="0C49D713" w14:textId="4387CC6E"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79" w:history="1">
            <w:r w:rsidR="00E73097" w:rsidRPr="0056612F">
              <w:rPr>
                <w:rStyle w:val="Hyperlink"/>
                <w:rFonts w:ascii="Arial" w:hAnsi="Arial" w:cs="Arial"/>
                <w:noProof/>
                <w:sz w:val="20"/>
                <w:szCs w:val="20"/>
              </w:rPr>
              <w:t>Tab 1 “General info”</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_Toc117695179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4</w:t>
            </w:r>
            <w:r w:rsidR="00E73097" w:rsidRPr="0056612F">
              <w:rPr>
                <w:rFonts w:ascii="Arial" w:hAnsi="Arial" w:cs="Arial"/>
                <w:noProof/>
                <w:webHidden/>
                <w:sz w:val="20"/>
                <w:szCs w:val="20"/>
              </w:rPr>
              <w:fldChar w:fldCharType="end"/>
            </w:r>
          </w:hyperlink>
        </w:p>
        <w:p w14:paraId="07CCB133" w14:textId="4E4644E0"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80" w:history="1">
            <w:r w:rsidR="00E73097" w:rsidRPr="0056612F">
              <w:rPr>
                <w:rStyle w:val="Hyperlink"/>
                <w:rFonts w:ascii="Arial" w:hAnsi="Arial" w:cs="Arial"/>
                <w:noProof/>
                <w:sz w:val="20"/>
                <w:szCs w:val="20"/>
              </w:rPr>
              <w:t>Tab 2 “Accounting treatment (RF)”</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_Toc117695180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6</w:t>
            </w:r>
            <w:r w:rsidR="00E73097" w:rsidRPr="0056612F">
              <w:rPr>
                <w:rFonts w:ascii="Arial" w:hAnsi="Arial" w:cs="Arial"/>
                <w:noProof/>
                <w:webHidden/>
                <w:sz w:val="20"/>
                <w:szCs w:val="20"/>
              </w:rPr>
              <w:fldChar w:fldCharType="end"/>
            </w:r>
          </w:hyperlink>
        </w:p>
        <w:p w14:paraId="52B694F8" w14:textId="624B9D11"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81" w:history="1">
            <w:r w:rsidR="00E73097" w:rsidRPr="0056612F">
              <w:rPr>
                <w:rStyle w:val="Hyperlink"/>
                <w:rFonts w:ascii="Arial" w:hAnsi="Arial" w:cs="Arial"/>
                <w:noProof/>
                <w:sz w:val="20"/>
                <w:szCs w:val="20"/>
              </w:rPr>
              <w:t>Tab 3 “Accounting treatment (DGS)”</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_Toc117695181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8</w:t>
            </w:r>
            <w:r w:rsidR="00E73097" w:rsidRPr="0056612F">
              <w:rPr>
                <w:rFonts w:ascii="Arial" w:hAnsi="Arial" w:cs="Arial"/>
                <w:noProof/>
                <w:webHidden/>
                <w:sz w:val="20"/>
                <w:szCs w:val="20"/>
              </w:rPr>
              <w:fldChar w:fldCharType="end"/>
            </w:r>
          </w:hyperlink>
        </w:p>
        <w:p w14:paraId="417DC4B6" w14:textId="7AA53FEF"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82" w:history="1">
            <w:r w:rsidR="00E73097" w:rsidRPr="0056612F">
              <w:rPr>
                <w:rStyle w:val="Hyperlink"/>
                <w:rFonts w:ascii="Arial" w:hAnsi="Arial" w:cs="Arial"/>
                <w:noProof/>
                <w:sz w:val="20"/>
                <w:szCs w:val="20"/>
              </w:rPr>
              <w:t>Tab 4 “Accounting treatment (voluntary DGS)”</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_Toc117695182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9</w:t>
            </w:r>
            <w:r w:rsidR="00E73097" w:rsidRPr="0056612F">
              <w:rPr>
                <w:rFonts w:ascii="Arial" w:hAnsi="Arial" w:cs="Arial"/>
                <w:noProof/>
                <w:webHidden/>
                <w:sz w:val="20"/>
                <w:szCs w:val="20"/>
              </w:rPr>
              <w:fldChar w:fldCharType="end"/>
            </w:r>
          </w:hyperlink>
        </w:p>
        <w:p w14:paraId="10F0530F" w14:textId="12EAA780"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83" w:history="1">
            <w:r w:rsidR="00E73097" w:rsidRPr="0056612F">
              <w:rPr>
                <w:rStyle w:val="Hyperlink"/>
                <w:rFonts w:ascii="Arial" w:hAnsi="Arial" w:cs="Arial"/>
                <w:noProof/>
                <w:sz w:val="20"/>
                <w:szCs w:val="20"/>
              </w:rPr>
              <w:t>Tab 5 “Capital and liquidity treatment (RF)”</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_Toc117695183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10</w:t>
            </w:r>
            <w:r w:rsidR="00E73097" w:rsidRPr="0056612F">
              <w:rPr>
                <w:rFonts w:ascii="Arial" w:hAnsi="Arial" w:cs="Arial"/>
                <w:noProof/>
                <w:webHidden/>
                <w:sz w:val="20"/>
                <w:szCs w:val="20"/>
              </w:rPr>
              <w:fldChar w:fldCharType="end"/>
            </w:r>
          </w:hyperlink>
        </w:p>
        <w:p w14:paraId="6EAF313A" w14:textId="6A246F74"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84" w:history="1">
            <w:r w:rsidR="00E73097" w:rsidRPr="0056612F">
              <w:rPr>
                <w:rStyle w:val="Hyperlink"/>
                <w:rFonts w:ascii="Arial" w:hAnsi="Arial" w:cs="Arial"/>
                <w:noProof/>
                <w:sz w:val="20"/>
                <w:szCs w:val="20"/>
              </w:rPr>
              <w:t>Tab 6 “Capital and liquidity treatment (DGS)”</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_Toc117695184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13</w:t>
            </w:r>
            <w:r w:rsidR="00E73097" w:rsidRPr="0056612F">
              <w:rPr>
                <w:rFonts w:ascii="Arial" w:hAnsi="Arial" w:cs="Arial"/>
                <w:noProof/>
                <w:webHidden/>
                <w:sz w:val="20"/>
                <w:szCs w:val="20"/>
              </w:rPr>
              <w:fldChar w:fldCharType="end"/>
            </w:r>
          </w:hyperlink>
        </w:p>
        <w:p w14:paraId="5200628C" w14:textId="3D3090BD"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85" w:history="1">
            <w:r w:rsidR="00E73097" w:rsidRPr="0056612F">
              <w:rPr>
                <w:rStyle w:val="Hyperlink"/>
                <w:rFonts w:ascii="Arial" w:hAnsi="Arial" w:cs="Arial"/>
                <w:noProof/>
                <w:sz w:val="20"/>
                <w:szCs w:val="20"/>
              </w:rPr>
              <w:t>Tab 7 “Capital and liquidity treatment (voluntary DGS)”</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_Toc117695185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15</w:t>
            </w:r>
            <w:r w:rsidR="00E73097" w:rsidRPr="0056612F">
              <w:rPr>
                <w:rFonts w:ascii="Arial" w:hAnsi="Arial" w:cs="Arial"/>
                <w:noProof/>
                <w:webHidden/>
                <w:sz w:val="20"/>
                <w:szCs w:val="20"/>
              </w:rPr>
              <w:fldChar w:fldCharType="end"/>
            </w:r>
          </w:hyperlink>
        </w:p>
        <w:p w14:paraId="73D18506" w14:textId="6832B6BD" w:rsidR="00E73097" w:rsidRPr="0056612F" w:rsidRDefault="00000000">
          <w:pPr>
            <w:pStyle w:val="TOC2"/>
            <w:tabs>
              <w:tab w:val="right" w:leader="dot" w:pos="9016"/>
            </w:tabs>
            <w:rPr>
              <w:rFonts w:ascii="Arial" w:eastAsiaTheme="minorEastAsia" w:hAnsi="Arial" w:cs="Arial"/>
              <w:noProof/>
              <w:sz w:val="20"/>
              <w:szCs w:val="20"/>
              <w:lang w:eastAsia="en-GB"/>
            </w:rPr>
          </w:pPr>
          <w:hyperlink w:anchor="_Toc117695186" w:history="1">
            <w:r w:rsidR="00E73097" w:rsidRPr="0056612F">
              <w:rPr>
                <w:rStyle w:val="Hyperlink"/>
                <w:rFonts w:ascii="Arial" w:hAnsi="Arial" w:cs="Arial"/>
                <w:noProof/>
                <w:sz w:val="20"/>
                <w:szCs w:val="20"/>
              </w:rPr>
              <w:t>Tab 8 “IPC risk management”</w:t>
            </w:r>
            <w:r w:rsidR="00E73097" w:rsidRPr="0056612F">
              <w:rPr>
                <w:rFonts w:ascii="Arial" w:hAnsi="Arial" w:cs="Arial"/>
                <w:noProof/>
                <w:webHidden/>
                <w:sz w:val="20"/>
                <w:szCs w:val="20"/>
              </w:rPr>
              <w:tab/>
            </w:r>
            <w:r w:rsidR="00E73097" w:rsidRPr="0056612F">
              <w:rPr>
                <w:rFonts w:ascii="Arial" w:hAnsi="Arial" w:cs="Arial"/>
                <w:noProof/>
                <w:webHidden/>
                <w:sz w:val="20"/>
                <w:szCs w:val="20"/>
              </w:rPr>
              <w:fldChar w:fldCharType="begin"/>
            </w:r>
            <w:r w:rsidR="00E73097" w:rsidRPr="0056612F">
              <w:rPr>
                <w:rFonts w:ascii="Arial" w:hAnsi="Arial" w:cs="Arial"/>
                <w:noProof/>
                <w:webHidden/>
                <w:sz w:val="20"/>
                <w:szCs w:val="20"/>
              </w:rPr>
              <w:instrText xml:space="preserve"> PAGEREF _Toc117695186 \h </w:instrText>
            </w:r>
            <w:r w:rsidR="00E73097" w:rsidRPr="0056612F">
              <w:rPr>
                <w:rFonts w:ascii="Arial" w:hAnsi="Arial" w:cs="Arial"/>
                <w:noProof/>
                <w:webHidden/>
                <w:sz w:val="20"/>
                <w:szCs w:val="20"/>
              </w:rPr>
            </w:r>
            <w:r w:rsidR="00E73097" w:rsidRPr="0056612F">
              <w:rPr>
                <w:rFonts w:ascii="Arial" w:hAnsi="Arial" w:cs="Arial"/>
                <w:noProof/>
                <w:webHidden/>
                <w:sz w:val="20"/>
                <w:szCs w:val="20"/>
              </w:rPr>
              <w:fldChar w:fldCharType="separate"/>
            </w:r>
            <w:r w:rsidR="00E73097" w:rsidRPr="0056612F">
              <w:rPr>
                <w:rFonts w:ascii="Arial" w:hAnsi="Arial" w:cs="Arial"/>
                <w:noProof/>
                <w:webHidden/>
                <w:sz w:val="20"/>
                <w:szCs w:val="20"/>
              </w:rPr>
              <w:t>18</w:t>
            </w:r>
            <w:r w:rsidR="00E73097" w:rsidRPr="0056612F">
              <w:rPr>
                <w:rFonts w:ascii="Arial" w:hAnsi="Arial" w:cs="Arial"/>
                <w:noProof/>
                <w:webHidden/>
                <w:sz w:val="20"/>
                <w:szCs w:val="20"/>
              </w:rPr>
              <w:fldChar w:fldCharType="end"/>
            </w:r>
          </w:hyperlink>
        </w:p>
        <w:p w14:paraId="7AF2EDE9" w14:textId="77777777" w:rsidR="00271777" w:rsidRPr="0056612F" w:rsidRDefault="00271777" w:rsidP="00271777">
          <w:pPr>
            <w:spacing w:before="120" w:line="240" w:lineRule="auto"/>
            <w:jc w:val="both"/>
            <w:rPr>
              <w:rFonts w:ascii="Arial" w:hAnsi="Arial" w:cs="Arial"/>
              <w:sz w:val="20"/>
              <w:szCs w:val="20"/>
            </w:rPr>
          </w:pPr>
          <w:r w:rsidRPr="0056612F">
            <w:rPr>
              <w:rFonts w:ascii="Arial" w:hAnsi="Arial" w:cs="Arial"/>
              <w:b/>
              <w:bCs/>
              <w:noProof/>
              <w:sz w:val="20"/>
              <w:szCs w:val="20"/>
            </w:rPr>
            <w:fldChar w:fldCharType="end"/>
          </w:r>
        </w:p>
      </w:sdtContent>
    </w:sdt>
    <w:p w14:paraId="549DFFA6" w14:textId="77777777" w:rsidR="00271777" w:rsidRPr="0056612F" w:rsidRDefault="00271777" w:rsidP="00271777">
      <w:pPr>
        <w:rPr>
          <w:rFonts w:ascii="Arial" w:eastAsia="Times New Roman" w:hAnsi="Arial" w:cs="Arial"/>
          <w:b/>
          <w:bCs/>
          <w:kern w:val="28"/>
          <w:sz w:val="20"/>
          <w:szCs w:val="20"/>
          <w:lang w:eastAsia="en-GB"/>
        </w:rPr>
      </w:pPr>
      <w:r w:rsidRPr="0056612F">
        <w:rPr>
          <w:rFonts w:ascii="Arial" w:eastAsia="Times New Roman" w:hAnsi="Arial" w:cs="Arial"/>
          <w:kern w:val="28"/>
          <w:sz w:val="20"/>
          <w:szCs w:val="20"/>
          <w:lang w:eastAsia="en-GB"/>
        </w:rPr>
        <w:br w:type="page"/>
      </w:r>
    </w:p>
    <w:p w14:paraId="4C6574D2" w14:textId="77777777" w:rsidR="00271777" w:rsidRPr="0056612F" w:rsidRDefault="00271777" w:rsidP="00271777">
      <w:pPr>
        <w:pStyle w:val="Heading1"/>
        <w:keepLines w:val="0"/>
        <w:numPr>
          <w:ilvl w:val="0"/>
          <w:numId w:val="1"/>
        </w:numPr>
        <w:tabs>
          <w:tab w:val="num" w:pos="567"/>
          <w:tab w:val="left" w:pos="851"/>
          <w:tab w:val="right" w:pos="9356"/>
        </w:tabs>
        <w:spacing w:before="120" w:after="120" w:line="360" w:lineRule="auto"/>
        <w:ind w:left="567" w:hanging="567"/>
        <w:jc w:val="both"/>
        <w:rPr>
          <w:rFonts w:ascii="Arial" w:eastAsia="Times New Roman" w:hAnsi="Arial" w:cs="Arial"/>
          <w:color w:val="auto"/>
          <w:kern w:val="28"/>
          <w:sz w:val="20"/>
          <w:szCs w:val="20"/>
          <w:lang w:eastAsia="en-GB"/>
        </w:rPr>
      </w:pPr>
      <w:bookmarkStart w:id="0" w:name="_Toc518916485"/>
      <w:bookmarkStart w:id="1" w:name="_Toc117695171"/>
      <w:r w:rsidRPr="0056612F">
        <w:rPr>
          <w:rFonts w:ascii="Arial" w:eastAsia="Times New Roman" w:hAnsi="Arial" w:cs="Arial"/>
          <w:color w:val="auto"/>
          <w:kern w:val="28"/>
          <w:sz w:val="20"/>
          <w:szCs w:val="20"/>
          <w:lang w:eastAsia="en-GB"/>
        </w:rPr>
        <w:lastRenderedPageBreak/>
        <w:t>General instructions</w:t>
      </w:r>
      <w:bookmarkEnd w:id="0"/>
      <w:bookmarkEnd w:id="1"/>
    </w:p>
    <w:p w14:paraId="6B3F7D3E" w14:textId="0776A80E" w:rsidR="00271777" w:rsidRPr="0056612F" w:rsidRDefault="0064493B" w:rsidP="00271777">
      <w:pPr>
        <w:pStyle w:val="Heading2"/>
        <w:spacing w:before="120" w:after="240" w:line="360" w:lineRule="auto"/>
        <w:ind w:left="720"/>
        <w:rPr>
          <w:rFonts w:ascii="Arial" w:hAnsi="Arial" w:cs="Arial"/>
          <w:color w:val="auto"/>
          <w:sz w:val="20"/>
          <w:szCs w:val="20"/>
        </w:rPr>
      </w:pPr>
      <w:bookmarkStart w:id="2" w:name="_Toc518916486"/>
      <w:bookmarkStart w:id="3" w:name="_Toc117695172"/>
      <w:r w:rsidRPr="0056612F">
        <w:rPr>
          <w:rFonts w:ascii="Arial" w:hAnsi="Arial" w:cs="Arial"/>
          <w:color w:val="auto"/>
          <w:sz w:val="20"/>
          <w:szCs w:val="20"/>
        </w:rPr>
        <w:t>B</w:t>
      </w:r>
      <w:r w:rsidR="00271777" w:rsidRPr="0056612F">
        <w:rPr>
          <w:rFonts w:ascii="Arial" w:hAnsi="Arial" w:cs="Arial"/>
          <w:color w:val="auto"/>
          <w:sz w:val="20"/>
          <w:szCs w:val="20"/>
        </w:rPr>
        <w:t>ackground</w:t>
      </w:r>
      <w:bookmarkEnd w:id="2"/>
      <w:bookmarkEnd w:id="3"/>
    </w:p>
    <w:p w14:paraId="329ED22D" w14:textId="4313E9C9" w:rsidR="0064493B" w:rsidRPr="0056612F" w:rsidRDefault="0064493B"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In case your institution has entered into Irrevocable Payment Commitments (IPC) to the Sigle Resolution Fund (SRF) and/or to the national Resolution Fund and/or to the national Deposit Guarantee Scheme (DGS) and or to the national voluntary Deposit Guarantee Scheme (voluntary DGS), we intend to assess within the Supervisory Review and Evaluation Process (SREP) whether and how the associated risk of a potential overstatement of CET1 – caused by the fact that the collateral posted either to the SRF and/or to the (voluntary) DGS and recorded as an asset on the balance sheet may not be retrieved without a counterbalancing cash payment</w:t>
      </w:r>
      <w:r w:rsidR="00545C3D" w:rsidRPr="0056612F">
        <w:rPr>
          <w:rFonts w:ascii="Arial" w:hAnsi="Arial" w:cs="Arial"/>
          <w:sz w:val="20"/>
          <w:szCs w:val="20"/>
        </w:rPr>
        <w:t xml:space="preserve"> – is managed. </w:t>
      </w:r>
      <w:r w:rsidRPr="0056612F">
        <w:rPr>
          <w:rFonts w:ascii="Arial" w:hAnsi="Arial" w:cs="Arial"/>
          <w:sz w:val="20"/>
          <w:szCs w:val="20"/>
        </w:rPr>
        <w:t xml:space="preserve"> </w:t>
      </w:r>
    </w:p>
    <w:p w14:paraId="03129011" w14:textId="6DCCA399" w:rsidR="0064493B" w:rsidRPr="0056612F" w:rsidRDefault="0064493B"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In some Member States, (statutory) deposit guarantee schemes (DGS) can be supplemented by voluntary deposit guarantee schemes (voluntary DGS) </w:t>
      </w:r>
      <w:proofErr w:type="gramStart"/>
      <w:r w:rsidRPr="0056612F">
        <w:rPr>
          <w:rFonts w:ascii="Arial" w:hAnsi="Arial" w:cs="Arial"/>
          <w:sz w:val="20"/>
          <w:szCs w:val="20"/>
        </w:rPr>
        <w:t>in order to</w:t>
      </w:r>
      <w:proofErr w:type="gramEnd"/>
      <w:r w:rsidRPr="0056612F">
        <w:rPr>
          <w:rFonts w:ascii="Arial" w:hAnsi="Arial" w:cs="Arial"/>
          <w:sz w:val="20"/>
          <w:szCs w:val="20"/>
        </w:rPr>
        <w:t xml:space="preserve"> provide additional deposit protection pursuant to Directive 2014/49/EU as transposed into national law. Therefore, in case your institution has </w:t>
      </w:r>
      <w:proofErr w:type="gramStart"/>
      <w:r w:rsidRPr="0056612F">
        <w:rPr>
          <w:rFonts w:ascii="Arial" w:hAnsi="Arial" w:cs="Arial"/>
          <w:sz w:val="20"/>
          <w:szCs w:val="20"/>
        </w:rPr>
        <w:t>entered into</w:t>
      </w:r>
      <w:proofErr w:type="gramEnd"/>
      <w:r w:rsidRPr="0056612F">
        <w:rPr>
          <w:rFonts w:ascii="Arial" w:hAnsi="Arial" w:cs="Arial"/>
          <w:sz w:val="20"/>
          <w:szCs w:val="20"/>
        </w:rPr>
        <w:t xml:space="preserve"> Irrevocable Payment Commitments (IPCs) to the voluntary DGS, please</w:t>
      </w:r>
      <w:r w:rsidR="00545C3D" w:rsidRPr="0056612F">
        <w:rPr>
          <w:rFonts w:ascii="Arial" w:hAnsi="Arial" w:cs="Arial"/>
          <w:sz w:val="20"/>
          <w:szCs w:val="20"/>
        </w:rPr>
        <w:t xml:space="preserve"> </w:t>
      </w:r>
      <w:r w:rsidRPr="0056612F">
        <w:rPr>
          <w:rFonts w:ascii="Arial" w:hAnsi="Arial" w:cs="Arial"/>
          <w:sz w:val="20"/>
          <w:szCs w:val="20"/>
        </w:rPr>
        <w:t xml:space="preserve">note that information needs to be provided to assess the related IPC risk. </w:t>
      </w:r>
    </w:p>
    <w:p w14:paraId="045DDC95" w14:textId="199A8BE5" w:rsidR="00E73097" w:rsidRPr="0056612F" w:rsidRDefault="00E73097" w:rsidP="00271777">
      <w:pPr>
        <w:pStyle w:val="ListParagraph"/>
        <w:numPr>
          <w:ilvl w:val="0"/>
          <w:numId w:val="2"/>
        </w:numPr>
        <w:spacing w:before="120" w:line="360" w:lineRule="auto"/>
        <w:ind w:left="426"/>
        <w:jc w:val="both"/>
        <w:rPr>
          <w:rFonts w:ascii="Arial" w:hAnsi="Arial" w:cs="Arial"/>
          <w:sz w:val="20"/>
          <w:szCs w:val="20"/>
        </w:rPr>
      </w:pPr>
      <w:proofErr w:type="gramStart"/>
      <w:r w:rsidRPr="0056612F">
        <w:rPr>
          <w:rFonts w:ascii="Arial" w:hAnsi="Arial" w:cs="Arial"/>
          <w:sz w:val="20"/>
          <w:szCs w:val="20"/>
        </w:rPr>
        <w:t>In order to</w:t>
      </w:r>
      <w:proofErr w:type="gramEnd"/>
      <w:r w:rsidRPr="0056612F">
        <w:rPr>
          <w:rFonts w:ascii="Arial" w:hAnsi="Arial" w:cs="Arial"/>
          <w:sz w:val="20"/>
          <w:szCs w:val="20"/>
        </w:rPr>
        <w:t xml:space="preserve"> be able to assess whether and how institutions manage this risk, institutions are asked to explain how the arrangement, strategies, processes and mechanisms implemented at the institution and the own funds and liquidity held by the institution do ensure a sound management and coverage of this risk (Article 16(1)(c) SSM Regulation). </w:t>
      </w:r>
      <w:proofErr w:type="gramStart"/>
      <w:r w:rsidRPr="0056612F">
        <w:rPr>
          <w:rFonts w:ascii="Arial" w:hAnsi="Arial" w:cs="Arial"/>
          <w:sz w:val="20"/>
          <w:szCs w:val="20"/>
        </w:rPr>
        <w:t>In particular, institutions</w:t>
      </w:r>
      <w:proofErr w:type="gramEnd"/>
      <w:r w:rsidRPr="0056612F">
        <w:rPr>
          <w:rFonts w:ascii="Arial" w:hAnsi="Arial" w:cs="Arial"/>
          <w:sz w:val="20"/>
          <w:szCs w:val="20"/>
        </w:rPr>
        <w:t xml:space="preserve"> are asked to explain how the institution treats the economic sacrifice from providing the collateral to the SRF and/or DGS and/or voluntary DGS in the existing systems. This economic sacrifice results from the fact that (i) there is only a remote probability of retrieving the collateral (considering that a voluntary redemption would require a counterbalancing cash outflow in the form of an outright contribution); and (ii) the fact that the collateral is contributed over an indefinite term while only earning a low, overnight interest rate.</w:t>
      </w:r>
    </w:p>
    <w:p w14:paraId="11B09688" w14:textId="519CA4BB" w:rsidR="00545C3D" w:rsidRPr="0056612F" w:rsidRDefault="00545C3D"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Institutions that are within the scope of the IPC template should report: </w:t>
      </w:r>
    </w:p>
    <w:p w14:paraId="016889F5" w14:textId="48DD26DD" w:rsidR="00545C3D" w:rsidRPr="0056612F" w:rsidRDefault="00545C3D" w:rsidP="000F3B77">
      <w:pPr>
        <w:pStyle w:val="ListParagraph"/>
        <w:numPr>
          <w:ilvl w:val="1"/>
          <w:numId w:val="2"/>
        </w:numPr>
        <w:spacing w:before="120" w:line="360" w:lineRule="auto"/>
        <w:ind w:left="709" w:hanging="142"/>
        <w:jc w:val="both"/>
        <w:rPr>
          <w:rFonts w:ascii="Arial" w:hAnsi="Arial" w:cs="Arial"/>
          <w:sz w:val="20"/>
          <w:szCs w:val="20"/>
        </w:rPr>
      </w:pPr>
      <w:r w:rsidRPr="0056612F">
        <w:rPr>
          <w:rFonts w:ascii="Arial" w:hAnsi="Arial" w:cs="Arial"/>
          <w:sz w:val="20"/>
          <w:szCs w:val="20"/>
        </w:rPr>
        <w:t>on a consolidated and sub-consolidated basis, if applicable: all significant institutions within the EU (i.e., parents and subsidiaries) and non-SSM EU subsidiaries; and</w:t>
      </w:r>
    </w:p>
    <w:p w14:paraId="16D08F68" w14:textId="0A331033" w:rsidR="00545C3D" w:rsidRPr="0056612F" w:rsidRDefault="00545C3D" w:rsidP="000F3B77">
      <w:pPr>
        <w:pStyle w:val="ListParagraph"/>
        <w:numPr>
          <w:ilvl w:val="1"/>
          <w:numId w:val="2"/>
        </w:numPr>
        <w:spacing w:before="120" w:line="360" w:lineRule="auto"/>
        <w:ind w:left="709" w:hanging="142"/>
        <w:jc w:val="both"/>
        <w:rPr>
          <w:rFonts w:ascii="Arial" w:hAnsi="Arial" w:cs="Arial"/>
          <w:sz w:val="20"/>
          <w:szCs w:val="20"/>
        </w:rPr>
      </w:pPr>
      <w:r w:rsidRPr="0056612F">
        <w:rPr>
          <w:rFonts w:ascii="Arial" w:hAnsi="Arial" w:cs="Arial"/>
          <w:sz w:val="20"/>
          <w:szCs w:val="20"/>
        </w:rPr>
        <w:t>on an individual basis, as applicable: all significant institutions within the EU which are not waived from capital requirements pursuant to Article</w:t>
      </w:r>
      <w:r w:rsidR="00180ED6" w:rsidRPr="0056612F">
        <w:rPr>
          <w:rFonts w:ascii="Arial" w:hAnsi="Arial" w:cs="Arial"/>
          <w:sz w:val="20"/>
          <w:szCs w:val="20"/>
        </w:rPr>
        <w:t>s</w:t>
      </w:r>
      <w:r w:rsidRPr="0056612F">
        <w:rPr>
          <w:rFonts w:ascii="Arial" w:hAnsi="Arial" w:cs="Arial"/>
          <w:sz w:val="20"/>
          <w:szCs w:val="20"/>
        </w:rPr>
        <w:t xml:space="preserve"> 7 CRR</w:t>
      </w:r>
      <w:r w:rsidR="002114E2" w:rsidRPr="0056612F">
        <w:rPr>
          <w:rFonts w:ascii="Arial" w:hAnsi="Arial" w:cs="Arial"/>
          <w:sz w:val="20"/>
          <w:szCs w:val="20"/>
        </w:rPr>
        <w:t>, 9 CRR or 10 CRR</w:t>
      </w:r>
      <w:r w:rsidRPr="0056612F">
        <w:rPr>
          <w:rFonts w:ascii="Arial" w:hAnsi="Arial" w:cs="Arial"/>
          <w:sz w:val="20"/>
          <w:szCs w:val="20"/>
        </w:rPr>
        <w:t xml:space="preserve">. </w:t>
      </w:r>
    </w:p>
    <w:p w14:paraId="089D73ED" w14:textId="5EAD187F" w:rsidR="001E71B5" w:rsidRPr="0056612F" w:rsidRDefault="001E71B5" w:rsidP="000F3B77">
      <w:pPr>
        <w:pStyle w:val="ListParagraph"/>
        <w:numPr>
          <w:ilvl w:val="0"/>
          <w:numId w:val="2"/>
        </w:numPr>
        <w:spacing w:before="120" w:line="360" w:lineRule="auto"/>
        <w:ind w:left="426"/>
        <w:jc w:val="both"/>
        <w:rPr>
          <w:rFonts w:ascii="Arial" w:hAnsi="Arial" w:cs="Arial"/>
          <w:sz w:val="20"/>
          <w:szCs w:val="20"/>
        </w:rPr>
      </w:pPr>
      <w:proofErr w:type="gramStart"/>
      <w:r w:rsidRPr="0056612F">
        <w:rPr>
          <w:rFonts w:ascii="Arial" w:hAnsi="Arial" w:cs="Arial"/>
          <w:sz w:val="20"/>
          <w:szCs w:val="20"/>
        </w:rPr>
        <w:t>In order to</w:t>
      </w:r>
      <w:proofErr w:type="gramEnd"/>
      <w:r w:rsidRPr="0056612F">
        <w:rPr>
          <w:rFonts w:ascii="Arial" w:hAnsi="Arial" w:cs="Arial"/>
          <w:sz w:val="20"/>
          <w:szCs w:val="20"/>
        </w:rPr>
        <w:t xml:space="preserve"> be able to perform the assessment of the related IPC risk, please note that the following information needs to be provided by the institutions within scope of the IPC template (see paragraph 3 above):</w:t>
      </w:r>
    </w:p>
    <w:p w14:paraId="3008F982" w14:textId="77777777" w:rsidR="001E71B5" w:rsidRPr="0056612F" w:rsidRDefault="001E71B5" w:rsidP="000F3B77">
      <w:pPr>
        <w:pStyle w:val="ListParagraph"/>
        <w:numPr>
          <w:ilvl w:val="1"/>
          <w:numId w:val="2"/>
        </w:numPr>
        <w:spacing w:before="120" w:line="360" w:lineRule="auto"/>
        <w:ind w:left="709" w:hanging="142"/>
        <w:jc w:val="both"/>
        <w:rPr>
          <w:rFonts w:ascii="Arial" w:hAnsi="Arial" w:cs="Arial"/>
          <w:i/>
          <w:sz w:val="20"/>
          <w:szCs w:val="20"/>
        </w:rPr>
      </w:pPr>
      <w:r w:rsidRPr="0056612F">
        <w:rPr>
          <w:rFonts w:ascii="Arial" w:hAnsi="Arial" w:cs="Arial"/>
          <w:iCs/>
          <w:sz w:val="20"/>
          <w:szCs w:val="20"/>
        </w:rPr>
        <w:t xml:space="preserve">for institutions that have entered for the first time into IPCs, all tabs – from “0. Identification” to “8. IPC Risk Management” shall be filled </w:t>
      </w:r>
      <w:proofErr w:type="gramStart"/>
      <w:r w:rsidRPr="0056612F">
        <w:rPr>
          <w:rFonts w:ascii="Arial" w:hAnsi="Arial" w:cs="Arial"/>
          <w:iCs/>
          <w:sz w:val="20"/>
          <w:szCs w:val="20"/>
        </w:rPr>
        <w:t>out;</w:t>
      </w:r>
      <w:proofErr w:type="gramEnd"/>
      <w:r w:rsidRPr="0056612F">
        <w:rPr>
          <w:rFonts w:ascii="Arial" w:hAnsi="Arial" w:cs="Arial"/>
          <w:iCs/>
          <w:sz w:val="20"/>
          <w:szCs w:val="20"/>
        </w:rPr>
        <w:t xml:space="preserve"> </w:t>
      </w:r>
    </w:p>
    <w:p w14:paraId="0B14DFD2" w14:textId="77777777" w:rsidR="001E71B5" w:rsidRPr="0056612F" w:rsidRDefault="001E71B5" w:rsidP="000F3B77">
      <w:pPr>
        <w:pStyle w:val="ListParagraph"/>
        <w:numPr>
          <w:ilvl w:val="1"/>
          <w:numId w:val="2"/>
        </w:numPr>
        <w:spacing w:before="120" w:line="360" w:lineRule="auto"/>
        <w:ind w:left="709" w:hanging="142"/>
        <w:jc w:val="both"/>
        <w:rPr>
          <w:rFonts w:ascii="Arial" w:hAnsi="Arial" w:cs="Arial"/>
          <w:i/>
          <w:sz w:val="20"/>
          <w:szCs w:val="20"/>
        </w:rPr>
      </w:pPr>
      <w:r w:rsidRPr="0056612F">
        <w:rPr>
          <w:rFonts w:ascii="Arial" w:hAnsi="Arial" w:cs="Arial"/>
          <w:iCs/>
          <w:sz w:val="20"/>
          <w:szCs w:val="20"/>
        </w:rPr>
        <w:t xml:space="preserve">for institutions that have IPC outstanding (i.e., any amount of IPCs that has been subscribed by the institution within the current and/or past years that is still outstanding) and the </w:t>
      </w:r>
      <w:proofErr w:type="gramStart"/>
      <w:r w:rsidRPr="0056612F">
        <w:rPr>
          <w:rFonts w:ascii="Arial" w:hAnsi="Arial" w:cs="Arial"/>
          <w:iCs/>
          <w:sz w:val="20"/>
          <w:szCs w:val="20"/>
        </w:rPr>
        <w:t>factual information</w:t>
      </w:r>
      <w:proofErr w:type="gramEnd"/>
      <w:r w:rsidRPr="0056612F">
        <w:rPr>
          <w:rFonts w:ascii="Arial" w:hAnsi="Arial" w:cs="Arial"/>
          <w:iCs/>
          <w:sz w:val="20"/>
          <w:szCs w:val="20"/>
        </w:rPr>
        <w:t xml:space="preserve"> – since the last available SREP decision – has not changed, only tabs “0. Identification” and “1. General info” shall be filled </w:t>
      </w:r>
      <w:proofErr w:type="gramStart"/>
      <w:r w:rsidRPr="0056612F">
        <w:rPr>
          <w:rFonts w:ascii="Arial" w:hAnsi="Arial" w:cs="Arial"/>
          <w:iCs/>
          <w:sz w:val="20"/>
          <w:szCs w:val="20"/>
        </w:rPr>
        <w:t>out;</w:t>
      </w:r>
      <w:proofErr w:type="gramEnd"/>
      <w:r w:rsidRPr="0056612F">
        <w:rPr>
          <w:rFonts w:ascii="Arial" w:hAnsi="Arial" w:cs="Arial"/>
          <w:iCs/>
          <w:sz w:val="20"/>
          <w:szCs w:val="20"/>
        </w:rPr>
        <w:t xml:space="preserve"> </w:t>
      </w:r>
    </w:p>
    <w:p w14:paraId="6AE38E5D" w14:textId="77777777" w:rsidR="001E71B5" w:rsidRPr="0056612F" w:rsidRDefault="001E71B5" w:rsidP="000F3B77">
      <w:pPr>
        <w:pStyle w:val="ListParagraph"/>
        <w:numPr>
          <w:ilvl w:val="1"/>
          <w:numId w:val="2"/>
        </w:numPr>
        <w:spacing w:before="120" w:line="360" w:lineRule="auto"/>
        <w:ind w:left="709" w:hanging="142"/>
        <w:jc w:val="both"/>
        <w:rPr>
          <w:rFonts w:ascii="Arial" w:hAnsi="Arial" w:cs="Arial"/>
          <w:i/>
          <w:sz w:val="20"/>
          <w:szCs w:val="20"/>
        </w:rPr>
      </w:pPr>
      <w:r w:rsidRPr="0056612F">
        <w:rPr>
          <w:rFonts w:ascii="Arial" w:hAnsi="Arial" w:cs="Arial"/>
          <w:iCs/>
          <w:sz w:val="20"/>
          <w:szCs w:val="20"/>
        </w:rPr>
        <w:lastRenderedPageBreak/>
        <w:t xml:space="preserve">for institutions that have IPCs outstanding and the </w:t>
      </w:r>
      <w:proofErr w:type="gramStart"/>
      <w:r w:rsidRPr="0056612F">
        <w:rPr>
          <w:rFonts w:ascii="Arial" w:hAnsi="Arial" w:cs="Arial"/>
          <w:iCs/>
          <w:sz w:val="20"/>
          <w:szCs w:val="20"/>
        </w:rPr>
        <w:t>factual information</w:t>
      </w:r>
      <w:proofErr w:type="gramEnd"/>
      <w:r w:rsidRPr="0056612F">
        <w:rPr>
          <w:rFonts w:ascii="Arial" w:hAnsi="Arial" w:cs="Arial"/>
          <w:iCs/>
          <w:sz w:val="20"/>
          <w:szCs w:val="20"/>
        </w:rPr>
        <w:t xml:space="preserve"> – since the last available SREP decision – has changed, all tabs – from “0. Identification” to “8. IPC risk management” – shall be filled out; and</w:t>
      </w:r>
    </w:p>
    <w:p w14:paraId="189EF57A" w14:textId="7ED9B16E" w:rsidR="00271777" w:rsidRPr="0056612F" w:rsidRDefault="00D1215C" w:rsidP="000F3B77">
      <w:pPr>
        <w:pStyle w:val="ListParagraph"/>
        <w:numPr>
          <w:ilvl w:val="1"/>
          <w:numId w:val="2"/>
        </w:numPr>
        <w:spacing w:before="120" w:line="360" w:lineRule="auto"/>
        <w:ind w:left="709" w:hanging="142"/>
        <w:jc w:val="both"/>
        <w:rPr>
          <w:rFonts w:ascii="Arial" w:hAnsi="Arial" w:cs="Arial"/>
          <w:i/>
          <w:sz w:val="20"/>
          <w:szCs w:val="20"/>
        </w:rPr>
      </w:pPr>
      <w:r w:rsidRPr="00D1215C">
        <w:rPr>
          <w:rFonts w:ascii="Arial" w:hAnsi="Arial" w:cs="Arial"/>
          <w:iCs/>
          <w:sz w:val="20"/>
          <w:szCs w:val="20"/>
        </w:rPr>
        <w:t xml:space="preserve">For institutions that do not have outstanding IPCs, only tab 0_Identification shall be populated, with the resulting template submitted in CASPER. In addition to this, a written confirmation from the institution stating that it has not </w:t>
      </w:r>
      <w:proofErr w:type="gramStart"/>
      <w:r w:rsidRPr="00D1215C">
        <w:rPr>
          <w:rFonts w:ascii="Arial" w:hAnsi="Arial" w:cs="Arial"/>
          <w:iCs/>
          <w:sz w:val="20"/>
          <w:szCs w:val="20"/>
        </w:rPr>
        <w:t>entered into</w:t>
      </w:r>
      <w:proofErr w:type="gramEnd"/>
      <w:r w:rsidRPr="00D1215C">
        <w:rPr>
          <w:rFonts w:ascii="Arial" w:hAnsi="Arial" w:cs="Arial"/>
          <w:iCs/>
          <w:sz w:val="20"/>
          <w:szCs w:val="20"/>
        </w:rPr>
        <w:t xml:space="preserve"> IPCs signed by a person duly authorised to make such a statement has to be submitted as an attachment in CASPER.</w:t>
      </w:r>
    </w:p>
    <w:p w14:paraId="63A12420" w14:textId="77777777" w:rsidR="00870DF1" w:rsidRPr="0056612F" w:rsidRDefault="00870DF1" w:rsidP="00271777">
      <w:pPr>
        <w:pStyle w:val="ListParagraph"/>
        <w:numPr>
          <w:ilvl w:val="0"/>
          <w:numId w:val="2"/>
        </w:numPr>
        <w:spacing w:before="120" w:line="360" w:lineRule="auto"/>
        <w:ind w:left="426"/>
        <w:jc w:val="both"/>
        <w:rPr>
          <w:rFonts w:ascii="Arial" w:hAnsi="Arial" w:cs="Arial"/>
          <w:i/>
          <w:sz w:val="20"/>
          <w:szCs w:val="20"/>
        </w:rPr>
      </w:pPr>
      <w:r w:rsidRPr="0056612F">
        <w:rPr>
          <w:rFonts w:ascii="Arial" w:hAnsi="Arial" w:cs="Arial"/>
          <w:iCs/>
          <w:sz w:val="20"/>
          <w:szCs w:val="20"/>
        </w:rPr>
        <w:t xml:space="preserve">In this regard, it should be noted that changes in the </w:t>
      </w:r>
      <w:proofErr w:type="gramStart"/>
      <w:r w:rsidRPr="0056612F">
        <w:rPr>
          <w:rFonts w:ascii="Arial" w:hAnsi="Arial" w:cs="Arial"/>
          <w:iCs/>
          <w:sz w:val="20"/>
          <w:szCs w:val="20"/>
        </w:rPr>
        <w:t>factual information</w:t>
      </w:r>
      <w:proofErr w:type="gramEnd"/>
      <w:r w:rsidRPr="0056612F">
        <w:rPr>
          <w:rFonts w:ascii="Arial" w:hAnsi="Arial" w:cs="Arial"/>
          <w:iCs/>
          <w:sz w:val="20"/>
          <w:szCs w:val="20"/>
        </w:rPr>
        <w:t xml:space="preserve"> shall be understood as any change in the information reported in tabs 2. to 8. in the past year. For instance, cases where the institution deducted the amounts of IPCs pursuant to the last available SREP Decision and, for the current year, it has decided to deduct the amounts of IPCs on a voluntary basis pursuant to Article 3 CRR. </w:t>
      </w:r>
    </w:p>
    <w:p w14:paraId="396CE889" w14:textId="5C622147" w:rsidR="00271777" w:rsidRPr="0056612F" w:rsidRDefault="00870DF1"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iCs/>
          <w:sz w:val="20"/>
          <w:szCs w:val="20"/>
        </w:rPr>
        <w:t>For cases (</w:t>
      </w:r>
      <w:proofErr w:type="spellStart"/>
      <w:r w:rsidRPr="0056612F">
        <w:rPr>
          <w:rFonts w:ascii="Arial" w:hAnsi="Arial" w:cs="Arial"/>
          <w:iCs/>
          <w:sz w:val="20"/>
          <w:szCs w:val="20"/>
        </w:rPr>
        <w:t>i</w:t>
      </w:r>
      <w:proofErr w:type="spellEnd"/>
      <w:r w:rsidRPr="0056612F">
        <w:rPr>
          <w:rFonts w:ascii="Arial" w:hAnsi="Arial" w:cs="Arial"/>
          <w:iCs/>
          <w:sz w:val="20"/>
          <w:szCs w:val="20"/>
        </w:rPr>
        <w:t>), (ii) and (iii) mentioned under paragraph 4 above, if the institution and its EU subsidiaries: (a) do not discharge any of their obligations to contribute to the Single Resolution Fund, any national Resolution Fund in the meaning of the BRRD or any Deposit Guarantee Scheme in the meaning of the DGS Directive via Irrevocable Payment Commitments (IPC); and/or (b) th</w:t>
      </w:r>
      <w:r w:rsidR="002114E2" w:rsidRPr="0056612F">
        <w:rPr>
          <w:rFonts w:ascii="Arial" w:hAnsi="Arial" w:cs="Arial"/>
          <w:iCs/>
          <w:sz w:val="20"/>
          <w:szCs w:val="20"/>
        </w:rPr>
        <w:t>ose IPC</w:t>
      </w:r>
      <w:r w:rsidRPr="0056612F">
        <w:rPr>
          <w:rFonts w:ascii="Arial" w:hAnsi="Arial" w:cs="Arial"/>
          <w:iCs/>
          <w:sz w:val="20"/>
          <w:szCs w:val="20"/>
        </w:rPr>
        <w:t xml:space="preserve"> to contribute have been </w:t>
      </w:r>
      <w:r w:rsidR="002114E2" w:rsidRPr="0056612F">
        <w:rPr>
          <w:rFonts w:ascii="Arial" w:hAnsi="Arial" w:cs="Arial"/>
          <w:iCs/>
          <w:sz w:val="20"/>
          <w:szCs w:val="20"/>
        </w:rPr>
        <w:t xml:space="preserve">reported as a liability or the collateral granted has been </w:t>
      </w:r>
      <w:r w:rsidRPr="0056612F">
        <w:rPr>
          <w:rFonts w:ascii="Arial" w:hAnsi="Arial" w:cs="Arial"/>
          <w:iCs/>
          <w:sz w:val="20"/>
          <w:szCs w:val="20"/>
        </w:rPr>
        <w:t xml:space="preserve">completely expensed through profit and loss (P&amp;L), </w:t>
      </w:r>
      <w:r w:rsidR="007F23F6" w:rsidRPr="007F23F6">
        <w:rPr>
          <w:rFonts w:ascii="Arial" w:hAnsi="Arial" w:cs="Arial"/>
          <w:iCs/>
          <w:sz w:val="20"/>
          <w:szCs w:val="20"/>
        </w:rPr>
        <w:t>the institution is not required to fill out any of the tabs within this template, with the exception of tab 0_Identification, which should be populated and the resulting template submitted in CASPER. In addition to this, a solid proof (</w:t>
      </w:r>
      <w:proofErr w:type="gramStart"/>
      <w:r w:rsidR="007F23F6" w:rsidRPr="007F23F6">
        <w:rPr>
          <w:rFonts w:ascii="Arial" w:hAnsi="Arial" w:cs="Arial"/>
          <w:iCs/>
          <w:sz w:val="20"/>
          <w:szCs w:val="20"/>
        </w:rPr>
        <w:t>i.e.</w:t>
      </w:r>
      <w:proofErr w:type="gramEnd"/>
      <w:r w:rsidR="007F23F6" w:rsidRPr="007F23F6">
        <w:rPr>
          <w:rFonts w:ascii="Arial" w:hAnsi="Arial" w:cs="Arial"/>
          <w:iCs/>
          <w:sz w:val="20"/>
          <w:szCs w:val="20"/>
        </w:rPr>
        <w:t xml:space="preserve"> statement from the institution signed by a person duly authorised) that confirms the above has to be submitted as an attachment in CASPER. </w:t>
      </w:r>
    </w:p>
    <w:p w14:paraId="22219DB2" w14:textId="18C3CBD9" w:rsidR="00271777" w:rsidRPr="0056612F" w:rsidRDefault="00271777" w:rsidP="00271777">
      <w:pPr>
        <w:pStyle w:val="Heading2"/>
        <w:spacing w:before="120" w:after="240" w:line="360" w:lineRule="auto"/>
        <w:ind w:left="720"/>
        <w:rPr>
          <w:rFonts w:ascii="Arial" w:hAnsi="Arial" w:cs="Arial"/>
          <w:color w:val="auto"/>
          <w:sz w:val="20"/>
          <w:szCs w:val="20"/>
        </w:rPr>
      </w:pPr>
      <w:bookmarkStart w:id="4" w:name="_Toc518916487"/>
      <w:bookmarkStart w:id="5" w:name="_Toc117695173"/>
      <w:r w:rsidRPr="0056612F">
        <w:rPr>
          <w:rFonts w:ascii="Arial" w:hAnsi="Arial" w:cs="Arial"/>
          <w:color w:val="auto"/>
          <w:sz w:val="20"/>
          <w:szCs w:val="20"/>
        </w:rPr>
        <w:t>Reference date</w:t>
      </w:r>
      <w:bookmarkEnd w:id="4"/>
      <w:bookmarkEnd w:id="5"/>
    </w:p>
    <w:p w14:paraId="1CA4E515" w14:textId="0CA6C7DE" w:rsidR="00545C3D" w:rsidRPr="0056612F" w:rsidRDefault="00545C3D"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The reference date for the data collection is 31.</w:t>
      </w:r>
      <w:r w:rsidR="002114E2" w:rsidRPr="0056612F">
        <w:rPr>
          <w:rFonts w:ascii="Arial" w:hAnsi="Arial" w:cs="Arial"/>
          <w:sz w:val="20"/>
          <w:szCs w:val="20"/>
        </w:rPr>
        <w:t>12</w:t>
      </w:r>
      <w:r w:rsidRPr="0056612F">
        <w:rPr>
          <w:rFonts w:ascii="Arial" w:hAnsi="Arial" w:cs="Arial"/>
          <w:sz w:val="20"/>
          <w:szCs w:val="20"/>
        </w:rPr>
        <w:t>.</w:t>
      </w:r>
      <w:r w:rsidR="002114E2" w:rsidRPr="0056612F">
        <w:rPr>
          <w:rFonts w:ascii="Arial" w:hAnsi="Arial" w:cs="Arial"/>
          <w:sz w:val="20"/>
          <w:szCs w:val="20"/>
        </w:rPr>
        <w:t>202</w:t>
      </w:r>
      <w:r w:rsidR="007F23F6">
        <w:rPr>
          <w:rFonts w:ascii="Arial" w:hAnsi="Arial" w:cs="Arial"/>
          <w:sz w:val="20"/>
          <w:szCs w:val="20"/>
        </w:rPr>
        <w:t>3</w:t>
      </w:r>
      <w:r w:rsidRPr="0056612F">
        <w:rPr>
          <w:rFonts w:ascii="Arial" w:hAnsi="Arial" w:cs="Arial"/>
          <w:sz w:val="20"/>
          <w:szCs w:val="20"/>
        </w:rPr>
        <w:t xml:space="preserve">. </w:t>
      </w:r>
    </w:p>
    <w:p w14:paraId="7EAB8BE7" w14:textId="7D0E84FA" w:rsidR="00271777" w:rsidRPr="0056612F" w:rsidRDefault="00545C3D"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The</w:t>
      </w:r>
      <w:r w:rsidR="00271777" w:rsidRPr="0056612F">
        <w:rPr>
          <w:rFonts w:ascii="Arial" w:hAnsi="Arial" w:cs="Arial"/>
          <w:sz w:val="20"/>
          <w:szCs w:val="20"/>
        </w:rPr>
        <w:t xml:space="preserve"> reference date </w:t>
      </w:r>
      <w:r w:rsidRPr="0056612F">
        <w:rPr>
          <w:rFonts w:ascii="Arial" w:hAnsi="Arial" w:cs="Arial"/>
          <w:sz w:val="20"/>
          <w:szCs w:val="20"/>
        </w:rPr>
        <w:t xml:space="preserve">should be further indicated </w:t>
      </w:r>
      <w:r w:rsidR="00271777" w:rsidRPr="0056612F">
        <w:rPr>
          <w:rFonts w:ascii="Arial" w:hAnsi="Arial" w:cs="Arial"/>
          <w:sz w:val="20"/>
          <w:szCs w:val="20"/>
        </w:rPr>
        <w:t>in the drop</w:t>
      </w:r>
      <w:r w:rsidR="001E71B5" w:rsidRPr="0056612F">
        <w:rPr>
          <w:rFonts w:ascii="Arial" w:hAnsi="Arial" w:cs="Arial"/>
          <w:sz w:val="20"/>
          <w:szCs w:val="20"/>
        </w:rPr>
        <w:t>-</w:t>
      </w:r>
      <w:r w:rsidR="00271777" w:rsidRPr="0056612F">
        <w:rPr>
          <w:rFonts w:ascii="Arial" w:hAnsi="Arial" w:cs="Arial"/>
          <w:sz w:val="20"/>
          <w:szCs w:val="20"/>
        </w:rPr>
        <w:t xml:space="preserve">down menu in cell </w:t>
      </w:r>
      <w:r w:rsidRPr="0056612F">
        <w:rPr>
          <w:rFonts w:ascii="Arial" w:hAnsi="Arial" w:cs="Arial"/>
          <w:sz w:val="20"/>
          <w:szCs w:val="20"/>
        </w:rPr>
        <w:t>D</w:t>
      </w:r>
      <w:r w:rsidR="00271777" w:rsidRPr="0056612F">
        <w:rPr>
          <w:rFonts w:ascii="Arial" w:hAnsi="Arial" w:cs="Arial"/>
          <w:sz w:val="20"/>
          <w:szCs w:val="20"/>
        </w:rPr>
        <w:t>1</w:t>
      </w:r>
      <w:r w:rsidRPr="0056612F">
        <w:rPr>
          <w:rFonts w:ascii="Arial" w:hAnsi="Arial" w:cs="Arial"/>
          <w:sz w:val="20"/>
          <w:szCs w:val="20"/>
        </w:rPr>
        <w:t>1</w:t>
      </w:r>
      <w:r w:rsidR="00271777" w:rsidRPr="0056612F">
        <w:rPr>
          <w:rFonts w:ascii="Arial" w:hAnsi="Arial" w:cs="Arial"/>
          <w:sz w:val="20"/>
          <w:szCs w:val="20"/>
        </w:rPr>
        <w:t xml:space="preserve"> of template “0_Identification”.</w:t>
      </w:r>
    </w:p>
    <w:p w14:paraId="16231FBF" w14:textId="77777777" w:rsidR="00271777" w:rsidRPr="0056612F" w:rsidRDefault="00271777" w:rsidP="00271777">
      <w:pPr>
        <w:pStyle w:val="Heading2"/>
        <w:spacing w:before="120" w:after="240" w:line="360" w:lineRule="auto"/>
        <w:ind w:left="720"/>
        <w:rPr>
          <w:rFonts w:ascii="Arial" w:hAnsi="Arial" w:cs="Arial"/>
          <w:color w:val="auto"/>
          <w:sz w:val="20"/>
          <w:szCs w:val="20"/>
        </w:rPr>
      </w:pPr>
      <w:bookmarkStart w:id="6" w:name="_Toc518916488"/>
      <w:bookmarkStart w:id="7" w:name="_Toc117695174"/>
      <w:r w:rsidRPr="0056612F">
        <w:rPr>
          <w:rFonts w:ascii="Arial" w:hAnsi="Arial" w:cs="Arial"/>
          <w:color w:val="auto"/>
          <w:sz w:val="20"/>
          <w:szCs w:val="20"/>
        </w:rPr>
        <w:t>Reporting units</w:t>
      </w:r>
      <w:bookmarkEnd w:id="6"/>
      <w:bookmarkEnd w:id="7"/>
    </w:p>
    <w:p w14:paraId="5C859B68" w14:textId="77777777" w:rsidR="00271777" w:rsidRPr="0056612F" w:rsidRDefault="0027177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The required data points may be qualitative or quantitative.</w:t>
      </w:r>
    </w:p>
    <w:p w14:paraId="0CA7C764" w14:textId="71BE1BC5" w:rsidR="00271777" w:rsidRPr="0056612F" w:rsidRDefault="00D46F60"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The</w:t>
      </w:r>
      <w:r w:rsidR="00271777" w:rsidRPr="0056612F">
        <w:rPr>
          <w:rFonts w:ascii="Arial" w:hAnsi="Arial" w:cs="Arial"/>
          <w:sz w:val="20"/>
          <w:szCs w:val="20"/>
        </w:rPr>
        <w:t xml:space="preserve"> reporting units for quantitative data are </w:t>
      </w:r>
      <w:r w:rsidRPr="0056612F">
        <w:rPr>
          <w:rFonts w:ascii="Arial" w:hAnsi="Arial" w:cs="Arial"/>
          <w:sz w:val="20"/>
          <w:szCs w:val="20"/>
        </w:rPr>
        <w:t xml:space="preserve">units </w:t>
      </w:r>
      <w:r w:rsidR="00271777" w:rsidRPr="0056612F">
        <w:rPr>
          <w:rFonts w:ascii="Arial" w:hAnsi="Arial" w:cs="Arial"/>
          <w:sz w:val="20"/>
          <w:szCs w:val="20"/>
        </w:rPr>
        <w:t xml:space="preserve">of euros. </w:t>
      </w:r>
    </w:p>
    <w:p w14:paraId="5713FFEC" w14:textId="77777777" w:rsidR="00271777" w:rsidRPr="0056612F" w:rsidRDefault="00271777" w:rsidP="00271777">
      <w:pPr>
        <w:pStyle w:val="Heading2"/>
        <w:spacing w:before="120" w:after="240" w:line="360" w:lineRule="auto"/>
        <w:ind w:left="720"/>
        <w:rPr>
          <w:rFonts w:ascii="Arial" w:hAnsi="Arial" w:cs="Arial"/>
          <w:color w:val="auto"/>
          <w:sz w:val="20"/>
          <w:szCs w:val="20"/>
        </w:rPr>
      </w:pPr>
      <w:bookmarkStart w:id="8" w:name="_Toc518916489"/>
      <w:bookmarkStart w:id="9" w:name="_Toc117695175"/>
      <w:r w:rsidRPr="0056612F">
        <w:rPr>
          <w:rFonts w:ascii="Arial" w:hAnsi="Arial" w:cs="Arial"/>
          <w:color w:val="auto"/>
          <w:sz w:val="20"/>
          <w:szCs w:val="20"/>
        </w:rPr>
        <w:t>Data</w:t>
      </w:r>
      <w:bookmarkEnd w:id="8"/>
      <w:bookmarkEnd w:id="9"/>
    </w:p>
    <w:p w14:paraId="354DD46E" w14:textId="77777777" w:rsidR="00271777" w:rsidRPr="0056612F" w:rsidRDefault="0027177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This data request addresses all institutions on a ‘best effort </w:t>
      </w:r>
      <w:proofErr w:type="spellStart"/>
      <w:r w:rsidRPr="0056612F">
        <w:rPr>
          <w:rFonts w:ascii="Arial" w:hAnsi="Arial" w:cs="Arial"/>
          <w:sz w:val="20"/>
          <w:szCs w:val="20"/>
        </w:rPr>
        <w:t>basis’</w:t>
      </w:r>
      <w:proofErr w:type="spellEnd"/>
      <w:r w:rsidRPr="0056612F">
        <w:rPr>
          <w:rFonts w:ascii="Arial" w:hAnsi="Arial" w:cs="Arial"/>
          <w:sz w:val="20"/>
          <w:szCs w:val="20"/>
        </w:rPr>
        <w:t xml:space="preserve"> but </w:t>
      </w:r>
      <w:proofErr w:type="gramStart"/>
      <w:r w:rsidRPr="0056612F">
        <w:rPr>
          <w:rFonts w:ascii="Arial" w:hAnsi="Arial" w:cs="Arial"/>
          <w:sz w:val="20"/>
          <w:szCs w:val="20"/>
        </w:rPr>
        <w:t>as a general rule</w:t>
      </w:r>
      <w:proofErr w:type="gramEnd"/>
      <w:r w:rsidRPr="0056612F">
        <w:rPr>
          <w:rFonts w:ascii="Arial" w:hAnsi="Arial" w:cs="Arial"/>
          <w:sz w:val="20"/>
          <w:szCs w:val="20"/>
        </w:rPr>
        <w:t>, all cells should be filled taking into account the rules applicable to each template.</w:t>
      </w:r>
    </w:p>
    <w:p w14:paraId="05DB55AF" w14:textId="2257E3CD" w:rsidR="00271777" w:rsidRPr="0056612F" w:rsidRDefault="00271777" w:rsidP="00271777">
      <w:pPr>
        <w:pStyle w:val="ListParagraph"/>
        <w:numPr>
          <w:ilvl w:val="0"/>
          <w:numId w:val="2"/>
        </w:numPr>
        <w:spacing w:before="120" w:line="360" w:lineRule="auto"/>
        <w:ind w:left="426"/>
        <w:jc w:val="both"/>
        <w:rPr>
          <w:rFonts w:ascii="Arial" w:hAnsi="Arial" w:cs="Arial"/>
          <w:b/>
          <w:color w:val="2038EC"/>
          <w:sz w:val="20"/>
          <w:szCs w:val="20"/>
        </w:rPr>
      </w:pPr>
      <w:r w:rsidRPr="0056612F">
        <w:rPr>
          <w:rFonts w:ascii="Arial" w:hAnsi="Arial" w:cs="Arial"/>
          <w:sz w:val="20"/>
          <w:szCs w:val="20"/>
        </w:rPr>
        <w:t xml:space="preserve">The data should be reported in the templates within the Excel file </w:t>
      </w:r>
      <w:r w:rsidR="00403377" w:rsidRPr="0056612F">
        <w:rPr>
          <w:rFonts w:ascii="Arial" w:hAnsi="Arial" w:cs="Arial"/>
          <w:b/>
          <w:color w:val="1F497D" w:themeColor="text2"/>
          <w:sz w:val="20"/>
          <w:szCs w:val="20"/>
        </w:rPr>
        <w:t>14</w:t>
      </w:r>
      <w:r w:rsidRPr="0056612F">
        <w:rPr>
          <w:rFonts w:ascii="Arial" w:hAnsi="Arial" w:cs="Arial"/>
          <w:b/>
          <w:color w:val="1F497D" w:themeColor="text2"/>
          <w:sz w:val="20"/>
          <w:szCs w:val="20"/>
        </w:rPr>
        <w:t xml:space="preserve"> – YYYY QX SREP </w:t>
      </w:r>
      <w:r w:rsidR="00403377" w:rsidRPr="0056612F">
        <w:rPr>
          <w:rFonts w:ascii="Arial" w:hAnsi="Arial" w:cs="Arial"/>
          <w:b/>
          <w:color w:val="1F497D" w:themeColor="text2"/>
          <w:sz w:val="20"/>
          <w:szCs w:val="20"/>
        </w:rPr>
        <w:t>Irrevocable Payment Commitments</w:t>
      </w:r>
      <w:r w:rsidRPr="0056612F">
        <w:rPr>
          <w:rFonts w:ascii="Arial" w:hAnsi="Arial" w:cs="Arial"/>
          <w:b/>
          <w:color w:val="1F497D" w:themeColor="text2"/>
          <w:sz w:val="20"/>
          <w:szCs w:val="20"/>
        </w:rPr>
        <w:t>.xlsx</w:t>
      </w:r>
      <w:r w:rsidRPr="0056612F">
        <w:rPr>
          <w:rFonts w:ascii="Arial" w:hAnsi="Arial" w:cs="Arial"/>
          <w:b/>
          <w:color w:val="2038EC"/>
          <w:sz w:val="20"/>
          <w:szCs w:val="20"/>
        </w:rPr>
        <w:t>.</w:t>
      </w:r>
    </w:p>
    <w:p w14:paraId="3C2FE974" w14:textId="21A1EC67" w:rsidR="00271777" w:rsidRPr="0056612F" w:rsidRDefault="00271777" w:rsidP="000F3B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Only the cells marked in yellow should be filled. </w:t>
      </w:r>
    </w:p>
    <w:p w14:paraId="151BD4C5" w14:textId="76A16420" w:rsidR="00271777" w:rsidRPr="0056612F" w:rsidRDefault="0027177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lastRenderedPageBreak/>
        <w:t xml:space="preserve">The cells marked in </w:t>
      </w:r>
      <w:r w:rsidR="00403377" w:rsidRPr="0056612F">
        <w:rPr>
          <w:rFonts w:ascii="Arial" w:hAnsi="Arial" w:cs="Arial"/>
          <w:sz w:val="20"/>
          <w:szCs w:val="20"/>
        </w:rPr>
        <w:t xml:space="preserve">grey </w:t>
      </w:r>
      <w:r w:rsidRPr="0056612F">
        <w:rPr>
          <w:rFonts w:ascii="Arial" w:hAnsi="Arial" w:cs="Arial"/>
          <w:sz w:val="20"/>
          <w:szCs w:val="20"/>
        </w:rPr>
        <w:t>are</w:t>
      </w:r>
      <w:r w:rsidR="00403377" w:rsidRPr="0056612F">
        <w:rPr>
          <w:rFonts w:ascii="Arial" w:hAnsi="Arial" w:cs="Arial"/>
          <w:sz w:val="20"/>
          <w:szCs w:val="20"/>
        </w:rPr>
        <w:t xml:space="preserve"> of automated calculation </w:t>
      </w:r>
      <w:proofErr w:type="gramStart"/>
      <w:r w:rsidR="00403377" w:rsidRPr="0056612F">
        <w:rPr>
          <w:rFonts w:ascii="Arial" w:hAnsi="Arial" w:cs="Arial"/>
          <w:sz w:val="20"/>
          <w:szCs w:val="20"/>
        </w:rPr>
        <w:t>on the basis of</w:t>
      </w:r>
      <w:proofErr w:type="gramEnd"/>
      <w:r w:rsidR="00403377" w:rsidRPr="0056612F">
        <w:rPr>
          <w:rFonts w:ascii="Arial" w:hAnsi="Arial" w:cs="Arial"/>
          <w:sz w:val="20"/>
          <w:szCs w:val="20"/>
        </w:rPr>
        <w:t xml:space="preserve"> the information provided in some of the yellow cells. </w:t>
      </w:r>
      <w:r w:rsidRPr="0056612F">
        <w:rPr>
          <w:rFonts w:ascii="Arial" w:hAnsi="Arial" w:cs="Arial"/>
          <w:sz w:val="20"/>
          <w:szCs w:val="20"/>
        </w:rPr>
        <w:t xml:space="preserve"> </w:t>
      </w:r>
    </w:p>
    <w:p w14:paraId="0012D779" w14:textId="77777777" w:rsidR="00271777" w:rsidRPr="0056612F" w:rsidRDefault="00271777" w:rsidP="00271777">
      <w:pPr>
        <w:pStyle w:val="Heading2"/>
        <w:spacing w:before="120" w:after="240" w:line="360" w:lineRule="auto"/>
        <w:ind w:left="720"/>
        <w:rPr>
          <w:rFonts w:ascii="Arial" w:hAnsi="Arial" w:cs="Arial"/>
          <w:color w:val="auto"/>
          <w:sz w:val="20"/>
          <w:szCs w:val="20"/>
        </w:rPr>
      </w:pPr>
      <w:bookmarkStart w:id="10" w:name="_Toc518916490"/>
      <w:bookmarkStart w:id="11" w:name="_Toc117695176"/>
      <w:r w:rsidRPr="0056612F">
        <w:rPr>
          <w:rFonts w:ascii="Arial" w:hAnsi="Arial" w:cs="Arial"/>
          <w:color w:val="auto"/>
          <w:sz w:val="20"/>
          <w:szCs w:val="20"/>
        </w:rPr>
        <w:t>Validation rules</w:t>
      </w:r>
      <w:bookmarkEnd w:id="10"/>
      <w:bookmarkEnd w:id="11"/>
    </w:p>
    <w:p w14:paraId="6DE0F7A0" w14:textId="77777777" w:rsidR="00271777" w:rsidRPr="0056612F" w:rsidRDefault="0027177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The templates are embedded with validation rules which institutions </w:t>
      </w:r>
      <w:proofErr w:type="gramStart"/>
      <w:r w:rsidRPr="0056612F">
        <w:rPr>
          <w:rFonts w:ascii="Arial" w:hAnsi="Arial" w:cs="Arial"/>
          <w:sz w:val="20"/>
          <w:szCs w:val="20"/>
        </w:rPr>
        <w:t>have to</w:t>
      </w:r>
      <w:proofErr w:type="gramEnd"/>
      <w:r w:rsidRPr="0056612F">
        <w:rPr>
          <w:rFonts w:ascii="Arial" w:hAnsi="Arial" w:cs="Arial"/>
          <w:sz w:val="20"/>
          <w:szCs w:val="20"/>
        </w:rPr>
        <w:t xml:space="preserve"> fulfil when preparing the data.</w:t>
      </w:r>
    </w:p>
    <w:p w14:paraId="6A889794" w14:textId="77777777" w:rsidR="00271777" w:rsidRPr="0056612F" w:rsidRDefault="0027177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Not fulfilling the validation rules means that institutions will be requested to resubmit the STE for SREP data collection template.</w:t>
      </w:r>
    </w:p>
    <w:p w14:paraId="152C0A2B" w14:textId="77777777" w:rsidR="00271777" w:rsidRPr="0056612F" w:rsidRDefault="00271777" w:rsidP="00271777">
      <w:pPr>
        <w:pStyle w:val="ListParagraph"/>
        <w:spacing w:before="120" w:line="360" w:lineRule="auto"/>
        <w:ind w:left="426"/>
        <w:jc w:val="both"/>
        <w:rPr>
          <w:rFonts w:ascii="Arial" w:hAnsi="Arial" w:cs="Arial"/>
          <w:sz w:val="20"/>
          <w:szCs w:val="20"/>
        </w:rPr>
      </w:pPr>
    </w:p>
    <w:p w14:paraId="65F0DF12" w14:textId="77777777" w:rsidR="00271777" w:rsidRPr="0056612F" w:rsidRDefault="00271777" w:rsidP="00271777">
      <w:pPr>
        <w:pStyle w:val="Heading1"/>
        <w:keepLines w:val="0"/>
        <w:numPr>
          <w:ilvl w:val="0"/>
          <w:numId w:val="1"/>
        </w:numPr>
        <w:tabs>
          <w:tab w:val="num" w:pos="567"/>
          <w:tab w:val="left" w:pos="851"/>
          <w:tab w:val="right" w:pos="9356"/>
        </w:tabs>
        <w:spacing w:before="120" w:after="120" w:line="360" w:lineRule="auto"/>
        <w:ind w:left="567" w:hanging="567"/>
        <w:jc w:val="both"/>
        <w:rPr>
          <w:rFonts w:ascii="Arial" w:eastAsia="Times New Roman" w:hAnsi="Arial" w:cs="Arial"/>
          <w:color w:val="auto"/>
          <w:kern w:val="28"/>
          <w:sz w:val="20"/>
          <w:szCs w:val="20"/>
          <w:lang w:eastAsia="en-GB"/>
        </w:rPr>
      </w:pPr>
      <w:bookmarkStart w:id="12" w:name="_Toc117605709"/>
      <w:bookmarkStart w:id="13" w:name="_Toc117605742"/>
      <w:bookmarkStart w:id="14" w:name="_Toc117605710"/>
      <w:bookmarkStart w:id="15" w:name="_Toc117605743"/>
      <w:bookmarkStart w:id="16" w:name="_Toc117605711"/>
      <w:bookmarkStart w:id="17" w:name="_Toc117605744"/>
      <w:bookmarkStart w:id="18" w:name="_Toc518916491"/>
      <w:bookmarkStart w:id="19" w:name="_Toc117695177"/>
      <w:bookmarkEnd w:id="12"/>
      <w:bookmarkEnd w:id="13"/>
      <w:bookmarkEnd w:id="14"/>
      <w:bookmarkEnd w:id="15"/>
      <w:bookmarkEnd w:id="16"/>
      <w:bookmarkEnd w:id="17"/>
      <w:r w:rsidRPr="0056612F">
        <w:rPr>
          <w:rFonts w:ascii="Arial" w:eastAsia="Times New Roman" w:hAnsi="Arial" w:cs="Arial"/>
          <w:color w:val="auto"/>
          <w:kern w:val="28"/>
          <w:sz w:val="20"/>
          <w:szCs w:val="20"/>
          <w:lang w:eastAsia="en-GB"/>
        </w:rPr>
        <w:t>Specific instructions</w:t>
      </w:r>
      <w:bookmarkEnd w:id="18"/>
      <w:bookmarkEnd w:id="19"/>
    </w:p>
    <w:p w14:paraId="64AA9119" w14:textId="6882A405" w:rsidR="00271777" w:rsidRPr="0056612F" w:rsidRDefault="00271777" w:rsidP="00271777">
      <w:pPr>
        <w:pStyle w:val="Heading2"/>
        <w:spacing w:before="120" w:line="360" w:lineRule="auto"/>
        <w:ind w:left="720"/>
        <w:rPr>
          <w:rFonts w:ascii="Arial" w:hAnsi="Arial" w:cs="Arial"/>
          <w:color w:val="auto"/>
          <w:sz w:val="20"/>
          <w:szCs w:val="20"/>
        </w:rPr>
      </w:pPr>
      <w:bookmarkStart w:id="20" w:name="_Toc518916492"/>
      <w:bookmarkStart w:id="21" w:name="_Toc117695178"/>
      <w:r w:rsidRPr="0056612F">
        <w:rPr>
          <w:rFonts w:ascii="Arial" w:hAnsi="Arial" w:cs="Arial"/>
          <w:color w:val="auto"/>
          <w:sz w:val="20"/>
          <w:szCs w:val="20"/>
        </w:rPr>
        <w:t>T</w:t>
      </w:r>
      <w:r w:rsidR="008B3ED0" w:rsidRPr="0056612F">
        <w:rPr>
          <w:rFonts w:ascii="Arial" w:hAnsi="Arial" w:cs="Arial"/>
          <w:color w:val="auto"/>
          <w:sz w:val="20"/>
          <w:szCs w:val="20"/>
        </w:rPr>
        <w:t>ab</w:t>
      </w:r>
      <w:r w:rsidRPr="0056612F">
        <w:rPr>
          <w:rFonts w:ascii="Arial" w:hAnsi="Arial" w:cs="Arial"/>
          <w:color w:val="auto"/>
          <w:sz w:val="20"/>
          <w:szCs w:val="20"/>
        </w:rPr>
        <w:t xml:space="preserve"> </w:t>
      </w:r>
      <w:r w:rsidR="00E65011" w:rsidRPr="0056612F">
        <w:rPr>
          <w:rFonts w:ascii="Arial" w:hAnsi="Arial" w:cs="Arial"/>
          <w:color w:val="auto"/>
          <w:sz w:val="20"/>
          <w:szCs w:val="20"/>
        </w:rPr>
        <w:t xml:space="preserve">0 </w:t>
      </w:r>
      <w:r w:rsidRPr="0056612F">
        <w:rPr>
          <w:rFonts w:ascii="Arial" w:hAnsi="Arial" w:cs="Arial"/>
          <w:color w:val="auto"/>
          <w:sz w:val="20"/>
          <w:szCs w:val="20"/>
        </w:rPr>
        <w:t>“Identification”</w:t>
      </w:r>
      <w:bookmarkEnd w:id="20"/>
      <w:bookmarkEnd w:id="21"/>
    </w:p>
    <w:p w14:paraId="7E8D6AEF" w14:textId="77777777" w:rsidR="00271777" w:rsidRPr="0056612F" w:rsidRDefault="0027177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This template is used for identification of the institution. All fields should be populated with the relevant data.</w:t>
      </w:r>
    </w:p>
    <w:p w14:paraId="124C4086" w14:textId="5F48B676" w:rsidR="00271777" w:rsidRPr="0056612F" w:rsidRDefault="0027177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This template also includes a text box “Comments” which institutions should use to include comments on the following:</w:t>
      </w:r>
    </w:p>
    <w:p w14:paraId="12540529" w14:textId="3EC93B4F" w:rsidR="00271777" w:rsidRPr="0056612F" w:rsidRDefault="00792230" w:rsidP="000F3B77">
      <w:pPr>
        <w:pStyle w:val="ListParagraph"/>
        <w:numPr>
          <w:ilvl w:val="1"/>
          <w:numId w:val="2"/>
        </w:numPr>
        <w:spacing w:before="120" w:line="360" w:lineRule="auto"/>
        <w:ind w:left="709" w:hanging="142"/>
        <w:jc w:val="both"/>
        <w:rPr>
          <w:rFonts w:ascii="Arial" w:hAnsi="Arial" w:cs="Arial"/>
          <w:sz w:val="20"/>
          <w:szCs w:val="20"/>
        </w:rPr>
      </w:pPr>
      <w:r w:rsidRPr="0056612F">
        <w:rPr>
          <w:rFonts w:ascii="Arial" w:hAnsi="Arial" w:cs="Arial"/>
          <w:sz w:val="20"/>
          <w:szCs w:val="20"/>
        </w:rPr>
        <w:t xml:space="preserve"> Scope issue: Institutions should report </w:t>
      </w:r>
      <w:r w:rsidR="00E44C7E" w:rsidRPr="0056612F">
        <w:rPr>
          <w:rFonts w:ascii="Arial" w:hAnsi="Arial" w:cs="Arial"/>
          <w:sz w:val="20"/>
          <w:szCs w:val="20"/>
        </w:rPr>
        <w:t>the information in tabs “1. General info” to “8. IPC risk management”</w:t>
      </w:r>
      <w:r w:rsidR="008F4819" w:rsidRPr="0056612F">
        <w:rPr>
          <w:rFonts w:ascii="Arial" w:hAnsi="Arial" w:cs="Arial"/>
          <w:sz w:val="20"/>
          <w:szCs w:val="20"/>
        </w:rPr>
        <w:t xml:space="preserve"> </w:t>
      </w:r>
      <w:proofErr w:type="gramStart"/>
      <w:r w:rsidR="008F4819" w:rsidRPr="0056612F">
        <w:rPr>
          <w:rFonts w:ascii="Arial" w:hAnsi="Arial" w:cs="Arial"/>
          <w:sz w:val="20"/>
          <w:szCs w:val="20"/>
        </w:rPr>
        <w:t>on the basis of</w:t>
      </w:r>
      <w:proofErr w:type="gramEnd"/>
      <w:r w:rsidR="008F4819" w:rsidRPr="0056612F">
        <w:rPr>
          <w:rFonts w:ascii="Arial" w:hAnsi="Arial" w:cs="Arial"/>
          <w:sz w:val="20"/>
          <w:szCs w:val="20"/>
        </w:rPr>
        <w:t xml:space="preserve"> the scope defined under paragraph 3. above. Any change in the scope should be further explained by the institution (e.g., if an institution is not included on an individual basis due to a waive pursuant to Article 7 CRR,</w:t>
      </w:r>
      <w:r w:rsidR="00180ED6" w:rsidRPr="0056612F">
        <w:rPr>
          <w:rFonts w:ascii="Arial" w:hAnsi="Arial" w:cs="Arial"/>
          <w:sz w:val="20"/>
          <w:szCs w:val="20"/>
        </w:rPr>
        <w:t xml:space="preserve"> Article 8 CRR or Article 9 CRR</w:t>
      </w:r>
      <w:r w:rsidR="008F4819" w:rsidRPr="0056612F">
        <w:rPr>
          <w:rFonts w:ascii="Arial" w:hAnsi="Arial" w:cs="Arial"/>
          <w:sz w:val="20"/>
          <w:szCs w:val="20"/>
        </w:rPr>
        <w:t xml:space="preserve"> this should be reported by the institution by making use of the “comments” text box). </w:t>
      </w:r>
    </w:p>
    <w:p w14:paraId="3CF8F5E7" w14:textId="596699CC" w:rsidR="00271777" w:rsidRPr="0056612F" w:rsidRDefault="00271777" w:rsidP="00271777">
      <w:pPr>
        <w:pStyle w:val="Heading2"/>
        <w:spacing w:before="120" w:line="360" w:lineRule="auto"/>
        <w:ind w:left="720"/>
        <w:rPr>
          <w:rFonts w:ascii="Arial" w:hAnsi="Arial" w:cs="Arial"/>
          <w:color w:val="auto"/>
          <w:sz w:val="20"/>
          <w:szCs w:val="20"/>
        </w:rPr>
      </w:pPr>
      <w:bookmarkStart w:id="22" w:name="_Toc117695179"/>
      <w:bookmarkStart w:id="23" w:name="_Ref459879553"/>
      <w:r w:rsidRPr="0056612F">
        <w:rPr>
          <w:rFonts w:ascii="Arial" w:hAnsi="Arial" w:cs="Arial"/>
          <w:color w:val="auto"/>
          <w:sz w:val="20"/>
          <w:szCs w:val="20"/>
        </w:rPr>
        <w:t>T</w:t>
      </w:r>
      <w:r w:rsidR="008F4819" w:rsidRPr="0056612F">
        <w:rPr>
          <w:rFonts w:ascii="Arial" w:hAnsi="Arial" w:cs="Arial"/>
          <w:color w:val="auto"/>
          <w:sz w:val="20"/>
          <w:szCs w:val="20"/>
        </w:rPr>
        <w:t>ab</w:t>
      </w:r>
      <w:r w:rsidRPr="0056612F">
        <w:rPr>
          <w:rFonts w:ascii="Arial" w:hAnsi="Arial" w:cs="Arial"/>
          <w:color w:val="auto"/>
          <w:sz w:val="20"/>
          <w:szCs w:val="20"/>
        </w:rPr>
        <w:t xml:space="preserve"> 1 “</w:t>
      </w:r>
      <w:r w:rsidR="008F4819" w:rsidRPr="0056612F">
        <w:rPr>
          <w:rFonts w:ascii="Arial" w:hAnsi="Arial" w:cs="Arial"/>
          <w:color w:val="auto"/>
          <w:sz w:val="20"/>
          <w:szCs w:val="20"/>
        </w:rPr>
        <w:t>General info</w:t>
      </w:r>
      <w:r w:rsidRPr="0056612F">
        <w:rPr>
          <w:rFonts w:ascii="Arial" w:hAnsi="Arial" w:cs="Arial"/>
          <w:color w:val="auto"/>
          <w:sz w:val="20"/>
          <w:szCs w:val="20"/>
        </w:rPr>
        <w:t>”</w:t>
      </w:r>
      <w:bookmarkEnd w:id="22"/>
      <w:r w:rsidRPr="0056612F">
        <w:rPr>
          <w:rFonts w:ascii="Arial" w:hAnsi="Arial" w:cs="Arial"/>
          <w:color w:val="auto"/>
          <w:sz w:val="20"/>
          <w:szCs w:val="20"/>
        </w:rPr>
        <w:t xml:space="preserve"> </w:t>
      </w:r>
      <w:bookmarkEnd w:id="23"/>
    </w:p>
    <w:p w14:paraId="32202039" w14:textId="77777777" w:rsidR="001F2A47" w:rsidRPr="0056612F" w:rsidRDefault="001F2A4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tab “1. General info”, institutions are expected to report the amount of </w:t>
      </w:r>
      <w:proofErr w:type="gramStart"/>
      <w:r w:rsidRPr="0056612F">
        <w:rPr>
          <w:rFonts w:ascii="Arial" w:hAnsi="Arial" w:cs="Arial"/>
          <w:sz w:val="20"/>
          <w:szCs w:val="20"/>
        </w:rPr>
        <w:t>IPCs</w:t>
      </w:r>
      <w:proofErr w:type="gramEnd"/>
      <w:r w:rsidRPr="0056612F">
        <w:rPr>
          <w:rFonts w:ascii="Arial" w:hAnsi="Arial" w:cs="Arial"/>
          <w:sz w:val="20"/>
          <w:szCs w:val="20"/>
        </w:rPr>
        <w:t xml:space="preserve"> and the type and amount of collateral posted to the Single Resolution Fund and/or to the National Resolution Fund and/or to the Deposit Guarantee Scheme. </w:t>
      </w:r>
    </w:p>
    <w:p w14:paraId="5023AC12" w14:textId="77777777" w:rsidR="001F2A47" w:rsidRPr="0056612F" w:rsidRDefault="001F2A4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C101 and C102, institutions are required to report the name and the LEI code, respectively, of the entity. </w:t>
      </w:r>
    </w:p>
    <w:p w14:paraId="0679E25E" w14:textId="77777777" w:rsidR="001F2A47" w:rsidRPr="0056612F" w:rsidRDefault="001F2A4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C103, institutions need to indicate the level of consolidation using the drop-down menu. In case the entity is subject to prudential requirements at different levels of consolidation, the information for all the relevant levels should be reported in different rows. </w:t>
      </w:r>
    </w:p>
    <w:p w14:paraId="51E3AB24" w14:textId="0C71D329" w:rsidR="00C71551" w:rsidRPr="0056612F" w:rsidRDefault="00C71551" w:rsidP="000F3B77">
      <w:pPr>
        <w:pStyle w:val="ListParagraph"/>
        <w:spacing w:before="120" w:line="360" w:lineRule="auto"/>
        <w:ind w:left="426"/>
        <w:jc w:val="both"/>
        <w:rPr>
          <w:rFonts w:ascii="Arial" w:hAnsi="Arial" w:cs="Arial"/>
          <w:b/>
          <w:bCs/>
          <w:sz w:val="20"/>
          <w:szCs w:val="20"/>
        </w:rPr>
      </w:pPr>
      <w:r w:rsidRPr="0056612F">
        <w:rPr>
          <w:rFonts w:ascii="Arial" w:hAnsi="Arial" w:cs="Arial"/>
          <w:b/>
          <w:bCs/>
          <w:sz w:val="20"/>
          <w:szCs w:val="20"/>
        </w:rPr>
        <w:t>Resolution Fund:</w:t>
      </w:r>
    </w:p>
    <w:p w14:paraId="3B0BF37B" w14:textId="6214C558" w:rsidR="001F2A47" w:rsidRPr="0056612F" w:rsidRDefault="001F2A47" w:rsidP="00271777">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C104, institutions should report the nominal amount of the IPCs entered by the entity in respect of resolution fund as indicated by the relevant contract or legal act. The amount should be reported in units of EUR. </w:t>
      </w:r>
    </w:p>
    <w:p w14:paraId="10828F17" w14:textId="77777777" w:rsidR="00C1598C" w:rsidRPr="0056612F" w:rsidRDefault="001F2A47" w:rsidP="00C1598C">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Under C105, institutions should report the accounting book value of the IPCs entered in respect of the resolution funds in case the IPC is recorded on the balance sheet of the entity. In case the IPC is not recorded on the balance sheet of the entity (i.e., is off-balance sheet)</w:t>
      </w:r>
      <w:r w:rsidR="00C1598C" w:rsidRPr="0056612F">
        <w:rPr>
          <w:rFonts w:ascii="Arial" w:hAnsi="Arial" w:cs="Arial"/>
          <w:sz w:val="20"/>
          <w:szCs w:val="20"/>
        </w:rPr>
        <w:t xml:space="preserve">, the cell should be left blank. </w:t>
      </w:r>
    </w:p>
    <w:p w14:paraId="5A84FE99" w14:textId="714521BC" w:rsidR="00C1598C" w:rsidRPr="0056612F" w:rsidRDefault="00C1598C" w:rsidP="00C1598C">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lastRenderedPageBreak/>
        <w:t xml:space="preserve">Under C106, the type of collateral posted in respect of the IPCs (e.g., government bond, </w:t>
      </w:r>
      <w:r w:rsidR="002114E2" w:rsidRPr="0056612F">
        <w:rPr>
          <w:rFonts w:ascii="Arial" w:hAnsi="Arial" w:cs="Arial"/>
          <w:sz w:val="20"/>
          <w:szCs w:val="20"/>
        </w:rPr>
        <w:t>cash</w:t>
      </w:r>
      <w:r w:rsidRPr="0056612F">
        <w:rPr>
          <w:rFonts w:ascii="Arial" w:hAnsi="Arial" w:cs="Arial"/>
          <w:sz w:val="20"/>
          <w:szCs w:val="20"/>
        </w:rPr>
        <w:t xml:space="preserve">…) should be defined. </w:t>
      </w:r>
    </w:p>
    <w:p w14:paraId="71BCB316" w14:textId="1FE791D7" w:rsidR="00C1598C" w:rsidRPr="0056612F" w:rsidRDefault="00C1598C" w:rsidP="00C1598C">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C107, institutions should report the nominal amount of collateral that is posted in respect of the IPCs to the resolution fund, as indicated by the relevant contract or legal act. The amount should be reported in units of EUR. </w:t>
      </w:r>
    </w:p>
    <w:p w14:paraId="2CB1B885" w14:textId="52186736" w:rsidR="00C1598C" w:rsidRPr="0056612F" w:rsidRDefault="00C1598C" w:rsidP="00C1598C">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C108, institutions should report the accounting book value of the collateral posted in respect of the IPCs to the resolution fund, as recorded in the balance sheet. In case the collateral is off-balance sheet, the cell should be left blank. </w:t>
      </w:r>
    </w:p>
    <w:p w14:paraId="0D3C5FC2" w14:textId="05BE8465" w:rsidR="00C1598C" w:rsidRPr="0056612F" w:rsidRDefault="00C1598C" w:rsidP="00C1598C">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Under C109</w:t>
      </w:r>
      <w:r w:rsidR="00C71551" w:rsidRPr="0056612F">
        <w:rPr>
          <w:rFonts w:ascii="Arial" w:hAnsi="Arial" w:cs="Arial"/>
          <w:sz w:val="20"/>
          <w:szCs w:val="20"/>
        </w:rPr>
        <w:t xml:space="preserve"> and C110</w:t>
      </w:r>
      <w:r w:rsidRPr="0056612F">
        <w:rPr>
          <w:rFonts w:ascii="Arial" w:hAnsi="Arial" w:cs="Arial"/>
          <w:sz w:val="20"/>
          <w:szCs w:val="20"/>
        </w:rPr>
        <w:t xml:space="preserve">, institutions should specify whether </w:t>
      </w:r>
      <w:r w:rsidR="00C71551" w:rsidRPr="0056612F">
        <w:rPr>
          <w:rFonts w:ascii="Arial" w:hAnsi="Arial" w:cs="Arial"/>
          <w:sz w:val="20"/>
          <w:szCs w:val="20"/>
        </w:rPr>
        <w:t xml:space="preserve">the full legal title and control over the collateral has been transferred to the Single Resolution fund or to the National Resolution fund, respectively. </w:t>
      </w:r>
    </w:p>
    <w:p w14:paraId="78E9C884" w14:textId="3D9F46C0" w:rsidR="00C71551" w:rsidRPr="0056612F" w:rsidRDefault="00C71551" w:rsidP="000F3B77">
      <w:pPr>
        <w:pStyle w:val="ListParagraph"/>
        <w:spacing w:before="120" w:line="360" w:lineRule="auto"/>
        <w:ind w:left="426"/>
        <w:jc w:val="both"/>
        <w:rPr>
          <w:rFonts w:ascii="Arial" w:hAnsi="Arial" w:cs="Arial"/>
          <w:b/>
          <w:bCs/>
          <w:sz w:val="20"/>
          <w:szCs w:val="20"/>
        </w:rPr>
      </w:pPr>
      <w:r w:rsidRPr="0056612F">
        <w:rPr>
          <w:rFonts w:ascii="Arial" w:hAnsi="Arial" w:cs="Arial"/>
          <w:b/>
          <w:bCs/>
          <w:sz w:val="20"/>
          <w:szCs w:val="20"/>
        </w:rPr>
        <w:t>Deposit guarantee scheme:</w:t>
      </w:r>
    </w:p>
    <w:p w14:paraId="084D361F" w14:textId="3119F131"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C111, institutions should report the nominal amount of the IPCs entered by the entity in respect of deposit guarantee scheme as indicated by the relevant contract or legal act. The amount should be reported in units of EUR. </w:t>
      </w:r>
    </w:p>
    <w:p w14:paraId="1521F40B" w14:textId="1D251BC0"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C112, institutions should report the accounting book value of the IPCs entered in respect of the deposit guarantee scheme in case the IPC is recorded on the balance sheet of the entity. In case the IPC is not recorded on the balance sheet of the entity (i.e., is off-balance sheet), the cell should be left blank. </w:t>
      </w:r>
    </w:p>
    <w:p w14:paraId="529C06FD" w14:textId="1DA5DA2D"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Under C113, the type of collateral posted in respect of the IPCs (e.g., government bond,</w:t>
      </w:r>
      <w:r w:rsidR="002114E2" w:rsidRPr="0056612F">
        <w:rPr>
          <w:rFonts w:ascii="Arial" w:hAnsi="Arial" w:cs="Arial"/>
          <w:sz w:val="20"/>
          <w:szCs w:val="20"/>
        </w:rPr>
        <w:t xml:space="preserve"> cash</w:t>
      </w:r>
      <w:r w:rsidRPr="0056612F">
        <w:rPr>
          <w:rFonts w:ascii="Arial" w:hAnsi="Arial" w:cs="Arial"/>
          <w:sz w:val="20"/>
          <w:szCs w:val="20"/>
        </w:rPr>
        <w:t xml:space="preserve"> …) should be defined. </w:t>
      </w:r>
    </w:p>
    <w:p w14:paraId="46C4EC34" w14:textId="2D9CFCBB"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C114, institutions should report the nominal amount of collateral that is posted in respect of the IPCs to the deposit guarantee scheme, as indicated by the relevant contract or legal act. The amount should be reported in units of EUR. </w:t>
      </w:r>
    </w:p>
    <w:p w14:paraId="0BA66DFF" w14:textId="5C17C9C0"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C115, institutions should report the accounting book value of the collateral posted in respect of the IPCs to the deposit guarantee scheme, as recorded in the balance sheet. In case the collateral is off-balance sheet, the cell should be left blank. </w:t>
      </w:r>
    </w:p>
    <w:p w14:paraId="0AD680B8" w14:textId="526E4ECC"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C116, institutions should specify whether the full legal title and control over the collateral has been transferred to the deposit guarantee scheme. </w:t>
      </w:r>
    </w:p>
    <w:p w14:paraId="7E4A6D3A" w14:textId="43109F2E" w:rsidR="00C71551" w:rsidRPr="0056612F" w:rsidRDefault="00C71551" w:rsidP="000F3B77">
      <w:pPr>
        <w:pStyle w:val="ListParagraph"/>
        <w:spacing w:before="120" w:line="360" w:lineRule="auto"/>
        <w:ind w:left="426"/>
        <w:jc w:val="both"/>
        <w:rPr>
          <w:rFonts w:ascii="Arial" w:hAnsi="Arial" w:cs="Arial"/>
          <w:b/>
          <w:bCs/>
          <w:sz w:val="20"/>
          <w:szCs w:val="20"/>
        </w:rPr>
      </w:pPr>
      <w:r w:rsidRPr="0056612F">
        <w:rPr>
          <w:rFonts w:ascii="Arial" w:hAnsi="Arial" w:cs="Arial"/>
          <w:b/>
          <w:bCs/>
          <w:sz w:val="20"/>
          <w:szCs w:val="20"/>
        </w:rPr>
        <w:t>Voluntary deposit guarantee scheme:</w:t>
      </w:r>
    </w:p>
    <w:p w14:paraId="04AF3525" w14:textId="7B54E349"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C111, institutions should report the nominal amount of the IPCs entered by the entity in respect of voluntary deposit guarantee scheme as indicated by the relevant contract or legal act. The amount should be reported in units of EUR. </w:t>
      </w:r>
    </w:p>
    <w:p w14:paraId="50966E15" w14:textId="208C9FB8"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C112, institutions should report the accounting book value of the IPCs entered in respect of the voluntary deposit guarantee scheme in case the IPC is recorded on the balance sheet of the entity. In case the IPC is not recorded on the balance sheet of the entity (i.e., is off-balance sheet), the cell should be left blank. </w:t>
      </w:r>
    </w:p>
    <w:p w14:paraId="360A0AD3" w14:textId="6D2ED5DF"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C113, the type of collateral posted in respect of the IPCs (e.g., government bond, </w:t>
      </w:r>
      <w:r w:rsidR="002114E2" w:rsidRPr="0056612F">
        <w:rPr>
          <w:rFonts w:ascii="Arial" w:hAnsi="Arial" w:cs="Arial"/>
          <w:sz w:val="20"/>
          <w:szCs w:val="20"/>
        </w:rPr>
        <w:t>cash</w:t>
      </w:r>
      <w:r w:rsidRPr="0056612F">
        <w:rPr>
          <w:rFonts w:ascii="Arial" w:hAnsi="Arial" w:cs="Arial"/>
          <w:sz w:val="20"/>
          <w:szCs w:val="20"/>
        </w:rPr>
        <w:t xml:space="preserve">…) should be defined. </w:t>
      </w:r>
    </w:p>
    <w:p w14:paraId="3A4E0969" w14:textId="71237459"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lastRenderedPageBreak/>
        <w:t xml:space="preserve">Under C114, institutions should report the nominal amount of collateral that is posted in respect of the IPCs to the voluntary deposit guarantee scheme, as indicated by the relevant contract or legal act. The amount should be reported in units of EUR. </w:t>
      </w:r>
    </w:p>
    <w:p w14:paraId="5ECBC2EE" w14:textId="2E8AE5BD"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C115, institutions should report the accounting book value of the collateral posted in respect of the IPCs to the voluntary deposit guarantee scheme, as recorded in the balance sheet. In case the collateral is off-balance sheet, the cell should be left blank. </w:t>
      </w:r>
    </w:p>
    <w:p w14:paraId="4A0210BB" w14:textId="57C5A326" w:rsidR="00C71551" w:rsidRPr="0056612F" w:rsidRDefault="00C71551" w:rsidP="00C71551">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Under C116, institutions should specify whether the full legal title and control over the collateral has been transferred to the voluntary deposit guarantee scheme. </w:t>
      </w:r>
    </w:p>
    <w:p w14:paraId="6F0B8338" w14:textId="5326E2D0" w:rsidR="00C71551" w:rsidRPr="0056612F" w:rsidRDefault="00CD4855" w:rsidP="00C1598C">
      <w:pPr>
        <w:pStyle w:val="ListParagraph"/>
        <w:numPr>
          <w:ilvl w:val="0"/>
          <w:numId w:val="2"/>
        </w:numPr>
        <w:spacing w:before="120" w:line="360" w:lineRule="auto"/>
        <w:ind w:left="426"/>
        <w:jc w:val="both"/>
        <w:rPr>
          <w:rFonts w:ascii="Arial" w:hAnsi="Arial" w:cs="Arial"/>
          <w:sz w:val="20"/>
          <w:szCs w:val="20"/>
        </w:rPr>
      </w:pPr>
      <w:r w:rsidRPr="0056612F">
        <w:rPr>
          <w:rFonts w:ascii="Arial" w:hAnsi="Arial" w:cs="Arial"/>
          <w:sz w:val="20"/>
          <w:szCs w:val="20"/>
        </w:rPr>
        <w:t xml:space="preserve">Cells C123, C124, C125 and C126 are automated formulas that calculate the total amounts of the nominal amount of IPCs, the accounting book value of IPCs, the nominal amount of the collateral posted in respect of IPCs, and the total accounting book value of the collateral posted in respect of IPCs, respectively. </w:t>
      </w:r>
    </w:p>
    <w:p w14:paraId="63449EF9" w14:textId="7E772AD4" w:rsidR="00271777" w:rsidRPr="0056612F" w:rsidRDefault="00271777" w:rsidP="000F3B77">
      <w:pPr>
        <w:ind w:left="66"/>
        <w:rPr>
          <w:rFonts w:ascii="Arial" w:hAnsi="Arial" w:cs="Arial"/>
          <w:sz w:val="20"/>
          <w:szCs w:val="20"/>
        </w:rPr>
      </w:pPr>
    </w:p>
    <w:p w14:paraId="6B9793D2" w14:textId="54F79BD3" w:rsidR="00271777" w:rsidRPr="0056612F" w:rsidRDefault="00271777" w:rsidP="00271777">
      <w:pPr>
        <w:pStyle w:val="Heading2"/>
        <w:spacing w:before="120" w:line="360" w:lineRule="auto"/>
        <w:ind w:left="720"/>
        <w:rPr>
          <w:rFonts w:ascii="Arial" w:hAnsi="Arial" w:cs="Arial"/>
          <w:color w:val="auto"/>
          <w:sz w:val="20"/>
          <w:szCs w:val="20"/>
        </w:rPr>
      </w:pPr>
      <w:bookmarkStart w:id="24" w:name="_Ref459821134"/>
      <w:bookmarkStart w:id="25" w:name="_Ref459877467"/>
      <w:bookmarkStart w:id="26" w:name="_Ref459877469"/>
      <w:bookmarkStart w:id="27" w:name="_Toc518916495"/>
      <w:bookmarkStart w:id="28" w:name="_Toc117695180"/>
      <w:r w:rsidRPr="0056612F">
        <w:rPr>
          <w:rFonts w:ascii="Arial" w:hAnsi="Arial" w:cs="Arial"/>
          <w:color w:val="auto"/>
          <w:sz w:val="20"/>
          <w:szCs w:val="20"/>
        </w:rPr>
        <w:t>T</w:t>
      </w:r>
      <w:r w:rsidR="00CD4855" w:rsidRPr="0056612F">
        <w:rPr>
          <w:rFonts w:ascii="Arial" w:hAnsi="Arial" w:cs="Arial"/>
          <w:color w:val="auto"/>
          <w:sz w:val="20"/>
          <w:szCs w:val="20"/>
        </w:rPr>
        <w:t>ab 2</w:t>
      </w:r>
      <w:r w:rsidRPr="0056612F">
        <w:rPr>
          <w:rFonts w:ascii="Arial" w:hAnsi="Arial" w:cs="Arial"/>
          <w:color w:val="auto"/>
          <w:sz w:val="20"/>
          <w:szCs w:val="20"/>
        </w:rPr>
        <w:t xml:space="preserve"> “</w:t>
      </w:r>
      <w:r w:rsidR="00CD4855" w:rsidRPr="0056612F">
        <w:rPr>
          <w:rFonts w:ascii="Arial" w:hAnsi="Arial" w:cs="Arial"/>
          <w:color w:val="auto"/>
          <w:sz w:val="20"/>
          <w:szCs w:val="20"/>
        </w:rPr>
        <w:t>Acc</w:t>
      </w:r>
      <w:r w:rsidR="00546630" w:rsidRPr="0056612F">
        <w:rPr>
          <w:rFonts w:ascii="Arial" w:hAnsi="Arial" w:cs="Arial"/>
          <w:color w:val="auto"/>
          <w:sz w:val="20"/>
          <w:szCs w:val="20"/>
        </w:rPr>
        <w:t>ounting</w:t>
      </w:r>
      <w:r w:rsidR="00CD4855" w:rsidRPr="0056612F">
        <w:rPr>
          <w:rFonts w:ascii="Arial" w:hAnsi="Arial" w:cs="Arial"/>
          <w:color w:val="auto"/>
          <w:sz w:val="20"/>
          <w:szCs w:val="20"/>
        </w:rPr>
        <w:t xml:space="preserve"> treatment (RF)</w:t>
      </w:r>
      <w:r w:rsidRPr="0056612F">
        <w:rPr>
          <w:rFonts w:ascii="Arial" w:hAnsi="Arial" w:cs="Arial"/>
          <w:color w:val="auto"/>
          <w:sz w:val="20"/>
          <w:szCs w:val="20"/>
        </w:rPr>
        <w:t>”</w:t>
      </w:r>
      <w:bookmarkEnd w:id="24"/>
      <w:bookmarkEnd w:id="25"/>
      <w:bookmarkEnd w:id="26"/>
      <w:bookmarkEnd w:id="27"/>
      <w:bookmarkEnd w:id="28"/>
    </w:p>
    <w:p w14:paraId="1ED459FE" w14:textId="1D2715F9" w:rsidR="00CD4855" w:rsidRPr="0056612F" w:rsidRDefault="00CD4855"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C201</w:t>
      </w:r>
      <w:r w:rsidR="00546630" w:rsidRPr="0056612F">
        <w:rPr>
          <w:rFonts w:ascii="Arial" w:hAnsi="Arial" w:cs="Arial"/>
          <w:sz w:val="20"/>
          <w:szCs w:val="20"/>
        </w:rPr>
        <w:t xml:space="preserve"> </w:t>
      </w:r>
      <w:r w:rsidRPr="0056612F">
        <w:rPr>
          <w:rFonts w:ascii="Arial" w:hAnsi="Arial" w:cs="Arial"/>
          <w:sz w:val="20"/>
          <w:szCs w:val="20"/>
        </w:rPr>
        <w:t xml:space="preserve">and C202, institutions are required to report the name and the LEI code, respectively, of the entity. </w:t>
      </w:r>
    </w:p>
    <w:p w14:paraId="4046D516" w14:textId="77777777" w:rsidR="0015655F" w:rsidRPr="0056612F" w:rsidRDefault="00CD4855"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C203, institutions need to report the level of consolidation using the drop-down menu. </w:t>
      </w:r>
      <w:r w:rsidR="0015655F" w:rsidRPr="0056612F">
        <w:rPr>
          <w:rFonts w:ascii="Arial" w:hAnsi="Arial" w:cs="Arial"/>
          <w:sz w:val="20"/>
          <w:szCs w:val="20"/>
        </w:rPr>
        <w:t xml:space="preserve">If the entity is subject to prudential requirements at different levels of consolidation, the information for all the relevant levels should be reported in different rows. </w:t>
      </w:r>
    </w:p>
    <w:p w14:paraId="4F3C4DC5" w14:textId="77777777" w:rsidR="00A7678A" w:rsidRPr="0056612F" w:rsidRDefault="00546630"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C204, institution should describe the accounting treatment applied to the IPCs and to the collateral in respect of the resolution fund. For instance, institutions should specify whether the IPCs are off-balance sheet and the collateral </w:t>
      </w:r>
      <w:r w:rsidR="00A7678A" w:rsidRPr="0056612F">
        <w:rPr>
          <w:rFonts w:ascii="Arial" w:hAnsi="Arial" w:cs="Arial"/>
          <w:sz w:val="20"/>
          <w:szCs w:val="20"/>
        </w:rPr>
        <w:t xml:space="preserve">on balance sheet, as well as the justification for the valued assigned to the collateral on the balance sheet. </w:t>
      </w:r>
    </w:p>
    <w:p w14:paraId="28D87B14" w14:textId="77777777" w:rsidR="00A7678A" w:rsidRPr="0056612F" w:rsidRDefault="00A7678A"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C205, in case there is a scenario under which the collateral can be retrieved without the need to make a payment of the same amount to the resolution fund, institutions should report the probability of its occurrence. </w:t>
      </w:r>
    </w:p>
    <w:p w14:paraId="44EFC830" w14:textId="77777777" w:rsidR="00A7678A" w:rsidRPr="0056612F" w:rsidRDefault="00A7678A"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C206, institutions should describe the time horizon of the scenario of retrieving the collateral without a counterbalancing contribution. This cell should be reported in e.g., XX years, months, days, etc.  </w:t>
      </w:r>
    </w:p>
    <w:p w14:paraId="342E2ECF" w14:textId="77777777" w:rsidR="00303D3E" w:rsidRPr="0056612F" w:rsidRDefault="00A7678A"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C207, institutions should indicate the discount rates applied to </w:t>
      </w:r>
      <w:r w:rsidR="00303D3E" w:rsidRPr="0056612F">
        <w:rPr>
          <w:rFonts w:ascii="Arial" w:hAnsi="Arial" w:cs="Arial"/>
          <w:sz w:val="20"/>
          <w:szCs w:val="20"/>
        </w:rPr>
        <w:t xml:space="preserve">the valuation of the collateral posted in respect of IPCs as well as a relative justification. </w:t>
      </w:r>
    </w:p>
    <w:p w14:paraId="30B1A8C5" w14:textId="77777777" w:rsidR="00303D3E" w:rsidRPr="0056612F" w:rsidRDefault="00303D3E"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C208, in case there is a scenario under which the collateral can be retrieved without the need to make a payment of the same amount to the resolution fund, institutions should describe this scenario. </w:t>
      </w:r>
    </w:p>
    <w:p w14:paraId="798FC23F" w14:textId="78840CFE" w:rsidR="008101C8" w:rsidRPr="0056612F" w:rsidRDefault="00303D3E"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C209, institution</w:t>
      </w:r>
      <w:r w:rsidR="008101C8" w:rsidRPr="0056612F">
        <w:rPr>
          <w:rFonts w:ascii="Arial" w:hAnsi="Arial" w:cs="Arial"/>
          <w:sz w:val="20"/>
          <w:szCs w:val="20"/>
        </w:rPr>
        <w:t>s</w:t>
      </w:r>
      <w:r w:rsidRPr="0056612F">
        <w:rPr>
          <w:rFonts w:ascii="Arial" w:hAnsi="Arial" w:cs="Arial"/>
          <w:sz w:val="20"/>
          <w:szCs w:val="20"/>
        </w:rPr>
        <w:t xml:space="preserve"> should refer to the institution’s internal documentation</w:t>
      </w:r>
      <w:r w:rsidR="000C0994" w:rsidRPr="0056612F">
        <w:rPr>
          <w:rFonts w:ascii="Arial" w:hAnsi="Arial" w:cs="Arial"/>
          <w:sz w:val="20"/>
          <w:szCs w:val="20"/>
        </w:rPr>
        <w:t xml:space="preserve"> with reference to the scenario of retrieving the collateral without a counterbalancing contribution</w:t>
      </w:r>
      <w:r w:rsidRPr="0056612F">
        <w:rPr>
          <w:rFonts w:ascii="Arial" w:hAnsi="Arial" w:cs="Arial"/>
          <w:sz w:val="20"/>
          <w:szCs w:val="20"/>
        </w:rPr>
        <w:t xml:space="preserve">, if any, approved by a person or relevant body that has been duly authorised by the institution’s management body to approve on its behalf. </w:t>
      </w:r>
      <w:r w:rsidR="008101C8" w:rsidRPr="0056612F">
        <w:rPr>
          <w:rFonts w:ascii="Arial" w:hAnsi="Arial" w:cs="Arial"/>
          <w:sz w:val="20"/>
          <w:szCs w:val="20"/>
        </w:rPr>
        <w:t xml:space="preserve">In case there is such documentation, the relevant extract or document should also be submitted to the JST. </w:t>
      </w:r>
    </w:p>
    <w:p w14:paraId="5DAB57FB" w14:textId="18E0F3C0" w:rsidR="008101C8" w:rsidRPr="0056612F" w:rsidRDefault="008101C8" w:rsidP="00271777">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lastRenderedPageBreak/>
        <w:t>Under C210, institutions should indicate the probability assigned to the scenario that the resolution fund requires the institution to pay the contribution o</w:t>
      </w:r>
      <w:r w:rsidR="006D2D76" w:rsidRPr="0056612F">
        <w:rPr>
          <w:rFonts w:ascii="Arial" w:hAnsi="Arial" w:cs="Arial"/>
          <w:sz w:val="20"/>
          <w:szCs w:val="20"/>
        </w:rPr>
        <w:t>r</w:t>
      </w:r>
      <w:r w:rsidRPr="0056612F">
        <w:rPr>
          <w:rFonts w:ascii="Arial" w:hAnsi="Arial" w:cs="Arial"/>
          <w:sz w:val="20"/>
          <w:szCs w:val="20"/>
        </w:rPr>
        <w:t xml:space="preserve"> seize the collateral and describe the circumstances of the occurrence of such scenario. </w:t>
      </w:r>
    </w:p>
    <w:p w14:paraId="7222E7AC" w14:textId="0C0A59E6" w:rsidR="008101C8" w:rsidRPr="0056612F" w:rsidRDefault="008101C8" w:rsidP="008101C8">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C211, institutions should describe when it is expected that the resolution fund requires the institution to pay the contribution or to seize the collateral. This cell should be reported in e.g., XX years, months, days, etc.  </w:t>
      </w:r>
    </w:p>
    <w:p w14:paraId="04279145" w14:textId="1AADB1F9" w:rsidR="008101C8" w:rsidRPr="0056612F" w:rsidRDefault="008101C8" w:rsidP="008101C8">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C212, institutions should describe the interaction between the scenario of the IPC being called and the scenario of retrieving the collateral without a counterbalancing contribution (C205-C211)</w:t>
      </w:r>
      <w:r w:rsidR="000C0994" w:rsidRPr="0056612F">
        <w:rPr>
          <w:rFonts w:ascii="Arial" w:hAnsi="Arial" w:cs="Arial"/>
          <w:sz w:val="20"/>
          <w:szCs w:val="20"/>
        </w:rPr>
        <w:t xml:space="preserve"> and how they are reflected in the valuation of the collateral. </w:t>
      </w:r>
    </w:p>
    <w:p w14:paraId="149157C1" w14:textId="775E6313" w:rsidR="000C0994" w:rsidRPr="0056612F" w:rsidRDefault="000C0994" w:rsidP="008101C8">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C213, institutions should refer to the institution’s internal documentation with reference to the scenario of the IPC being called, if any, approved by a person or relevant body that has been duly authorised by the institution’s management body to approve on its behalf. In case there is such documentation, the relevant extract or document should also be submitted to the JST.</w:t>
      </w:r>
    </w:p>
    <w:p w14:paraId="209B413F" w14:textId="5234E0AE" w:rsidR="000C0994" w:rsidRPr="0056612F" w:rsidRDefault="000C0994" w:rsidP="008101C8">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C214, institutions should describe how the probability of not retrieving the collateral posted in respect of IPCs to the resolution fund is reflected in the accounting book value of the collateral. </w:t>
      </w:r>
    </w:p>
    <w:p w14:paraId="519C4C00" w14:textId="355899D0" w:rsidR="000C0994" w:rsidRPr="0056612F" w:rsidRDefault="000C0994" w:rsidP="008101C8">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C215, institutions should refer to the institution’s internal documentation with reference to how the probability of not retrieving the collateral is reflected in the accounting treatment of the collateral, if any, approved by a person or relevant body that has been duly authorised by the institution’s management body to approve on its behalf. In case there is such documentation, the relevant extract or document should also be submitted to the JST.</w:t>
      </w:r>
    </w:p>
    <w:p w14:paraId="231198FB" w14:textId="1CC3BBE6" w:rsidR="000C0994" w:rsidRPr="0056612F" w:rsidRDefault="000C0994" w:rsidP="008101C8">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C216, institutions should quantify the effect of the scenario of not retrieving the collateral posted in respect of the resolution fund on the accounting book value. </w:t>
      </w:r>
    </w:p>
    <w:p w14:paraId="1AFB6C4B" w14:textId="032B4ADB" w:rsidR="000C0994" w:rsidRPr="0056612F" w:rsidRDefault="000C0994" w:rsidP="000C0994">
      <w:pPr>
        <w:pStyle w:val="Heading2"/>
        <w:spacing w:before="120" w:line="360" w:lineRule="auto"/>
        <w:ind w:left="720"/>
        <w:rPr>
          <w:rFonts w:ascii="Arial" w:hAnsi="Arial" w:cs="Arial"/>
          <w:color w:val="auto"/>
          <w:sz w:val="20"/>
          <w:szCs w:val="20"/>
        </w:rPr>
      </w:pPr>
      <w:bookmarkStart w:id="29" w:name="_Toc117695181"/>
      <w:r w:rsidRPr="0056612F">
        <w:rPr>
          <w:rFonts w:ascii="Arial" w:hAnsi="Arial" w:cs="Arial"/>
          <w:color w:val="auto"/>
          <w:sz w:val="20"/>
          <w:szCs w:val="20"/>
        </w:rPr>
        <w:t xml:space="preserve">Tab </w:t>
      </w:r>
      <w:r w:rsidR="006D2870" w:rsidRPr="0056612F">
        <w:rPr>
          <w:rFonts w:ascii="Arial" w:hAnsi="Arial" w:cs="Arial"/>
          <w:color w:val="auto"/>
          <w:sz w:val="20"/>
          <w:szCs w:val="20"/>
        </w:rPr>
        <w:t>3</w:t>
      </w:r>
      <w:r w:rsidRPr="0056612F">
        <w:rPr>
          <w:rFonts w:ascii="Arial" w:hAnsi="Arial" w:cs="Arial"/>
          <w:color w:val="auto"/>
          <w:sz w:val="20"/>
          <w:szCs w:val="20"/>
        </w:rPr>
        <w:t xml:space="preserve"> “Accounting treatment (DGS)”</w:t>
      </w:r>
      <w:bookmarkEnd w:id="29"/>
    </w:p>
    <w:p w14:paraId="3A762767" w14:textId="4A8707A4"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C301 and C302, institutions are required to report the name and the LEI code, respectively, of the entity. </w:t>
      </w:r>
    </w:p>
    <w:p w14:paraId="61D2700F" w14:textId="7509FBE8"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C303, institutions need to report the level of consolidation using the drop-down menu. If the entity is subject to prudential requirements at different levels of consolidation, the information for all the relevant levels should be reported in different rows. </w:t>
      </w:r>
    </w:p>
    <w:p w14:paraId="6121E0E4" w14:textId="49688619"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C304, institution should describe the accounting treatment applied to the IPCs and to the collateral in respect of the deposit guarantee scheme. For instance, institutions should specify whether the IPCs are off-balance sheet and the collateral on balance sheet, as well as the justification for the valued assigned to the collateral on the balance sheet. </w:t>
      </w:r>
    </w:p>
    <w:p w14:paraId="6BBD64D1" w14:textId="54995BF8"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C305, in case there is a scenario under which the collateral can be retrieved without the need to make a payment of the same amount to the deposit guarantee scheme, institutions should report the probability of its occurrence. </w:t>
      </w:r>
    </w:p>
    <w:p w14:paraId="5BD18588" w14:textId="758FC806"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C306, institutions should describe the time horizon of the scenario of retrieving the collateral without a counterbalancing contribution. This cell should be reported in e.g., XX years, months, days, etc.  </w:t>
      </w:r>
    </w:p>
    <w:p w14:paraId="0FFCA9EC" w14:textId="2A17AB86"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lastRenderedPageBreak/>
        <w:t xml:space="preserve">Under C307, institutions should indicate the discount rates applied to the valuation of the collateral posted in respect of IPCs as well as a relative justification. </w:t>
      </w:r>
    </w:p>
    <w:p w14:paraId="6B0F6B58" w14:textId="3EDDBA7E"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C308, in case there is a scenario under which the collateral can be retrieved without the need to make a payment of the same amount to the deposit guarantee scheme, institutions should describe this scenario. </w:t>
      </w:r>
    </w:p>
    <w:p w14:paraId="4995FA0B" w14:textId="7B0A6102"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w:t>
      </w:r>
      <w:r w:rsidR="004C6339" w:rsidRPr="0056612F">
        <w:rPr>
          <w:rFonts w:ascii="Arial" w:hAnsi="Arial" w:cs="Arial"/>
          <w:sz w:val="20"/>
          <w:szCs w:val="20"/>
        </w:rPr>
        <w:t>3</w:t>
      </w:r>
      <w:r w:rsidRPr="0056612F">
        <w:rPr>
          <w:rFonts w:ascii="Arial" w:hAnsi="Arial" w:cs="Arial"/>
          <w:sz w:val="20"/>
          <w:szCs w:val="20"/>
        </w:rPr>
        <w:t xml:space="preserve">09, institutions should refer to the institution’s internal documentation with reference to the scenario of retrieving the collateral without a counterbalancing contribution, if any, approved by a person or relevant body that has been duly authorised by the institution’s management body to approve on its behalf. In case there is such documentation, the relevant extract or document should also be submitted to the JST. </w:t>
      </w:r>
    </w:p>
    <w:p w14:paraId="19A64134" w14:textId="08F3C061"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w:t>
      </w:r>
      <w:r w:rsidR="004C6339" w:rsidRPr="0056612F">
        <w:rPr>
          <w:rFonts w:ascii="Arial" w:hAnsi="Arial" w:cs="Arial"/>
          <w:sz w:val="20"/>
          <w:szCs w:val="20"/>
        </w:rPr>
        <w:t>3</w:t>
      </w:r>
      <w:r w:rsidRPr="0056612F">
        <w:rPr>
          <w:rFonts w:ascii="Arial" w:hAnsi="Arial" w:cs="Arial"/>
          <w:sz w:val="20"/>
          <w:szCs w:val="20"/>
        </w:rPr>
        <w:t xml:space="preserve">10, institutions should indicate the probability assigned to the scenario that the </w:t>
      </w:r>
      <w:r w:rsidR="004C6339" w:rsidRPr="0056612F">
        <w:rPr>
          <w:rFonts w:ascii="Arial" w:hAnsi="Arial" w:cs="Arial"/>
          <w:sz w:val="20"/>
          <w:szCs w:val="20"/>
        </w:rPr>
        <w:t xml:space="preserve">deposit guarantee scheme </w:t>
      </w:r>
      <w:r w:rsidRPr="0056612F">
        <w:rPr>
          <w:rFonts w:ascii="Arial" w:hAnsi="Arial" w:cs="Arial"/>
          <w:sz w:val="20"/>
          <w:szCs w:val="20"/>
        </w:rPr>
        <w:t xml:space="preserve">requires the institution to pay the contribution </w:t>
      </w:r>
      <w:r w:rsidR="00611982" w:rsidRPr="0056612F">
        <w:rPr>
          <w:rFonts w:ascii="Arial" w:hAnsi="Arial" w:cs="Arial"/>
          <w:sz w:val="20"/>
          <w:szCs w:val="20"/>
        </w:rPr>
        <w:t>or</w:t>
      </w:r>
      <w:r w:rsidRPr="0056612F">
        <w:rPr>
          <w:rFonts w:ascii="Arial" w:hAnsi="Arial" w:cs="Arial"/>
          <w:sz w:val="20"/>
          <w:szCs w:val="20"/>
        </w:rPr>
        <w:t xml:space="preserve"> seize the collateral and describe the circumstances of the occurrence of such scenario. </w:t>
      </w:r>
    </w:p>
    <w:p w14:paraId="1A202D21" w14:textId="22CD06B9"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w:t>
      </w:r>
      <w:r w:rsidR="004C6339" w:rsidRPr="0056612F">
        <w:rPr>
          <w:rFonts w:ascii="Arial" w:hAnsi="Arial" w:cs="Arial"/>
          <w:sz w:val="20"/>
          <w:szCs w:val="20"/>
        </w:rPr>
        <w:t>3</w:t>
      </w:r>
      <w:r w:rsidRPr="0056612F">
        <w:rPr>
          <w:rFonts w:ascii="Arial" w:hAnsi="Arial" w:cs="Arial"/>
          <w:sz w:val="20"/>
          <w:szCs w:val="20"/>
        </w:rPr>
        <w:t xml:space="preserve">11, institutions should describe when it is expected that the </w:t>
      </w:r>
      <w:r w:rsidR="004C6339" w:rsidRPr="0056612F">
        <w:rPr>
          <w:rFonts w:ascii="Arial" w:hAnsi="Arial" w:cs="Arial"/>
          <w:sz w:val="20"/>
          <w:szCs w:val="20"/>
        </w:rPr>
        <w:t>deposit guarantee scheme</w:t>
      </w:r>
      <w:r w:rsidRPr="0056612F">
        <w:rPr>
          <w:rFonts w:ascii="Arial" w:hAnsi="Arial" w:cs="Arial"/>
          <w:sz w:val="20"/>
          <w:szCs w:val="20"/>
        </w:rPr>
        <w:t xml:space="preserve"> requires the institution to pay the contribution or to seize the collateral. This cell should be reported in e.g., XX years, months, days, etc.  </w:t>
      </w:r>
    </w:p>
    <w:p w14:paraId="5F6FF82B" w14:textId="32C3095B"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w:t>
      </w:r>
      <w:r w:rsidR="004C6339" w:rsidRPr="0056612F">
        <w:rPr>
          <w:rFonts w:ascii="Arial" w:hAnsi="Arial" w:cs="Arial"/>
          <w:sz w:val="20"/>
          <w:szCs w:val="20"/>
        </w:rPr>
        <w:t>3</w:t>
      </w:r>
      <w:r w:rsidRPr="0056612F">
        <w:rPr>
          <w:rFonts w:ascii="Arial" w:hAnsi="Arial" w:cs="Arial"/>
          <w:sz w:val="20"/>
          <w:szCs w:val="20"/>
        </w:rPr>
        <w:t>12, institutions should describe the interaction between the scenario of the IPC being called and the scenario of retrieving the collateral without a counterbalancing contribution (C</w:t>
      </w:r>
      <w:r w:rsidR="004C6339" w:rsidRPr="0056612F">
        <w:rPr>
          <w:rFonts w:ascii="Arial" w:hAnsi="Arial" w:cs="Arial"/>
          <w:sz w:val="20"/>
          <w:szCs w:val="20"/>
        </w:rPr>
        <w:t>3</w:t>
      </w:r>
      <w:r w:rsidRPr="0056612F">
        <w:rPr>
          <w:rFonts w:ascii="Arial" w:hAnsi="Arial" w:cs="Arial"/>
          <w:sz w:val="20"/>
          <w:szCs w:val="20"/>
        </w:rPr>
        <w:t>05-C</w:t>
      </w:r>
      <w:r w:rsidR="004C6339" w:rsidRPr="0056612F">
        <w:rPr>
          <w:rFonts w:ascii="Arial" w:hAnsi="Arial" w:cs="Arial"/>
          <w:sz w:val="20"/>
          <w:szCs w:val="20"/>
        </w:rPr>
        <w:t>3</w:t>
      </w:r>
      <w:r w:rsidRPr="0056612F">
        <w:rPr>
          <w:rFonts w:ascii="Arial" w:hAnsi="Arial" w:cs="Arial"/>
          <w:sz w:val="20"/>
          <w:szCs w:val="20"/>
        </w:rPr>
        <w:t xml:space="preserve">11) and how they are reflected in the valuation of the collateral. </w:t>
      </w:r>
    </w:p>
    <w:p w14:paraId="659077C4" w14:textId="14F39465"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w:t>
      </w:r>
      <w:r w:rsidR="006D2870" w:rsidRPr="0056612F">
        <w:rPr>
          <w:rFonts w:ascii="Arial" w:hAnsi="Arial" w:cs="Arial"/>
          <w:sz w:val="20"/>
          <w:szCs w:val="20"/>
        </w:rPr>
        <w:t>3</w:t>
      </w:r>
      <w:r w:rsidRPr="0056612F">
        <w:rPr>
          <w:rFonts w:ascii="Arial" w:hAnsi="Arial" w:cs="Arial"/>
          <w:sz w:val="20"/>
          <w:szCs w:val="20"/>
        </w:rPr>
        <w:t>13, institutions should refer to the institution’s internal documentation with reference to the scenario of the IPC being called, if any, approved by a person or relevant body that has been duly authorised by the institution’s management body to approve on its behalf. In case there is such documentation, the relevant extract or document should also be submitted to the JST.</w:t>
      </w:r>
    </w:p>
    <w:p w14:paraId="724F747D" w14:textId="0584CB09"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w:t>
      </w:r>
      <w:r w:rsidR="006D2870" w:rsidRPr="0056612F">
        <w:rPr>
          <w:rFonts w:ascii="Arial" w:hAnsi="Arial" w:cs="Arial"/>
          <w:sz w:val="20"/>
          <w:szCs w:val="20"/>
        </w:rPr>
        <w:t>3</w:t>
      </w:r>
      <w:r w:rsidRPr="0056612F">
        <w:rPr>
          <w:rFonts w:ascii="Arial" w:hAnsi="Arial" w:cs="Arial"/>
          <w:sz w:val="20"/>
          <w:szCs w:val="20"/>
        </w:rPr>
        <w:t xml:space="preserve">14, institutions should describe how the probability of not retrieving the collateral posted in respect of IPCs to the </w:t>
      </w:r>
      <w:r w:rsidR="006D2870" w:rsidRPr="0056612F">
        <w:rPr>
          <w:rFonts w:ascii="Arial" w:hAnsi="Arial" w:cs="Arial"/>
          <w:sz w:val="20"/>
          <w:szCs w:val="20"/>
        </w:rPr>
        <w:t>deposit guarantee scheme</w:t>
      </w:r>
      <w:r w:rsidRPr="0056612F">
        <w:rPr>
          <w:rFonts w:ascii="Arial" w:hAnsi="Arial" w:cs="Arial"/>
          <w:sz w:val="20"/>
          <w:szCs w:val="20"/>
        </w:rPr>
        <w:t xml:space="preserve"> is reflected in the accounting book value of the collateral. </w:t>
      </w:r>
    </w:p>
    <w:p w14:paraId="6D34DAE4" w14:textId="57230798"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w:t>
      </w:r>
      <w:r w:rsidR="006D2870" w:rsidRPr="0056612F">
        <w:rPr>
          <w:rFonts w:ascii="Arial" w:hAnsi="Arial" w:cs="Arial"/>
          <w:sz w:val="20"/>
          <w:szCs w:val="20"/>
        </w:rPr>
        <w:t>3</w:t>
      </w:r>
      <w:r w:rsidRPr="0056612F">
        <w:rPr>
          <w:rFonts w:ascii="Arial" w:hAnsi="Arial" w:cs="Arial"/>
          <w:sz w:val="20"/>
          <w:szCs w:val="20"/>
        </w:rPr>
        <w:t>15, institutions should refer to the institution’s internal documentation with reference to how the probability of not retrieving the collateral is reflected in the accounting treatment of the collateral, if any, approved by a person or relevant body that has been duly authorised by the institution’s management body to approve on its behalf. In case there is such documentation, the relevant extract or document should also be submitted to the JST.</w:t>
      </w:r>
    </w:p>
    <w:p w14:paraId="1FBE43DB" w14:textId="6F78CB9C" w:rsidR="000C0994" w:rsidRPr="0056612F" w:rsidRDefault="000C0994" w:rsidP="000C0994">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w:t>
      </w:r>
      <w:r w:rsidR="006D2870" w:rsidRPr="0056612F">
        <w:rPr>
          <w:rFonts w:ascii="Arial" w:hAnsi="Arial" w:cs="Arial"/>
          <w:sz w:val="20"/>
          <w:szCs w:val="20"/>
        </w:rPr>
        <w:t>3</w:t>
      </w:r>
      <w:r w:rsidRPr="0056612F">
        <w:rPr>
          <w:rFonts w:ascii="Arial" w:hAnsi="Arial" w:cs="Arial"/>
          <w:sz w:val="20"/>
          <w:szCs w:val="20"/>
        </w:rPr>
        <w:t xml:space="preserve">16, institutions should quantify the effect of the scenario of not retrieving the collateral posted in respect of the </w:t>
      </w:r>
      <w:r w:rsidR="006D2870" w:rsidRPr="0056612F">
        <w:rPr>
          <w:rFonts w:ascii="Arial" w:hAnsi="Arial" w:cs="Arial"/>
          <w:sz w:val="20"/>
          <w:szCs w:val="20"/>
        </w:rPr>
        <w:t xml:space="preserve">deposit guarantee scheme </w:t>
      </w:r>
      <w:r w:rsidRPr="0056612F">
        <w:rPr>
          <w:rFonts w:ascii="Arial" w:hAnsi="Arial" w:cs="Arial"/>
          <w:sz w:val="20"/>
          <w:szCs w:val="20"/>
        </w:rPr>
        <w:t xml:space="preserve">on the accounting book value. </w:t>
      </w:r>
    </w:p>
    <w:p w14:paraId="23C882DC" w14:textId="699D0819" w:rsidR="006D2870" w:rsidRPr="0056612F" w:rsidRDefault="006D2870" w:rsidP="006D2870">
      <w:pPr>
        <w:pStyle w:val="Heading2"/>
        <w:spacing w:before="120" w:line="360" w:lineRule="auto"/>
        <w:ind w:left="720"/>
        <w:rPr>
          <w:rFonts w:ascii="Arial" w:hAnsi="Arial" w:cs="Arial"/>
          <w:color w:val="auto"/>
          <w:sz w:val="20"/>
          <w:szCs w:val="20"/>
        </w:rPr>
      </w:pPr>
      <w:bookmarkStart w:id="30" w:name="_Toc117695182"/>
      <w:r w:rsidRPr="0056612F">
        <w:rPr>
          <w:rFonts w:ascii="Arial" w:hAnsi="Arial" w:cs="Arial"/>
          <w:color w:val="auto"/>
          <w:sz w:val="20"/>
          <w:szCs w:val="20"/>
        </w:rPr>
        <w:t>Tab 4 “Accounting treatment (voluntary DGS)”</w:t>
      </w:r>
      <w:bookmarkEnd w:id="30"/>
    </w:p>
    <w:p w14:paraId="5E50FF06" w14:textId="20610329"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C401 and C402, institutions are required to report the name and the LEI code, respectively, of the entity. </w:t>
      </w:r>
    </w:p>
    <w:p w14:paraId="64545F7F" w14:textId="0A3429D6"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C403, institutions need to report the level of consolidation using the drop-down menu. If the entity is subject to prudential requirements at different levels of consolidation, the information for all the relevant levels should be reported in different rows. </w:t>
      </w:r>
    </w:p>
    <w:p w14:paraId="13E06E92" w14:textId="065C7D5A"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lastRenderedPageBreak/>
        <w:t xml:space="preserve">Under C404, institution should describe the accounting treatment applied to the IPCs and to the collateral in respect of the voluntary deposit guarantee scheme. For instance, institutions should specify whether the IPCs are off-balance sheet and the collateral on balance sheet, as well as the justification for the valued assigned to the collateral on the balance sheet. </w:t>
      </w:r>
    </w:p>
    <w:p w14:paraId="23FE8BF1" w14:textId="35CD87BA"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C405, in case there is a scenario under which the collateral can be retrieved without the need to make a payment of the same amount to the voluntary deposit guarantee scheme, institutions should report the probability of its occurrence. </w:t>
      </w:r>
    </w:p>
    <w:p w14:paraId="774B592A" w14:textId="37C6C90F"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C406, institutions should describe the time horizon of the scenario of retrieving the collateral without a counterbalancing contribution. This cell should be reported in e.g., XX years, months, days, etc.  </w:t>
      </w:r>
    </w:p>
    <w:p w14:paraId="20A89E70" w14:textId="31C88E4C"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C407, institutions should indicate the discount rates applied to the valuation of the collateral posted in respect of IPCs as well as a relative justification. </w:t>
      </w:r>
    </w:p>
    <w:p w14:paraId="7FD30407" w14:textId="4158D18B"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C408, in case there is a scenario under which the collateral can be retrieved without the need to make a payment of the same amount to the voluntary deposit guarantee scheme, institutions should describe this scenario. </w:t>
      </w:r>
    </w:p>
    <w:p w14:paraId="5D4E7C79" w14:textId="43EB7E2B"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C409, institutions should refer to the institution’s internal documentation with reference to the scenario of retrieving the collateral without a counterbalancing contribution, if any, approved by a person or relevant body that has been duly authorised by the institution’s management body to approve on its behalf. In case there is such documentation, the relevant extract or document should also be submitted to the JST. </w:t>
      </w:r>
    </w:p>
    <w:p w14:paraId="270A1895" w14:textId="0A28027D"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C410, institutions should indicate the probability assigned to the scenario that the voluntary deposit guarantee scheme requires the institution to pay the contribution </w:t>
      </w:r>
      <w:r w:rsidR="00611982" w:rsidRPr="0056612F">
        <w:rPr>
          <w:rFonts w:ascii="Arial" w:hAnsi="Arial" w:cs="Arial"/>
          <w:sz w:val="20"/>
          <w:szCs w:val="20"/>
        </w:rPr>
        <w:t xml:space="preserve">or </w:t>
      </w:r>
      <w:r w:rsidRPr="0056612F">
        <w:rPr>
          <w:rFonts w:ascii="Arial" w:hAnsi="Arial" w:cs="Arial"/>
          <w:sz w:val="20"/>
          <w:szCs w:val="20"/>
        </w:rPr>
        <w:t xml:space="preserve">seize the collateral and describe the circumstances of the occurrence of such scenario. </w:t>
      </w:r>
    </w:p>
    <w:p w14:paraId="495DD1D0" w14:textId="2492A436"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C411, institutions should describe when it is expected that the voluntary deposit guarantee scheme requires the institution to pay the contribution or to seize the collateral. This cell should be reported in e.g., XX years, months, days, etc.  </w:t>
      </w:r>
    </w:p>
    <w:p w14:paraId="2F46EF8E" w14:textId="08DB4CD9"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C412, institutions should describe the interaction between the scenario of the IPC being called and the scenario of retrieving the collateral without a counterbalancing contribution (C405-C411) and how they are reflected in the valuation of the collateral. </w:t>
      </w:r>
    </w:p>
    <w:p w14:paraId="4F60F001" w14:textId="4048EA90"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C413, institutions should refer to the institution’s internal documentation with reference to the scenario of the IPC being called, if any, approved by a person or relevant body that has been duly authorised by the institution’s management body to approve on its behalf. In case there is such documentation, the relevant extract or document should also be submitted to the JST.</w:t>
      </w:r>
    </w:p>
    <w:p w14:paraId="54E432E6" w14:textId="55DB111D"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C414, institutions should describe how the probability of not retrieving the collateral posted in respect of IPCs to the voluntary deposit guarantee scheme is reflected in the accounting book value of the collateral. </w:t>
      </w:r>
    </w:p>
    <w:p w14:paraId="518187E8" w14:textId="551C6BF7"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C415, institutions should refer to the institution’s internal documentation with reference to how the probability of not retrieving the collateral is reflected in the accounting treatment of the collateral, if any, approved by a person or relevant body that has been duly authorised by the </w:t>
      </w:r>
      <w:r w:rsidRPr="0056612F">
        <w:rPr>
          <w:rFonts w:ascii="Arial" w:hAnsi="Arial" w:cs="Arial"/>
          <w:sz w:val="20"/>
          <w:szCs w:val="20"/>
        </w:rPr>
        <w:lastRenderedPageBreak/>
        <w:t>institution’s management body to approve on its behalf. In case there is such documentation, the relevant extract or document should also be submitted to the JST.</w:t>
      </w:r>
    </w:p>
    <w:p w14:paraId="7147ADC3" w14:textId="76D31DC4"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C416, institutions should quantify the effect of the scenario of not retrieving the collateral posted in respect of the voluntary deposit guarantee scheme on the accounting book value. </w:t>
      </w:r>
    </w:p>
    <w:p w14:paraId="0E5B5464" w14:textId="01200F36" w:rsidR="006D2870" w:rsidRPr="0056612F" w:rsidRDefault="006D2870" w:rsidP="006D2870">
      <w:pPr>
        <w:pStyle w:val="Heading2"/>
        <w:spacing w:before="120" w:line="360" w:lineRule="auto"/>
        <w:ind w:left="720"/>
        <w:rPr>
          <w:rFonts w:ascii="Arial" w:hAnsi="Arial" w:cs="Arial"/>
          <w:color w:val="auto"/>
          <w:sz w:val="20"/>
          <w:szCs w:val="20"/>
        </w:rPr>
      </w:pPr>
      <w:bookmarkStart w:id="31" w:name="_Toc117695183"/>
      <w:bookmarkStart w:id="32" w:name="_Hlk117690982"/>
      <w:r w:rsidRPr="0056612F">
        <w:rPr>
          <w:rFonts w:ascii="Arial" w:hAnsi="Arial" w:cs="Arial"/>
          <w:color w:val="auto"/>
          <w:sz w:val="20"/>
          <w:szCs w:val="20"/>
        </w:rPr>
        <w:t xml:space="preserve">Tab </w:t>
      </w:r>
      <w:r w:rsidR="00AC4B73" w:rsidRPr="0056612F">
        <w:rPr>
          <w:rFonts w:ascii="Arial" w:hAnsi="Arial" w:cs="Arial"/>
          <w:color w:val="auto"/>
          <w:sz w:val="20"/>
          <w:szCs w:val="20"/>
        </w:rPr>
        <w:t>5</w:t>
      </w:r>
      <w:r w:rsidRPr="0056612F">
        <w:rPr>
          <w:rFonts w:ascii="Arial" w:hAnsi="Arial" w:cs="Arial"/>
          <w:color w:val="auto"/>
          <w:sz w:val="20"/>
          <w:szCs w:val="20"/>
        </w:rPr>
        <w:t xml:space="preserve"> “</w:t>
      </w:r>
      <w:r w:rsidR="00AC4B73" w:rsidRPr="0056612F">
        <w:rPr>
          <w:rFonts w:ascii="Arial" w:hAnsi="Arial" w:cs="Arial"/>
          <w:color w:val="auto"/>
          <w:sz w:val="20"/>
          <w:szCs w:val="20"/>
        </w:rPr>
        <w:t>Capital and liquidity treatment</w:t>
      </w:r>
      <w:r w:rsidRPr="0056612F">
        <w:rPr>
          <w:rFonts w:ascii="Arial" w:hAnsi="Arial" w:cs="Arial"/>
          <w:color w:val="auto"/>
          <w:sz w:val="20"/>
          <w:szCs w:val="20"/>
        </w:rPr>
        <w:t xml:space="preserve"> (</w:t>
      </w:r>
      <w:r w:rsidR="00AC4B73" w:rsidRPr="0056612F">
        <w:rPr>
          <w:rFonts w:ascii="Arial" w:hAnsi="Arial" w:cs="Arial"/>
          <w:color w:val="auto"/>
          <w:sz w:val="20"/>
          <w:szCs w:val="20"/>
        </w:rPr>
        <w:t>RF</w:t>
      </w:r>
      <w:r w:rsidRPr="0056612F">
        <w:rPr>
          <w:rFonts w:ascii="Arial" w:hAnsi="Arial" w:cs="Arial"/>
          <w:color w:val="auto"/>
          <w:sz w:val="20"/>
          <w:szCs w:val="20"/>
        </w:rPr>
        <w:t>)”</w:t>
      </w:r>
      <w:bookmarkEnd w:id="31"/>
    </w:p>
    <w:p w14:paraId="0ACBB423" w14:textId="52F4B9F0"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C501 and C502, institutions are required to report the name and the LEI code, respectively, of the entity. </w:t>
      </w:r>
    </w:p>
    <w:p w14:paraId="43CA6780" w14:textId="06C767AB"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C503, institutions need to report the level of consolidation using the drop-down menu. If the entity is subject to prudential requirements at different levels of consolidation, the information for all the relevant levels should be reported in different rows. </w:t>
      </w:r>
    </w:p>
    <w:p w14:paraId="2AE0AC8A" w14:textId="1A680884"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C504, institutions should </w:t>
      </w:r>
      <w:r w:rsidR="006D2D76" w:rsidRPr="0056612F">
        <w:rPr>
          <w:rFonts w:ascii="Arial" w:hAnsi="Arial" w:cs="Arial"/>
          <w:sz w:val="20"/>
          <w:szCs w:val="20"/>
        </w:rPr>
        <w:t xml:space="preserve">describe </w:t>
      </w:r>
      <w:r w:rsidRPr="0056612F">
        <w:rPr>
          <w:rFonts w:ascii="Arial" w:hAnsi="Arial" w:cs="Arial"/>
          <w:sz w:val="20"/>
          <w:szCs w:val="20"/>
        </w:rPr>
        <w:t>the prudential treatment under Pillar</w:t>
      </w:r>
      <w:r w:rsidR="00C2118A" w:rsidRPr="0056612F">
        <w:rPr>
          <w:rFonts w:ascii="Arial" w:hAnsi="Arial" w:cs="Arial"/>
          <w:sz w:val="20"/>
          <w:szCs w:val="20"/>
        </w:rPr>
        <w:t xml:space="preserve"> 1</w:t>
      </w:r>
      <w:r w:rsidRPr="0056612F">
        <w:rPr>
          <w:rFonts w:ascii="Arial" w:hAnsi="Arial" w:cs="Arial"/>
          <w:sz w:val="20"/>
          <w:szCs w:val="20"/>
        </w:rPr>
        <w:t xml:space="preserve">. In particular, institutions should specify whether there are any </w:t>
      </w:r>
      <w:proofErr w:type="gramStart"/>
      <w:r w:rsidRPr="0056612F">
        <w:rPr>
          <w:rFonts w:ascii="Arial" w:hAnsi="Arial" w:cs="Arial"/>
          <w:sz w:val="20"/>
          <w:szCs w:val="20"/>
        </w:rPr>
        <w:t>CET1</w:t>
      </w:r>
      <w:proofErr w:type="gramEnd"/>
      <w:r w:rsidRPr="0056612F">
        <w:rPr>
          <w:rFonts w:ascii="Arial" w:hAnsi="Arial" w:cs="Arial"/>
          <w:sz w:val="20"/>
          <w:szCs w:val="20"/>
        </w:rPr>
        <w:t xml:space="preserve"> or own funds requirement attributed by the institution to the collateral – if the collateral is recognised as an asset – and to the commitment within Pillar 1 </w:t>
      </w:r>
      <w:r w:rsidR="006D2D76" w:rsidRPr="0056612F">
        <w:rPr>
          <w:rFonts w:ascii="Arial" w:hAnsi="Arial" w:cs="Arial"/>
          <w:sz w:val="20"/>
          <w:szCs w:val="20"/>
        </w:rPr>
        <w:t xml:space="preserve">in respect of IPCs </w:t>
      </w:r>
      <w:r w:rsidRPr="0056612F">
        <w:rPr>
          <w:rFonts w:ascii="Arial" w:hAnsi="Arial" w:cs="Arial"/>
          <w:sz w:val="20"/>
          <w:szCs w:val="20"/>
        </w:rPr>
        <w:t xml:space="preserve">(e.g., if the prudential treatment of the collateral or the IPC in the institution involves the calculation of RWAs which need to be covered by capital). </w:t>
      </w:r>
    </w:p>
    <w:p w14:paraId="1C339B76" w14:textId="241B6E38"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Under C505, institutions should refer to the institution’s internal documentation with reference to the prudential treatment under Pillar 1, if any, approved by a person or relevant body that has been duly authorised by the institution’s management body to approve on its behalf. In case there is such documentation, the relevant extract or document should also be submitted to the JST.</w:t>
      </w:r>
    </w:p>
    <w:p w14:paraId="0DCEED36" w14:textId="6D6B1DC3" w:rsidR="006D2870" w:rsidRPr="0056612F" w:rsidRDefault="006D2870"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C506, institutions should quantify the impact of the prudential treatment under Pillar 1 on </w:t>
      </w:r>
      <w:r w:rsidR="00AC4B73" w:rsidRPr="0056612F">
        <w:rPr>
          <w:rFonts w:ascii="Arial" w:hAnsi="Arial" w:cs="Arial"/>
          <w:sz w:val="20"/>
          <w:szCs w:val="20"/>
        </w:rPr>
        <w:t xml:space="preserve">the </w:t>
      </w:r>
      <w:r w:rsidRPr="0056612F">
        <w:rPr>
          <w:rFonts w:ascii="Arial" w:hAnsi="Arial" w:cs="Arial"/>
          <w:sz w:val="20"/>
          <w:szCs w:val="20"/>
        </w:rPr>
        <w:t>CET1 capital</w:t>
      </w:r>
      <w:r w:rsidR="0033054A" w:rsidRPr="0056612F">
        <w:rPr>
          <w:rFonts w:ascii="Arial" w:hAnsi="Arial" w:cs="Arial"/>
          <w:sz w:val="20"/>
          <w:szCs w:val="20"/>
        </w:rPr>
        <w:t xml:space="preserve">. </w:t>
      </w:r>
    </w:p>
    <w:p w14:paraId="1CD201ED" w14:textId="378DB4CC" w:rsidR="0033054A" w:rsidRPr="0056612F" w:rsidRDefault="0033054A" w:rsidP="006D2870">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C507, institutions should quantify the impact of the prudential treatment under Pillar 1 on the own </w:t>
      </w:r>
      <w:proofErr w:type="gramStart"/>
      <w:r w:rsidRPr="0056612F">
        <w:rPr>
          <w:rFonts w:ascii="Arial" w:hAnsi="Arial" w:cs="Arial"/>
          <w:sz w:val="20"/>
          <w:szCs w:val="20"/>
        </w:rPr>
        <w:t>funds</w:t>
      </w:r>
      <w:proofErr w:type="gramEnd"/>
      <w:r w:rsidRPr="0056612F">
        <w:rPr>
          <w:rFonts w:ascii="Arial" w:hAnsi="Arial" w:cs="Arial"/>
          <w:sz w:val="20"/>
          <w:szCs w:val="20"/>
        </w:rPr>
        <w:t xml:space="preserve"> requirement other than CET1 capital.</w:t>
      </w:r>
    </w:p>
    <w:p w14:paraId="334417DC" w14:textId="4EEAE2A3" w:rsidR="00AC4B73" w:rsidRPr="0056612F" w:rsidRDefault="00AC4B73" w:rsidP="00AC4B73">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C508, institution should explain the prudential treatment applied to the IPC and to the collateral under </w:t>
      </w:r>
      <w:r w:rsidR="0032272B" w:rsidRPr="0056612F">
        <w:rPr>
          <w:rFonts w:ascii="Arial" w:hAnsi="Arial" w:cs="Arial"/>
          <w:sz w:val="20"/>
          <w:szCs w:val="20"/>
        </w:rPr>
        <w:t>their ICAAP or risk management process resulting in a stricter treatment than Pillar 1 (</w:t>
      </w:r>
      <w:proofErr w:type="gramStart"/>
      <w:r w:rsidR="0032272B" w:rsidRPr="0056612F">
        <w:rPr>
          <w:rFonts w:ascii="Arial" w:hAnsi="Arial" w:cs="Arial"/>
          <w:sz w:val="20"/>
          <w:szCs w:val="20"/>
        </w:rPr>
        <w:t>e.g.</w:t>
      </w:r>
      <w:proofErr w:type="gramEnd"/>
      <w:r w:rsidR="0032272B" w:rsidRPr="0056612F">
        <w:rPr>
          <w:rFonts w:ascii="Arial" w:hAnsi="Arial" w:cs="Arial"/>
          <w:sz w:val="20"/>
          <w:szCs w:val="20"/>
        </w:rPr>
        <w:t xml:space="preserve"> if the prudential treatment of the collateral or the IPC in your institution leads to the calculation of additional RWAs or deduction compared to Pillar 1) and whether such treatment is reflected in COREP in application of Article 3 CRR</w:t>
      </w:r>
      <w:r w:rsidRPr="0056612F">
        <w:rPr>
          <w:rFonts w:ascii="Arial" w:hAnsi="Arial" w:cs="Arial"/>
          <w:sz w:val="20"/>
          <w:szCs w:val="20"/>
        </w:rPr>
        <w:t xml:space="preserve">. </w:t>
      </w:r>
    </w:p>
    <w:p w14:paraId="32E82B0A" w14:textId="24056C5F" w:rsidR="00AC4B73" w:rsidRPr="0056612F" w:rsidRDefault="00AC4B73" w:rsidP="00AC4B73">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C509, institutions should refer to the institution’s internal documentation with reference to the prudential treatment applied to the IPC and to the collateral under </w:t>
      </w:r>
      <w:r w:rsidR="0032272B" w:rsidRPr="0056612F">
        <w:rPr>
          <w:rFonts w:ascii="Arial" w:hAnsi="Arial" w:cs="Arial"/>
          <w:sz w:val="20"/>
          <w:szCs w:val="20"/>
        </w:rPr>
        <w:t>their ICAAP or risk management process</w:t>
      </w:r>
      <w:r w:rsidRPr="0056612F">
        <w:rPr>
          <w:rFonts w:ascii="Arial" w:hAnsi="Arial" w:cs="Arial"/>
          <w:sz w:val="20"/>
          <w:szCs w:val="20"/>
        </w:rPr>
        <w:t>, if any, approved by a person or relevant body that has been duly authorised by the institution’s management body to approve on its behalf. In case there is such documentation, the relevant extract or document should also be submitted to the JST.</w:t>
      </w:r>
    </w:p>
    <w:p w14:paraId="0A547C6A" w14:textId="7F1B343A" w:rsidR="00AC4B73" w:rsidRPr="0056612F" w:rsidRDefault="00AC4B73" w:rsidP="00AC4B73">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C510, institutions should quantify the impact of the prudential treatment on the CET1 capital. </w:t>
      </w:r>
    </w:p>
    <w:p w14:paraId="1B0D8571" w14:textId="51AF8C5B" w:rsidR="00AC4B73" w:rsidRPr="0056612F" w:rsidRDefault="00AC4B73" w:rsidP="00AC4B73">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C511, institutions should quantify the impact of the prudential treatment on the own </w:t>
      </w:r>
      <w:proofErr w:type="gramStart"/>
      <w:r w:rsidRPr="0056612F">
        <w:rPr>
          <w:rFonts w:ascii="Arial" w:hAnsi="Arial" w:cs="Arial"/>
          <w:sz w:val="20"/>
          <w:szCs w:val="20"/>
        </w:rPr>
        <w:t>funds</w:t>
      </w:r>
      <w:proofErr w:type="gramEnd"/>
      <w:r w:rsidRPr="0056612F">
        <w:rPr>
          <w:rFonts w:ascii="Arial" w:hAnsi="Arial" w:cs="Arial"/>
          <w:sz w:val="20"/>
          <w:szCs w:val="20"/>
        </w:rPr>
        <w:t xml:space="preserve"> requirement other than CET1 capital. </w:t>
      </w:r>
    </w:p>
    <w:p w14:paraId="5BE86DFD" w14:textId="4DC3DB74" w:rsidR="00AC4B73" w:rsidRPr="0056612F" w:rsidRDefault="00AC4B73" w:rsidP="00AC4B73">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C512, institutions should describe how the probability of not retrieving the collateral posted in respect of the resolution fund is reflected in the prudential treatment. </w:t>
      </w:r>
    </w:p>
    <w:p w14:paraId="6DC6E1D5" w14:textId="5BEEC0FE" w:rsidR="00AC4B73" w:rsidRPr="0056612F" w:rsidRDefault="00AC4B73" w:rsidP="00AC4B73">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lastRenderedPageBreak/>
        <w:t>Under C513, institutions should refer to the institution’s internal documentation with reference to how the probability of not retrieving the collateral is reflected in the prudential treatment, if any, approved by a person or relevant body that has been duly authorised by the institution’s management body to approve on its behalf. In case there is such documentation, the relevant extract or document should also be submitted to the JST.</w:t>
      </w:r>
    </w:p>
    <w:p w14:paraId="15740754" w14:textId="77777777" w:rsidR="00AC4B73" w:rsidRPr="0056612F" w:rsidRDefault="00AC4B73" w:rsidP="00AC4B73">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C514, institutions should quantify the effect of the scenario of not retrieving the collateral posted in respect of IPCs to the resolution fund on the prudential figures. </w:t>
      </w:r>
    </w:p>
    <w:p w14:paraId="5C2B9E56" w14:textId="77777777" w:rsidR="00AC4B73" w:rsidRPr="0056612F" w:rsidRDefault="00AC4B73" w:rsidP="00AC4B73">
      <w:pPr>
        <w:pStyle w:val="ListParagraph"/>
        <w:numPr>
          <w:ilvl w:val="0"/>
          <w:numId w:val="2"/>
        </w:numPr>
        <w:spacing w:before="120" w:line="360" w:lineRule="auto"/>
        <w:ind w:left="426"/>
        <w:jc w:val="both"/>
        <w:rPr>
          <w:rFonts w:ascii="Arial" w:hAnsi="Arial" w:cs="Arial"/>
          <w:b/>
          <w:bCs/>
          <w:color w:val="1F497D" w:themeColor="text2"/>
          <w:sz w:val="20"/>
          <w:szCs w:val="20"/>
        </w:rPr>
      </w:pPr>
      <w:r w:rsidRPr="0056612F">
        <w:rPr>
          <w:rFonts w:ascii="Arial" w:hAnsi="Arial" w:cs="Arial"/>
          <w:sz w:val="20"/>
          <w:szCs w:val="20"/>
        </w:rPr>
        <w:t xml:space="preserve">Under C515, institutions should indicate if there are any other measures that may impact the prudential figures (e.g., guarantees from third parties). </w:t>
      </w:r>
    </w:p>
    <w:p w14:paraId="716EACBB" w14:textId="52CD7DE4" w:rsidR="00AC4B73" w:rsidRPr="0056612F" w:rsidRDefault="00AC4B73" w:rsidP="00AC4B73">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 xml:space="preserve">Under C516, institutions should refer to the institution’s internal documentation with reference to </w:t>
      </w:r>
      <w:r w:rsidR="000C3A59" w:rsidRPr="0056612F">
        <w:rPr>
          <w:rFonts w:ascii="Arial" w:hAnsi="Arial" w:cs="Arial"/>
          <w:sz w:val="20"/>
          <w:szCs w:val="20"/>
        </w:rPr>
        <w:t>measures that may have an impact on the prudential figures</w:t>
      </w:r>
      <w:r w:rsidRPr="0056612F">
        <w:rPr>
          <w:rFonts w:ascii="Arial" w:hAnsi="Arial" w:cs="Arial"/>
          <w:sz w:val="20"/>
          <w:szCs w:val="20"/>
        </w:rPr>
        <w:t>, if any, approved by a person or relevant body that has been duly authorised by the institution’s management body to approve on its behalf. In case there is such documentation, the relevant extract or document should also be submitted to the JST.</w:t>
      </w:r>
    </w:p>
    <w:p w14:paraId="30638652" w14:textId="172DB311" w:rsidR="000C3A59" w:rsidRPr="0056612F" w:rsidRDefault="000C3A59" w:rsidP="00AC4B73">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 xml:space="preserve">Under C517, institutions should quantify the effect of the prudential measures mentioned under C515 on the prudential requirements. </w:t>
      </w:r>
    </w:p>
    <w:p w14:paraId="4F3B52A4" w14:textId="7FF647AB" w:rsidR="000C3A59" w:rsidRPr="0056612F" w:rsidRDefault="000C3A59" w:rsidP="00AC4B73">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 xml:space="preserve">Under C518, institutions should explain whether there is any tax effect coming from the IPC or the collateral of prudential relevance. </w:t>
      </w:r>
    </w:p>
    <w:p w14:paraId="2628573F" w14:textId="439C1E53" w:rsidR="000C3A59" w:rsidRPr="0056612F" w:rsidRDefault="000C3A59" w:rsidP="00AC4B73">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Under C519, institutions should refer to the institution’s internal documentation with reference to the tax effect coming from IPC or the collateral of prudential relevance, if any, approved by a person or relevant body that has been duly authorised by the institution’s management body to approve on its behalf. In case there is such documentation, the relevant extract or document should also be submitted to the JST.</w:t>
      </w:r>
    </w:p>
    <w:p w14:paraId="5744250D" w14:textId="56A85F7E" w:rsidR="000C3A59" w:rsidRPr="0056612F" w:rsidRDefault="000C3A59" w:rsidP="00AC4B73">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Under C520, institutions should quantify the effect of such tax effects on CET1</w:t>
      </w:r>
      <w:r w:rsidR="006D2D76" w:rsidRPr="0056612F">
        <w:rPr>
          <w:rFonts w:ascii="Arial" w:hAnsi="Arial" w:cs="Arial"/>
          <w:sz w:val="20"/>
          <w:szCs w:val="20"/>
        </w:rPr>
        <w:t xml:space="preserve"> requirements</w:t>
      </w:r>
      <w:r w:rsidRPr="0056612F">
        <w:rPr>
          <w:rFonts w:ascii="Arial" w:hAnsi="Arial" w:cs="Arial"/>
          <w:sz w:val="20"/>
          <w:szCs w:val="20"/>
        </w:rPr>
        <w:t xml:space="preserve">. </w:t>
      </w:r>
    </w:p>
    <w:p w14:paraId="5CD75920" w14:textId="146435D9" w:rsidR="000C3A59" w:rsidRPr="0056612F" w:rsidRDefault="000C3A59" w:rsidP="00AC4B73">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Under C521, institutions should quantify the effect of such tax effects on own funds requirements other than CET1</w:t>
      </w:r>
      <w:r w:rsidR="006D2D76" w:rsidRPr="0056612F">
        <w:rPr>
          <w:rFonts w:ascii="Arial" w:hAnsi="Arial" w:cs="Arial"/>
          <w:sz w:val="20"/>
          <w:szCs w:val="20"/>
        </w:rPr>
        <w:t xml:space="preserve"> requirements</w:t>
      </w:r>
      <w:r w:rsidRPr="0056612F">
        <w:rPr>
          <w:rFonts w:ascii="Arial" w:hAnsi="Arial" w:cs="Arial"/>
          <w:sz w:val="20"/>
          <w:szCs w:val="20"/>
        </w:rPr>
        <w:t xml:space="preserve">. </w:t>
      </w:r>
    </w:p>
    <w:p w14:paraId="1CA3E261" w14:textId="12D21756" w:rsidR="000C3A59" w:rsidRPr="0056612F" w:rsidRDefault="000C3A59" w:rsidP="00AC4B73">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 xml:space="preserve">Under C522, institutions should specify the treatment of the collateral for the purposes of Liquidity Coverage Ratio (“LCR”). Reference should also be made to the related reasons and assumptions. </w:t>
      </w:r>
    </w:p>
    <w:p w14:paraId="2DBBB1D3" w14:textId="20D5F9E3" w:rsidR="000C3A59" w:rsidRPr="0056612F" w:rsidRDefault="000C3A59" w:rsidP="00AC4B73">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Under C523, institutions should refer to the institution’s internal documentation with reference to the treatment of the collateral for the purposes of LCR, if any, approved by a person or relevant body that has been duly authorised by the institution’s management body to approve on its behalf. In case there is such documentation, the relevant extract or document should also be submitted to the JST.</w:t>
      </w:r>
    </w:p>
    <w:p w14:paraId="514C64E0" w14:textId="6B149154" w:rsidR="000C3A59" w:rsidRPr="0056612F" w:rsidRDefault="000C3A59" w:rsidP="000C3A59">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 xml:space="preserve">Under C524, institutions should describe the treatment of the collateral for the purposes of the Net Stable Funding Ratio (“NSFR”). Reference should also be made to the related reasons and assumptions. </w:t>
      </w:r>
    </w:p>
    <w:p w14:paraId="1BD64425" w14:textId="63728DD6" w:rsidR="00E73097" w:rsidRPr="0056612F" w:rsidRDefault="000C3A59" w:rsidP="000C3A59">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 xml:space="preserve">Under C525, institutions should refer to the institution’s internal documentation with reference to the treatment of the collateral for the purposes of NSFR, if any, approved by a person or relevant body that has been duly authorised by the institution’s management body to approve on its behalf. </w:t>
      </w:r>
      <w:r w:rsidRPr="0056612F">
        <w:rPr>
          <w:rFonts w:ascii="Arial" w:hAnsi="Arial" w:cs="Arial"/>
          <w:sz w:val="20"/>
          <w:szCs w:val="20"/>
        </w:rPr>
        <w:lastRenderedPageBreak/>
        <w:t>In case there is such documentation, the relevant extract or document should also be submitted to the JST.</w:t>
      </w:r>
    </w:p>
    <w:p w14:paraId="27E85495" w14:textId="3CB839F0" w:rsidR="000C3A59" w:rsidRPr="0056612F" w:rsidRDefault="000C3A59">
      <w:pPr>
        <w:pStyle w:val="ListParagraph"/>
        <w:numPr>
          <w:ilvl w:val="0"/>
          <w:numId w:val="2"/>
        </w:numPr>
        <w:spacing w:before="120" w:line="360" w:lineRule="auto"/>
        <w:ind w:left="426" w:hanging="426"/>
        <w:jc w:val="both"/>
        <w:rPr>
          <w:rFonts w:ascii="Arial" w:hAnsi="Arial" w:cs="Arial"/>
          <w:sz w:val="20"/>
          <w:szCs w:val="20"/>
        </w:rPr>
      </w:pPr>
      <w:r w:rsidRPr="0056612F">
        <w:rPr>
          <w:rFonts w:ascii="Arial" w:hAnsi="Arial" w:cs="Arial"/>
          <w:sz w:val="20"/>
          <w:szCs w:val="20"/>
        </w:rPr>
        <w:t xml:space="preserve">Under C526, institutions should describe if there are any other measures employed by the institution </w:t>
      </w:r>
      <w:proofErr w:type="gramStart"/>
      <w:r w:rsidRPr="0056612F">
        <w:rPr>
          <w:rFonts w:ascii="Arial" w:hAnsi="Arial" w:cs="Arial"/>
          <w:sz w:val="20"/>
          <w:szCs w:val="20"/>
        </w:rPr>
        <w:t>in order to</w:t>
      </w:r>
      <w:proofErr w:type="gramEnd"/>
      <w:r w:rsidRPr="0056612F">
        <w:rPr>
          <w:rFonts w:ascii="Arial" w:hAnsi="Arial" w:cs="Arial"/>
          <w:sz w:val="20"/>
          <w:szCs w:val="20"/>
        </w:rPr>
        <w:t xml:space="preserve"> mitigate the risk of overstated CET1</w:t>
      </w:r>
      <w:r w:rsidR="00E73097" w:rsidRPr="0056612F">
        <w:rPr>
          <w:rFonts w:ascii="Arial" w:hAnsi="Arial" w:cs="Arial"/>
          <w:sz w:val="20"/>
          <w:szCs w:val="20"/>
        </w:rPr>
        <w:t xml:space="preserve"> as explained above under general instructions. </w:t>
      </w:r>
    </w:p>
    <w:p w14:paraId="4088C2BB" w14:textId="208D2F46" w:rsidR="000C3A59" w:rsidRPr="0056612F" w:rsidRDefault="000C3A59" w:rsidP="000C3A59">
      <w:pPr>
        <w:pStyle w:val="ListParagraph"/>
        <w:numPr>
          <w:ilvl w:val="0"/>
          <w:numId w:val="2"/>
        </w:numPr>
        <w:spacing w:before="120" w:line="360" w:lineRule="auto"/>
        <w:ind w:left="426" w:hanging="426"/>
        <w:jc w:val="both"/>
        <w:rPr>
          <w:rFonts w:ascii="Arial" w:hAnsi="Arial" w:cs="Arial"/>
          <w:b/>
          <w:bCs/>
          <w:color w:val="1F497D" w:themeColor="text2"/>
          <w:sz w:val="20"/>
          <w:szCs w:val="20"/>
        </w:rPr>
      </w:pPr>
      <w:r w:rsidRPr="0056612F">
        <w:rPr>
          <w:rFonts w:ascii="Arial" w:hAnsi="Arial" w:cs="Arial"/>
          <w:sz w:val="20"/>
          <w:szCs w:val="20"/>
        </w:rPr>
        <w:t>Under C527, institutions should refer to the institution’s internal documentation with reference to the</w:t>
      </w:r>
      <w:r w:rsidR="00DF520F" w:rsidRPr="0056612F">
        <w:rPr>
          <w:rFonts w:ascii="Arial" w:hAnsi="Arial" w:cs="Arial"/>
          <w:sz w:val="20"/>
          <w:szCs w:val="20"/>
        </w:rPr>
        <w:t xml:space="preserve"> additional measures employed by the institution to mitigate the risk of overstated CET1</w:t>
      </w:r>
      <w:r w:rsidRPr="0056612F">
        <w:rPr>
          <w:rFonts w:ascii="Arial" w:hAnsi="Arial" w:cs="Arial"/>
          <w:sz w:val="20"/>
          <w:szCs w:val="20"/>
        </w:rPr>
        <w:t>, if any, approved by a person or relevant body that has been duly authorised by the institution’s management body to approve on its behalf. In case there is such documentation, the relevant extract or document should also be submitted to the JST.</w:t>
      </w:r>
    </w:p>
    <w:p w14:paraId="1465D41E" w14:textId="5568A1D1" w:rsidR="00DF520F" w:rsidRPr="0056612F" w:rsidRDefault="00DF520F" w:rsidP="00DF520F">
      <w:pPr>
        <w:pStyle w:val="Heading2"/>
        <w:spacing w:before="120" w:line="360" w:lineRule="auto"/>
        <w:ind w:left="720"/>
        <w:rPr>
          <w:rFonts w:ascii="Arial" w:hAnsi="Arial" w:cs="Arial"/>
          <w:color w:val="auto"/>
          <w:sz w:val="20"/>
          <w:szCs w:val="20"/>
        </w:rPr>
      </w:pPr>
      <w:bookmarkStart w:id="33" w:name="_Toc117695184"/>
      <w:bookmarkEnd w:id="32"/>
      <w:r w:rsidRPr="0056612F">
        <w:rPr>
          <w:rFonts w:ascii="Arial" w:hAnsi="Arial" w:cs="Arial"/>
          <w:color w:val="auto"/>
          <w:sz w:val="20"/>
          <w:szCs w:val="20"/>
        </w:rPr>
        <w:t>Tab 6 “Capital and liquidity treatment (DGS)”</w:t>
      </w:r>
      <w:bookmarkEnd w:id="33"/>
    </w:p>
    <w:p w14:paraId="21874955" w14:textId="6FE6C314"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C601 and C602, institutions are required to report the name and the LEI code, respectively, of the entity. </w:t>
      </w:r>
    </w:p>
    <w:p w14:paraId="5E1511D3" w14:textId="071F6912"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C603, institutions need to report the level of consolidation using the drop-down menu. If the entity is subject to prudential requirements at different levels of consolidation, the information for all the relevant levels should be reported in different rows. </w:t>
      </w:r>
    </w:p>
    <w:p w14:paraId="6959C496" w14:textId="54D299B4"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C604, institutions should </w:t>
      </w:r>
      <w:r w:rsidR="00C2118A" w:rsidRPr="0056612F">
        <w:rPr>
          <w:rFonts w:ascii="Arial" w:hAnsi="Arial" w:cs="Arial"/>
          <w:sz w:val="20"/>
          <w:szCs w:val="20"/>
        </w:rPr>
        <w:t xml:space="preserve">describe </w:t>
      </w:r>
      <w:r w:rsidRPr="0056612F">
        <w:rPr>
          <w:rFonts w:ascii="Arial" w:hAnsi="Arial" w:cs="Arial"/>
          <w:sz w:val="20"/>
          <w:szCs w:val="20"/>
        </w:rPr>
        <w:t xml:space="preserve">the prudential treatment under Pillar 1. In particular, institutions should specify whether there are any </w:t>
      </w:r>
      <w:proofErr w:type="gramStart"/>
      <w:r w:rsidRPr="0056612F">
        <w:rPr>
          <w:rFonts w:ascii="Arial" w:hAnsi="Arial" w:cs="Arial"/>
          <w:sz w:val="20"/>
          <w:szCs w:val="20"/>
        </w:rPr>
        <w:t>CET1</w:t>
      </w:r>
      <w:proofErr w:type="gramEnd"/>
      <w:r w:rsidRPr="0056612F">
        <w:rPr>
          <w:rFonts w:ascii="Arial" w:hAnsi="Arial" w:cs="Arial"/>
          <w:sz w:val="20"/>
          <w:szCs w:val="20"/>
        </w:rPr>
        <w:t xml:space="preserve"> or own funds requirement attributed by the institution to the collateral – if the collateral is recognised as an asset – and to the commitment within Pillar 1</w:t>
      </w:r>
      <w:r w:rsidR="00C2118A" w:rsidRPr="0056612F">
        <w:rPr>
          <w:rFonts w:ascii="Arial" w:hAnsi="Arial" w:cs="Arial"/>
          <w:sz w:val="20"/>
          <w:szCs w:val="20"/>
        </w:rPr>
        <w:t xml:space="preserve"> in respect of IPCs</w:t>
      </w:r>
      <w:r w:rsidRPr="0056612F">
        <w:rPr>
          <w:rFonts w:ascii="Arial" w:hAnsi="Arial" w:cs="Arial"/>
          <w:sz w:val="20"/>
          <w:szCs w:val="20"/>
        </w:rPr>
        <w:t xml:space="preserve"> (e.g., if the prudential treatment of the collateral or the IPC in the institution involves the calculation of RWAs which need to be covered by capital). </w:t>
      </w:r>
    </w:p>
    <w:p w14:paraId="33D78EC7" w14:textId="2E5F6C94"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C605, institutions should refer to the institution’s internal documentation with reference to the prudential treatment under Pillar </w:t>
      </w:r>
      <w:r w:rsidR="00C2118A" w:rsidRPr="0056612F">
        <w:rPr>
          <w:rFonts w:ascii="Arial" w:hAnsi="Arial" w:cs="Arial"/>
          <w:sz w:val="20"/>
          <w:szCs w:val="20"/>
        </w:rPr>
        <w:t>1</w:t>
      </w:r>
      <w:r w:rsidRPr="0056612F">
        <w:rPr>
          <w:rFonts w:ascii="Arial" w:hAnsi="Arial" w:cs="Arial"/>
          <w:sz w:val="20"/>
          <w:szCs w:val="20"/>
        </w:rPr>
        <w:t>, if any, approved by a person or relevant body that has been duly authorised by the institution’s management body to approve on its behalf. In case there is such documentation, the relevant extract or document should also be submitted to the JST.</w:t>
      </w:r>
    </w:p>
    <w:p w14:paraId="6F8D2B6D" w14:textId="2909D40C"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C606, institutions should quantify the impact of the prudential treatment under Pillar 1 on the CET1 capital. </w:t>
      </w:r>
    </w:p>
    <w:p w14:paraId="15C7EB36" w14:textId="41C4DE05"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C607, institutions should quantify the impact of the prudential treatment under Pillar 1 on the own </w:t>
      </w:r>
      <w:proofErr w:type="gramStart"/>
      <w:r w:rsidRPr="0056612F">
        <w:rPr>
          <w:rFonts w:ascii="Arial" w:hAnsi="Arial" w:cs="Arial"/>
          <w:sz w:val="20"/>
          <w:szCs w:val="20"/>
        </w:rPr>
        <w:t>funds</w:t>
      </w:r>
      <w:proofErr w:type="gramEnd"/>
      <w:r w:rsidRPr="0056612F">
        <w:rPr>
          <w:rFonts w:ascii="Arial" w:hAnsi="Arial" w:cs="Arial"/>
          <w:sz w:val="20"/>
          <w:szCs w:val="20"/>
        </w:rPr>
        <w:t xml:space="preserve"> requirement other than CET1 capital.</w:t>
      </w:r>
    </w:p>
    <w:p w14:paraId="07249427" w14:textId="71BC5A1B" w:rsidR="00611982" w:rsidRPr="0056612F" w:rsidRDefault="00611982" w:rsidP="00D80D9C">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C608, institution should explain the prudential treatment applied to the IPC and to the collateral under their ICAAP or risk management process resulting in a stricter treatment than Pillar 1 (</w:t>
      </w:r>
      <w:proofErr w:type="gramStart"/>
      <w:r w:rsidRPr="0056612F">
        <w:rPr>
          <w:rFonts w:ascii="Arial" w:hAnsi="Arial" w:cs="Arial"/>
          <w:sz w:val="20"/>
          <w:szCs w:val="20"/>
        </w:rPr>
        <w:t>e.g.</w:t>
      </w:r>
      <w:proofErr w:type="gramEnd"/>
      <w:r w:rsidRPr="0056612F">
        <w:rPr>
          <w:rFonts w:ascii="Arial" w:hAnsi="Arial" w:cs="Arial"/>
          <w:sz w:val="20"/>
          <w:szCs w:val="20"/>
        </w:rPr>
        <w:t xml:space="preserve"> if the prudential treatment of the collateral or the IPC in your institution leads to the calculation of additional RWAs or deduction compared to Pillar 1) and whether such treatment is reflected in COREP in application of Article 3 CRR. </w:t>
      </w:r>
    </w:p>
    <w:p w14:paraId="21544D19" w14:textId="764A8E37" w:rsidR="00611982" w:rsidRPr="0056612F" w:rsidRDefault="00611982" w:rsidP="00D80D9C">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C609, institutions should refer to the institution’s internal documentation with reference to the prudential treatment applied to the IPC and to the collateral under their ICAAP or risk management process, if any, approved by a person or relevant body that has been duly authorised by the institution’s management body to approve on its behalf. In case there is such documentation, the relevant extract or document should also be submitted to the JST.</w:t>
      </w:r>
    </w:p>
    <w:p w14:paraId="3A1E8303" w14:textId="7484963B" w:rsidR="00611982" w:rsidRPr="0056612F" w:rsidRDefault="00611982" w:rsidP="00D80D9C">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lastRenderedPageBreak/>
        <w:t xml:space="preserve">Under C610, institutions should quantify the impact of the prudential treatment on the CET1 capital. </w:t>
      </w:r>
    </w:p>
    <w:p w14:paraId="3F94D624" w14:textId="79463AFD" w:rsidR="00611982" w:rsidRPr="0056612F" w:rsidRDefault="00611982" w:rsidP="00D80D9C">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C611, institutions should quantify the impact of the prudential treatment on the own </w:t>
      </w:r>
      <w:proofErr w:type="gramStart"/>
      <w:r w:rsidRPr="0056612F">
        <w:rPr>
          <w:rFonts w:ascii="Arial" w:hAnsi="Arial" w:cs="Arial"/>
          <w:sz w:val="20"/>
          <w:szCs w:val="20"/>
        </w:rPr>
        <w:t>funds</w:t>
      </w:r>
      <w:proofErr w:type="gramEnd"/>
      <w:r w:rsidRPr="0056612F">
        <w:rPr>
          <w:rFonts w:ascii="Arial" w:hAnsi="Arial" w:cs="Arial"/>
          <w:sz w:val="20"/>
          <w:szCs w:val="20"/>
        </w:rPr>
        <w:t xml:space="preserve"> requirement other than CET1 capital. </w:t>
      </w:r>
    </w:p>
    <w:p w14:paraId="23158623" w14:textId="635F3664"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611982" w:rsidRPr="0056612F">
        <w:rPr>
          <w:rFonts w:ascii="Arial" w:hAnsi="Arial" w:cs="Arial"/>
          <w:sz w:val="20"/>
          <w:szCs w:val="20"/>
        </w:rPr>
        <w:t>6</w:t>
      </w:r>
      <w:r w:rsidRPr="0056612F">
        <w:rPr>
          <w:rFonts w:ascii="Arial" w:hAnsi="Arial" w:cs="Arial"/>
          <w:sz w:val="20"/>
          <w:szCs w:val="20"/>
        </w:rPr>
        <w:t xml:space="preserve">12, institutions should describe how the probability of not retrieving the collateral posted in respect of the deposit guarantee scheme is reflected in the prudential treatment. </w:t>
      </w:r>
    </w:p>
    <w:p w14:paraId="0BC7AF68" w14:textId="2E95E1AA"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C613, institutions should refer to the institution’s internal documentation with reference to how the probability of not retrieving the collateral is reflected in the prudential treatment, if any, approved by a person or relevant body that has been duly authorised by the institution’s management body to approve on its behalf. In case there is such documentation, the relevant extract or document should also be submitted to the JST.</w:t>
      </w:r>
    </w:p>
    <w:p w14:paraId="06A0CF39" w14:textId="42FF1DF2"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C614, institutions should quantify the effect of the scenario of not retrieving the collateral posted in respect of IPCs to the deposit guarantee scheme on the prudential figures. </w:t>
      </w:r>
    </w:p>
    <w:p w14:paraId="623A7826" w14:textId="5AE97896"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C615, institutions should indicate if there are any other measures that may impact the prudential figures (e.g., guarantees from third parties). </w:t>
      </w:r>
    </w:p>
    <w:p w14:paraId="78203DB7" w14:textId="7FE3414B"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C616, institutions should refer to the institution’s internal documentation with reference to measures that may have an impact on the prudential figures, if any, approved by a person or relevant body that has been duly authorised by the institution’s management body to approve on its behalf. In case there is such documentation, the relevant extract or document should also be submitted to the JST.</w:t>
      </w:r>
    </w:p>
    <w:p w14:paraId="07EC959D" w14:textId="777F8AD9"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C617, institutions should quantify the effect of the prudential measures mentioned under C615 on the prudential requirements. </w:t>
      </w:r>
    </w:p>
    <w:p w14:paraId="1A344C87" w14:textId="2CF945DA"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C618, institutions should explain whether there is any tax effect coming from the IPC or the collateral of prudential relevance. </w:t>
      </w:r>
    </w:p>
    <w:p w14:paraId="63689C20" w14:textId="0A68DDB6"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C619, institutions should refer to the institution’s internal documentation with reference to the tax effect coming from IPC or the collateral of prudential relevance, if any, approved by a person or relevant body that has been duly authorised by the institution’s management body to approve on its behalf. In case there is such documentation, the relevant extract or document should also be submitted to the JST.</w:t>
      </w:r>
    </w:p>
    <w:p w14:paraId="3F3A6399" w14:textId="56B68147"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C620, institutions should quantify the effect of such tax effects on CET1 </w:t>
      </w:r>
      <w:r w:rsidR="005E14DB" w:rsidRPr="0056612F">
        <w:rPr>
          <w:rFonts w:ascii="Arial" w:hAnsi="Arial" w:cs="Arial"/>
          <w:sz w:val="20"/>
          <w:szCs w:val="20"/>
        </w:rPr>
        <w:t>requirement</w:t>
      </w:r>
      <w:r w:rsidRPr="0056612F">
        <w:rPr>
          <w:rFonts w:ascii="Arial" w:hAnsi="Arial" w:cs="Arial"/>
          <w:sz w:val="20"/>
          <w:szCs w:val="20"/>
        </w:rPr>
        <w:t xml:space="preserve">. </w:t>
      </w:r>
    </w:p>
    <w:p w14:paraId="3E0BB49B" w14:textId="328A70A9"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C621, institutions should quantify the effect of such tax effects on own funds requirements other than CET1 </w:t>
      </w:r>
      <w:r w:rsidR="005E14DB" w:rsidRPr="0056612F">
        <w:rPr>
          <w:rFonts w:ascii="Arial" w:hAnsi="Arial" w:cs="Arial"/>
          <w:sz w:val="20"/>
          <w:szCs w:val="20"/>
        </w:rPr>
        <w:t>requirement</w:t>
      </w:r>
      <w:r w:rsidRPr="0056612F">
        <w:rPr>
          <w:rFonts w:ascii="Arial" w:hAnsi="Arial" w:cs="Arial"/>
          <w:sz w:val="20"/>
          <w:szCs w:val="20"/>
        </w:rPr>
        <w:t xml:space="preserve">. </w:t>
      </w:r>
    </w:p>
    <w:p w14:paraId="621C77D9" w14:textId="249FE7BE"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C622, institutions should specify the treatment of the collateral for the purposes of Liquidity Coverage Ratio (“LCR”). Reference should also be made to the related reasons and assumptions. </w:t>
      </w:r>
    </w:p>
    <w:p w14:paraId="792E9BFE" w14:textId="20778D7D"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C623, institutions should refer to the institution’s internal documentation with reference to the treatment of the collateral for the purposes of LCR, if any, approved by a person or relevant body that has been duly authorised by the institution’s management body to approve on its behalf. In case there is such documentation, the relevant extract or document should also be submitted to the JST.</w:t>
      </w:r>
    </w:p>
    <w:p w14:paraId="0C234927" w14:textId="18624D69"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lastRenderedPageBreak/>
        <w:t xml:space="preserve">Under C624, institutions should describe the treatment of the collateral for the purposes of the Net Stable Funding Ratio (“NSFR”). Reference should also be made to the related reasons and assumptions. </w:t>
      </w:r>
    </w:p>
    <w:p w14:paraId="40BA039B" w14:textId="58172C24"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C625, institutions should refer to the institution’s internal documentation with reference to the treatment of the collateral for the purposes of NSFR, if any, approved by a person or relevant body that has been duly authorised by the institution’s management body to approve on its behalf. In case there is such documentation, the relevant extract or document should also be submitted to the JST.</w:t>
      </w:r>
    </w:p>
    <w:p w14:paraId="3B29321E" w14:textId="3C470729"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C626, institutions should describe if there are any other measures employed by the institution </w:t>
      </w:r>
      <w:proofErr w:type="gramStart"/>
      <w:r w:rsidRPr="0056612F">
        <w:rPr>
          <w:rFonts w:ascii="Arial" w:hAnsi="Arial" w:cs="Arial"/>
          <w:sz w:val="20"/>
          <w:szCs w:val="20"/>
        </w:rPr>
        <w:t>in order to</w:t>
      </w:r>
      <w:proofErr w:type="gramEnd"/>
      <w:r w:rsidRPr="0056612F">
        <w:rPr>
          <w:rFonts w:ascii="Arial" w:hAnsi="Arial" w:cs="Arial"/>
          <w:sz w:val="20"/>
          <w:szCs w:val="20"/>
        </w:rPr>
        <w:t xml:space="preserve"> mitigate the risk of overstated CET1</w:t>
      </w:r>
      <w:r w:rsidR="00E73097" w:rsidRPr="0056612F">
        <w:rPr>
          <w:rFonts w:ascii="Arial" w:hAnsi="Arial" w:cs="Arial"/>
          <w:sz w:val="20"/>
          <w:szCs w:val="20"/>
        </w:rPr>
        <w:t xml:space="preserve"> as explained above under general instructions</w:t>
      </w:r>
      <w:r w:rsidRPr="0056612F">
        <w:rPr>
          <w:rFonts w:ascii="Arial" w:hAnsi="Arial" w:cs="Arial"/>
          <w:sz w:val="20"/>
          <w:szCs w:val="20"/>
        </w:rPr>
        <w:t xml:space="preserve">. </w:t>
      </w:r>
    </w:p>
    <w:p w14:paraId="36747673" w14:textId="2AE23145" w:rsidR="00DF520F" w:rsidRPr="0056612F" w:rsidRDefault="00DF520F"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C627, institutions should refer to the institution’s internal documentation with reference to the additional measures employed by the institution to mitigate the risk of overstated CET1, if any, approved by a person or relevant body that has been duly authorised by the institution’s management body to approve on its behalf. In case there is such documentation, the relevant extract or document should also be submitted to the JST.</w:t>
      </w:r>
    </w:p>
    <w:p w14:paraId="473D916F" w14:textId="798B4591" w:rsidR="00DF520F" w:rsidRPr="0056612F" w:rsidRDefault="00DF520F" w:rsidP="00DF520F">
      <w:pPr>
        <w:pStyle w:val="Heading2"/>
        <w:spacing w:before="120" w:line="360" w:lineRule="auto"/>
        <w:ind w:left="720"/>
        <w:rPr>
          <w:rFonts w:ascii="Arial" w:hAnsi="Arial" w:cs="Arial"/>
          <w:color w:val="auto"/>
          <w:sz w:val="20"/>
          <w:szCs w:val="20"/>
        </w:rPr>
      </w:pPr>
      <w:bookmarkStart w:id="34" w:name="_Toc117695185"/>
      <w:r w:rsidRPr="0056612F">
        <w:rPr>
          <w:rFonts w:ascii="Arial" w:hAnsi="Arial" w:cs="Arial"/>
          <w:color w:val="auto"/>
          <w:sz w:val="20"/>
          <w:szCs w:val="20"/>
        </w:rPr>
        <w:t>Tab 7 “Capital and liquidity treatment (voluntary DGS)”</w:t>
      </w:r>
      <w:bookmarkEnd w:id="34"/>
    </w:p>
    <w:p w14:paraId="20012A97" w14:textId="1555F9BE"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C701 and C702, institutions are required to report the name and the LEI code, respectively, of the entity. </w:t>
      </w:r>
    </w:p>
    <w:p w14:paraId="67CB9F78" w14:textId="15DE5E14"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C703, institutions need to report the level of consolidation using the drop-down menu. If the entity is subject to prudential requirements at different levels of consolidation, the information for all the relevant levels should be reported in different rows. </w:t>
      </w:r>
    </w:p>
    <w:p w14:paraId="769CA276" w14:textId="7ED9AC60" w:rsidR="00C2118A" w:rsidRPr="0056612F" w:rsidRDefault="00DF520F" w:rsidP="00C2118A">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04, institutions should </w:t>
      </w:r>
      <w:r w:rsidR="00C2118A" w:rsidRPr="0056612F">
        <w:rPr>
          <w:rFonts w:ascii="Arial" w:hAnsi="Arial" w:cs="Arial"/>
          <w:sz w:val="20"/>
          <w:szCs w:val="20"/>
        </w:rPr>
        <w:t xml:space="preserve">describe </w:t>
      </w:r>
      <w:r w:rsidRPr="0056612F">
        <w:rPr>
          <w:rFonts w:ascii="Arial" w:hAnsi="Arial" w:cs="Arial"/>
          <w:sz w:val="20"/>
          <w:szCs w:val="20"/>
        </w:rPr>
        <w:t xml:space="preserve">the prudential treatment under Pillar 1. In particular, institutions should specify whether there are any </w:t>
      </w:r>
      <w:proofErr w:type="gramStart"/>
      <w:r w:rsidRPr="0056612F">
        <w:rPr>
          <w:rFonts w:ascii="Arial" w:hAnsi="Arial" w:cs="Arial"/>
          <w:sz w:val="20"/>
          <w:szCs w:val="20"/>
        </w:rPr>
        <w:t>CET1</w:t>
      </w:r>
      <w:proofErr w:type="gramEnd"/>
      <w:r w:rsidRPr="0056612F">
        <w:rPr>
          <w:rFonts w:ascii="Arial" w:hAnsi="Arial" w:cs="Arial"/>
          <w:sz w:val="20"/>
          <w:szCs w:val="20"/>
        </w:rPr>
        <w:t xml:space="preserve"> or own funds requirement attributed by the institution to the collateral – if the collateral is recognised as an asset – and to the commitment within Pillar 1</w:t>
      </w:r>
      <w:r w:rsidR="00C2118A" w:rsidRPr="0056612F">
        <w:rPr>
          <w:rFonts w:ascii="Arial" w:hAnsi="Arial" w:cs="Arial"/>
          <w:sz w:val="20"/>
          <w:szCs w:val="20"/>
        </w:rPr>
        <w:t xml:space="preserve"> in respect of IPCs</w:t>
      </w:r>
      <w:r w:rsidRPr="0056612F">
        <w:rPr>
          <w:rFonts w:ascii="Arial" w:hAnsi="Arial" w:cs="Arial"/>
          <w:sz w:val="20"/>
          <w:szCs w:val="20"/>
        </w:rPr>
        <w:t xml:space="preserve"> (e.g., if the prudential treatment of the collateral or the IPC in the institution involves the calculation of RWAs which need to be covered by capital). </w:t>
      </w:r>
    </w:p>
    <w:p w14:paraId="02A3CD47" w14:textId="7FB6D170"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05, institutions should refer to the institution’s internal documentation with reference to the prudential treatment under Pillar 1, if any, approved by a person or relevant body that has been duly authorised by the institution’s management body to approve on its behalf. In case there is such documentation, the relevant extract or document should also be submitted to the JST.</w:t>
      </w:r>
    </w:p>
    <w:p w14:paraId="6106CBFF" w14:textId="36DC29ED"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06, institutions should quantify the impact of the prudential treatment under Pillar 1 on the CET1 capital. </w:t>
      </w:r>
    </w:p>
    <w:p w14:paraId="5CCCE01C" w14:textId="5F21B24E"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07, institutions should quantify the impact of the prudential treatment under Pillar 1 on the own </w:t>
      </w:r>
      <w:proofErr w:type="gramStart"/>
      <w:r w:rsidRPr="0056612F">
        <w:rPr>
          <w:rFonts w:ascii="Arial" w:hAnsi="Arial" w:cs="Arial"/>
          <w:sz w:val="20"/>
          <w:szCs w:val="20"/>
        </w:rPr>
        <w:t>funds</w:t>
      </w:r>
      <w:proofErr w:type="gramEnd"/>
      <w:r w:rsidRPr="0056612F">
        <w:rPr>
          <w:rFonts w:ascii="Arial" w:hAnsi="Arial" w:cs="Arial"/>
          <w:sz w:val="20"/>
          <w:szCs w:val="20"/>
        </w:rPr>
        <w:t xml:space="preserve"> requirement other than CET1 capital.</w:t>
      </w:r>
    </w:p>
    <w:p w14:paraId="62578869" w14:textId="3B5A2AE9" w:rsidR="005E14DB" w:rsidRPr="0056612F" w:rsidRDefault="005E14DB" w:rsidP="005E14DB">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C708, institution should explain the prudential treatment applied to the IPC and to the collateral under their ICAAP or risk management process resulting in a stricter treatment than Pillar 1 (</w:t>
      </w:r>
      <w:proofErr w:type="gramStart"/>
      <w:r w:rsidRPr="0056612F">
        <w:rPr>
          <w:rFonts w:ascii="Arial" w:hAnsi="Arial" w:cs="Arial"/>
          <w:sz w:val="20"/>
          <w:szCs w:val="20"/>
        </w:rPr>
        <w:t>e.g.</w:t>
      </w:r>
      <w:proofErr w:type="gramEnd"/>
      <w:r w:rsidRPr="0056612F">
        <w:rPr>
          <w:rFonts w:ascii="Arial" w:hAnsi="Arial" w:cs="Arial"/>
          <w:sz w:val="20"/>
          <w:szCs w:val="20"/>
        </w:rPr>
        <w:t xml:space="preserve"> if the prudential treatment of the collateral or the IPC in your institution leads to the </w:t>
      </w:r>
      <w:r w:rsidRPr="0056612F">
        <w:rPr>
          <w:rFonts w:ascii="Arial" w:hAnsi="Arial" w:cs="Arial"/>
          <w:sz w:val="20"/>
          <w:szCs w:val="20"/>
        </w:rPr>
        <w:lastRenderedPageBreak/>
        <w:t xml:space="preserve">calculation of additional RWAs or deduction compared to Pillar 1) and whether such treatment is reflected in COREP in application of Article 3 CRR. </w:t>
      </w:r>
    </w:p>
    <w:p w14:paraId="53191057" w14:textId="14AEE597" w:rsidR="005E14DB" w:rsidRPr="0056612F" w:rsidRDefault="005E14DB" w:rsidP="005E14DB">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C709, institutions should refer to the institution’s internal documentation with reference to the prudential treatment applied to the IPC and to the collateral under their ICAAP or risk management process, if any, approved by a person or relevant body that has been duly authorised by the institution’s management body to approve on its behalf. In case there is such documentation, the relevant extract or document should also be submitted to the JST.</w:t>
      </w:r>
    </w:p>
    <w:p w14:paraId="0394BE8A" w14:textId="6F33E3BE" w:rsidR="005E14DB" w:rsidRPr="0056612F" w:rsidRDefault="005E14DB" w:rsidP="005E14DB">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C710, institutions should quantify the impact of the prudential treatment on the CET1 capital. </w:t>
      </w:r>
    </w:p>
    <w:p w14:paraId="7C5E5AF1" w14:textId="1BD299DC" w:rsidR="005E14DB" w:rsidRPr="0056612F" w:rsidRDefault="005E14DB" w:rsidP="005E14DB">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C711, institutions should quantify the impact of the prudential treatment on the own </w:t>
      </w:r>
      <w:proofErr w:type="gramStart"/>
      <w:r w:rsidRPr="0056612F">
        <w:rPr>
          <w:rFonts w:ascii="Arial" w:hAnsi="Arial" w:cs="Arial"/>
          <w:sz w:val="20"/>
          <w:szCs w:val="20"/>
        </w:rPr>
        <w:t>funds</w:t>
      </w:r>
      <w:proofErr w:type="gramEnd"/>
      <w:r w:rsidRPr="0056612F">
        <w:rPr>
          <w:rFonts w:ascii="Arial" w:hAnsi="Arial" w:cs="Arial"/>
          <w:sz w:val="20"/>
          <w:szCs w:val="20"/>
        </w:rPr>
        <w:t xml:space="preserve"> requirement other than CET1 capital. </w:t>
      </w:r>
    </w:p>
    <w:p w14:paraId="69D1EC76" w14:textId="720C8428"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12, institutions should describe how the probability of not retrieving the collateral posted in respect of the</w:t>
      </w:r>
      <w:r w:rsidR="00E65011" w:rsidRPr="0056612F">
        <w:rPr>
          <w:rFonts w:ascii="Arial" w:hAnsi="Arial" w:cs="Arial"/>
          <w:sz w:val="20"/>
          <w:szCs w:val="20"/>
        </w:rPr>
        <w:t xml:space="preserve"> voluntary</w:t>
      </w:r>
      <w:r w:rsidRPr="0056612F">
        <w:rPr>
          <w:rFonts w:ascii="Arial" w:hAnsi="Arial" w:cs="Arial"/>
          <w:sz w:val="20"/>
          <w:szCs w:val="20"/>
        </w:rPr>
        <w:t xml:space="preserve"> deposit guarantee scheme is reflected in the prudential treatment. </w:t>
      </w:r>
    </w:p>
    <w:p w14:paraId="356949BA" w14:textId="054D879A"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13, institutions should refer to the institution’s internal documentation with reference to how the probability of not retrieving the collateral is reflected in the prudential treatment, if any, approved by a person or relevant body that has been duly authorised by the institution’s management body to approve on its behalf. In case there is such documentation, the relevant extract or document should also be submitted to the JST.</w:t>
      </w:r>
    </w:p>
    <w:p w14:paraId="233E3CC3" w14:textId="760E059B"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14, institutions should quantify the effect of the scenario of not retrieving the collateral posted in respect of IPCs to the </w:t>
      </w:r>
      <w:r w:rsidR="00E65011" w:rsidRPr="0056612F">
        <w:rPr>
          <w:rFonts w:ascii="Arial" w:hAnsi="Arial" w:cs="Arial"/>
          <w:sz w:val="20"/>
          <w:szCs w:val="20"/>
        </w:rPr>
        <w:t xml:space="preserve">voluntary </w:t>
      </w:r>
      <w:r w:rsidRPr="0056612F">
        <w:rPr>
          <w:rFonts w:ascii="Arial" w:hAnsi="Arial" w:cs="Arial"/>
          <w:sz w:val="20"/>
          <w:szCs w:val="20"/>
        </w:rPr>
        <w:t xml:space="preserve">deposit guarantee scheme on the prudential figures. </w:t>
      </w:r>
    </w:p>
    <w:p w14:paraId="25ADD6AA" w14:textId="1CA13D76"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15, institutions should indicate if there are any other measures that may impact the prudential figures (e.g., guarantees from third parties). </w:t>
      </w:r>
    </w:p>
    <w:p w14:paraId="1910F8B9" w14:textId="01AA459E"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16, institutions should refer to the institution’s internal documentation with reference to measures that may have an impact on the prudential figures, if any, approved by a person or relevant body that has been duly authorised by the institution’s management body to approve on its behalf. In case there is such documentation, the relevant extract or document should also be submitted to the JST.</w:t>
      </w:r>
    </w:p>
    <w:p w14:paraId="3B229731" w14:textId="17583135"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17, institutions should quantify the effect of the prudential measures mentioned under C</w:t>
      </w:r>
      <w:r w:rsidR="00E65011" w:rsidRPr="0056612F">
        <w:rPr>
          <w:rFonts w:ascii="Arial" w:hAnsi="Arial" w:cs="Arial"/>
          <w:sz w:val="20"/>
          <w:szCs w:val="20"/>
        </w:rPr>
        <w:t>7</w:t>
      </w:r>
      <w:r w:rsidRPr="0056612F">
        <w:rPr>
          <w:rFonts w:ascii="Arial" w:hAnsi="Arial" w:cs="Arial"/>
          <w:sz w:val="20"/>
          <w:szCs w:val="20"/>
        </w:rPr>
        <w:t xml:space="preserve">15 on the prudential requirements. </w:t>
      </w:r>
    </w:p>
    <w:p w14:paraId="390EFF4E" w14:textId="05C7326E"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18, institutions should explain whether there is any tax effect coming from the IPC or the collateral of prudential relevance. </w:t>
      </w:r>
    </w:p>
    <w:p w14:paraId="0F651846" w14:textId="32C81AED"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19, institutions should refer to the institution’s internal documentation with reference to the tax effect coming from IPC or the collateral of prudential relevance, if any, approved by a person or relevant body that has been duly authorised by the institution’s management body to approve on its behalf. In case there is such documentation, the relevant extract or document should also be submitted to the JST.</w:t>
      </w:r>
    </w:p>
    <w:p w14:paraId="3460ED1A" w14:textId="6AAE03DB"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20, institutions should quantify the effect of such tax effects on CET1 </w:t>
      </w:r>
      <w:r w:rsidR="005E14DB" w:rsidRPr="0056612F">
        <w:rPr>
          <w:rFonts w:ascii="Arial" w:hAnsi="Arial" w:cs="Arial"/>
          <w:sz w:val="20"/>
          <w:szCs w:val="20"/>
        </w:rPr>
        <w:t>requirement</w:t>
      </w:r>
      <w:r w:rsidRPr="0056612F">
        <w:rPr>
          <w:rFonts w:ascii="Arial" w:hAnsi="Arial" w:cs="Arial"/>
          <w:sz w:val="20"/>
          <w:szCs w:val="20"/>
        </w:rPr>
        <w:t xml:space="preserve">. </w:t>
      </w:r>
    </w:p>
    <w:p w14:paraId="0574D6B7" w14:textId="30D6D4C2"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21, institutions should quantify the effect of such tax effects on own funds requirements other than CET1 </w:t>
      </w:r>
      <w:r w:rsidR="005E14DB" w:rsidRPr="0056612F">
        <w:rPr>
          <w:rFonts w:ascii="Arial" w:hAnsi="Arial" w:cs="Arial"/>
          <w:sz w:val="20"/>
          <w:szCs w:val="20"/>
        </w:rPr>
        <w:t>requirement</w:t>
      </w:r>
      <w:r w:rsidRPr="0056612F">
        <w:rPr>
          <w:rFonts w:ascii="Arial" w:hAnsi="Arial" w:cs="Arial"/>
          <w:sz w:val="20"/>
          <w:szCs w:val="20"/>
        </w:rPr>
        <w:t xml:space="preserve">. </w:t>
      </w:r>
    </w:p>
    <w:p w14:paraId="6E5DDCE8" w14:textId="271BCD72"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lastRenderedPageBreak/>
        <w:t>Under C</w:t>
      </w:r>
      <w:r w:rsidR="00E65011" w:rsidRPr="0056612F">
        <w:rPr>
          <w:rFonts w:ascii="Arial" w:hAnsi="Arial" w:cs="Arial"/>
          <w:sz w:val="20"/>
          <w:szCs w:val="20"/>
        </w:rPr>
        <w:t>7</w:t>
      </w:r>
      <w:r w:rsidRPr="0056612F">
        <w:rPr>
          <w:rFonts w:ascii="Arial" w:hAnsi="Arial" w:cs="Arial"/>
          <w:sz w:val="20"/>
          <w:szCs w:val="20"/>
        </w:rPr>
        <w:t xml:space="preserve">22, institutions should specify the treatment of the collateral for the purposes of Liquidity Coverage Ratio (“LCR”). Reference should also be made to the related reasons and assumptions. </w:t>
      </w:r>
    </w:p>
    <w:p w14:paraId="21F0937D" w14:textId="122AB37B"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23, institutions should refer to the institution’s internal documentation with reference to the treatment of the collateral for the purposes of LCR, if any, approved by a person or relevant body that has been duly authorised by the institution’s management body to approve on its behalf. In case there is such documentation, the relevant extract or document should also be submitted to the JST.</w:t>
      </w:r>
    </w:p>
    <w:p w14:paraId="2556E8C5" w14:textId="6D71C0AA"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24, institutions should describe the treatment of the collateral for the purposes of the Net Stable Funding Ratio (“NSFR”). Reference should also be made to the related reasons and assumptions. </w:t>
      </w:r>
    </w:p>
    <w:p w14:paraId="122C968D" w14:textId="55263BA6" w:rsidR="00DF520F" w:rsidRPr="0056612F" w:rsidRDefault="00DF520F" w:rsidP="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25, institutions should refer to the institution’s internal documentation with reference to the treatment of the collateral for the purposes of NSFR, if any, approved by a person or relevant body that has been duly authorised by the institution’s management body to approve on its behalf. In case there is such documentation, the relevant extract or document should also be submitted to the JST.</w:t>
      </w:r>
    </w:p>
    <w:p w14:paraId="14E6D970" w14:textId="4011BF91" w:rsidR="00E73097" w:rsidRPr="0056612F" w:rsidRDefault="00DF520F" w:rsidP="00E7309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w:t>
      </w:r>
      <w:r w:rsidR="00E65011" w:rsidRPr="0056612F">
        <w:rPr>
          <w:rFonts w:ascii="Arial" w:hAnsi="Arial" w:cs="Arial"/>
          <w:sz w:val="20"/>
          <w:szCs w:val="20"/>
        </w:rPr>
        <w:t>7</w:t>
      </w:r>
      <w:r w:rsidRPr="0056612F">
        <w:rPr>
          <w:rFonts w:ascii="Arial" w:hAnsi="Arial" w:cs="Arial"/>
          <w:sz w:val="20"/>
          <w:szCs w:val="20"/>
        </w:rPr>
        <w:t xml:space="preserve">26, institutions should describe if there are any other measures employed by the institution </w:t>
      </w:r>
      <w:proofErr w:type="gramStart"/>
      <w:r w:rsidRPr="0056612F">
        <w:rPr>
          <w:rFonts w:ascii="Arial" w:hAnsi="Arial" w:cs="Arial"/>
          <w:sz w:val="20"/>
          <w:szCs w:val="20"/>
        </w:rPr>
        <w:t>in order to</w:t>
      </w:r>
      <w:proofErr w:type="gramEnd"/>
      <w:r w:rsidRPr="0056612F">
        <w:rPr>
          <w:rFonts w:ascii="Arial" w:hAnsi="Arial" w:cs="Arial"/>
          <w:sz w:val="20"/>
          <w:szCs w:val="20"/>
        </w:rPr>
        <w:t xml:space="preserve"> mitigate the risk of overstated CET1</w:t>
      </w:r>
      <w:r w:rsidR="00E73097" w:rsidRPr="0056612F">
        <w:rPr>
          <w:rFonts w:ascii="Arial" w:hAnsi="Arial" w:cs="Arial"/>
          <w:sz w:val="20"/>
          <w:szCs w:val="20"/>
        </w:rPr>
        <w:t xml:space="preserve"> as explained above under general instructions. </w:t>
      </w:r>
    </w:p>
    <w:p w14:paraId="1530B422" w14:textId="4D75D42C" w:rsidR="00DF520F" w:rsidRPr="0056612F" w:rsidRDefault="00DF520F">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 Under C</w:t>
      </w:r>
      <w:r w:rsidR="00E65011" w:rsidRPr="0056612F">
        <w:rPr>
          <w:rFonts w:ascii="Arial" w:hAnsi="Arial" w:cs="Arial"/>
          <w:sz w:val="20"/>
          <w:szCs w:val="20"/>
        </w:rPr>
        <w:t>7</w:t>
      </w:r>
      <w:r w:rsidRPr="0056612F">
        <w:rPr>
          <w:rFonts w:ascii="Arial" w:hAnsi="Arial" w:cs="Arial"/>
          <w:sz w:val="20"/>
          <w:szCs w:val="20"/>
        </w:rPr>
        <w:t>27, institutions should refer to the institution’s internal documentation with reference to the additional measures employed by the institution to mitigate the risk of overstated CET1, if any, approved by a person or relevant body that has been duly authorised by the institution’s management body to approve on its behalf. In case there is such documentation, the relevant extract or document should also be submitted to the JST.</w:t>
      </w:r>
    </w:p>
    <w:p w14:paraId="693699E3" w14:textId="18C17F92" w:rsidR="00E65011" w:rsidRPr="0056612F" w:rsidRDefault="00E65011" w:rsidP="00E65011">
      <w:pPr>
        <w:pStyle w:val="Heading2"/>
        <w:spacing w:before="120" w:line="360" w:lineRule="auto"/>
        <w:ind w:left="720"/>
        <w:rPr>
          <w:rFonts w:ascii="Arial" w:hAnsi="Arial" w:cs="Arial"/>
          <w:color w:val="auto"/>
          <w:sz w:val="20"/>
          <w:szCs w:val="20"/>
        </w:rPr>
      </w:pPr>
      <w:bookmarkStart w:id="35" w:name="_Toc117695186"/>
      <w:r w:rsidRPr="0056612F">
        <w:rPr>
          <w:rFonts w:ascii="Arial" w:hAnsi="Arial" w:cs="Arial"/>
          <w:color w:val="auto"/>
          <w:sz w:val="20"/>
          <w:szCs w:val="20"/>
        </w:rPr>
        <w:t>Tab 8 “IPC risk management”</w:t>
      </w:r>
      <w:bookmarkEnd w:id="35"/>
    </w:p>
    <w:p w14:paraId="6EBA9B9D" w14:textId="7FA9B9DE" w:rsidR="00E65011" w:rsidRPr="0056612F" w:rsidRDefault="00E65011" w:rsidP="00E65011">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C801 and C802, institutions are required to report the name and the LEI code, respectively, of the entity. </w:t>
      </w:r>
    </w:p>
    <w:p w14:paraId="07F0C36F" w14:textId="6B640113" w:rsidR="00E65011" w:rsidRPr="0056612F" w:rsidRDefault="00E65011" w:rsidP="00E65011">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C803, institutions need to report the level of consolidation using the drop-down menu. If the entity is subject to prudential requirements at different levels of consolidation, the information for all the relevant levels should be reported in different rows. </w:t>
      </w:r>
    </w:p>
    <w:p w14:paraId="3A86344B" w14:textId="3D2A7E38" w:rsidR="00E65011" w:rsidRPr="0056612F" w:rsidRDefault="00E65011" w:rsidP="00E65011">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 xml:space="preserve">Under C804, institutions should describe in detail how the arrangements, strategies, </w:t>
      </w:r>
      <w:proofErr w:type="gramStart"/>
      <w:r w:rsidRPr="0056612F">
        <w:rPr>
          <w:rFonts w:ascii="Arial" w:hAnsi="Arial" w:cs="Arial"/>
          <w:sz w:val="20"/>
          <w:szCs w:val="20"/>
        </w:rPr>
        <w:t>processes</w:t>
      </w:r>
      <w:proofErr w:type="gramEnd"/>
      <w:r w:rsidRPr="0056612F">
        <w:rPr>
          <w:rFonts w:ascii="Arial" w:hAnsi="Arial" w:cs="Arial"/>
          <w:sz w:val="20"/>
          <w:szCs w:val="20"/>
        </w:rPr>
        <w:t xml:space="preserve"> and mechanisms implemented at the institution ensure a sound management and coverage of the IPC risk. </w:t>
      </w:r>
    </w:p>
    <w:p w14:paraId="4990F936" w14:textId="3FF7B042" w:rsidR="00E65011" w:rsidRPr="0056612F" w:rsidRDefault="00E65011" w:rsidP="000F3B77">
      <w:pPr>
        <w:pStyle w:val="ListParagraph"/>
        <w:numPr>
          <w:ilvl w:val="0"/>
          <w:numId w:val="2"/>
        </w:numPr>
        <w:spacing w:before="120" w:line="360" w:lineRule="auto"/>
        <w:ind w:left="567" w:hanging="501"/>
        <w:jc w:val="both"/>
        <w:rPr>
          <w:rFonts w:ascii="Arial" w:hAnsi="Arial" w:cs="Arial"/>
          <w:b/>
          <w:bCs/>
          <w:color w:val="1F497D" w:themeColor="text2"/>
          <w:sz w:val="20"/>
          <w:szCs w:val="20"/>
        </w:rPr>
      </w:pPr>
      <w:r w:rsidRPr="0056612F">
        <w:rPr>
          <w:rFonts w:ascii="Arial" w:hAnsi="Arial" w:cs="Arial"/>
          <w:sz w:val="20"/>
          <w:szCs w:val="20"/>
        </w:rPr>
        <w:t>Under C805, institutions should refer to the institution’s internal documentation with reference to the arrangement, strategies, processes, and mechanisms that ensure a sound management and coverage of the IPC risk, if any, approved by a person or relevant body that has been duly authorised by the institution’s management body to approve on its behalf. In case there is such documentation, the relevant extract or document should also be submitted to the JST.</w:t>
      </w:r>
    </w:p>
    <w:p w14:paraId="00FC08BC" w14:textId="77777777" w:rsidR="00A20F4F" w:rsidRPr="0056612F" w:rsidRDefault="00A20F4F" w:rsidP="00F76B53">
      <w:pPr>
        <w:rPr>
          <w:rFonts w:ascii="Arial" w:hAnsi="Arial" w:cs="Arial"/>
          <w:sz w:val="20"/>
          <w:szCs w:val="20"/>
        </w:rPr>
      </w:pPr>
    </w:p>
    <w:sectPr w:rsidR="00A20F4F" w:rsidRPr="0056612F" w:rsidSect="002A4158">
      <w:headerReference w:type="default" r:id="rId8"/>
      <w:footerReference w:type="default" r:id="rId9"/>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1E6F7" w14:textId="77777777" w:rsidR="00EB20CB" w:rsidRDefault="00EB20CB" w:rsidP="00C65F28">
      <w:pPr>
        <w:spacing w:after="0" w:line="240" w:lineRule="auto"/>
      </w:pPr>
      <w:r>
        <w:separator/>
      </w:r>
    </w:p>
  </w:endnote>
  <w:endnote w:type="continuationSeparator" w:id="0">
    <w:p w14:paraId="548C7C0F" w14:textId="77777777" w:rsidR="00EB20CB" w:rsidRDefault="00EB20CB" w:rsidP="00C65F28">
      <w:pPr>
        <w:spacing w:after="0" w:line="240" w:lineRule="auto"/>
      </w:pPr>
      <w:r>
        <w:continuationSeparator/>
      </w:r>
    </w:p>
  </w:endnote>
  <w:endnote w:type="continuationNotice" w:id="1">
    <w:p w14:paraId="4BD87168" w14:textId="77777777" w:rsidR="00EB20CB" w:rsidRDefault="00EB20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ndnya">
    <w:altName w:val="Cambria"/>
    <w:panose1 w:val="00000400000000000000"/>
    <w:charset w:val="01"/>
    <w:family w:val="roman"/>
    <w:notTrueType/>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784906"/>
      <w:docPartObj>
        <w:docPartGallery w:val="Page Numbers (Bottom of Page)"/>
        <w:docPartUnique/>
      </w:docPartObj>
    </w:sdtPr>
    <w:sdtEndPr>
      <w:rPr>
        <w:rFonts w:ascii="Arial" w:hAnsi="Arial" w:cs="Arial"/>
        <w:noProof/>
        <w:sz w:val="18"/>
      </w:rPr>
    </w:sdtEndPr>
    <w:sdtContent>
      <w:p w14:paraId="00FC08C8" w14:textId="77777777" w:rsidR="007702FD" w:rsidRPr="0056612F" w:rsidRDefault="007702FD" w:rsidP="00C65F28">
        <w:pPr>
          <w:pStyle w:val="Footer"/>
          <w:jc w:val="center"/>
          <w:rPr>
            <w:rFonts w:ascii="Arial" w:hAnsi="Arial" w:cs="Arial"/>
            <w:sz w:val="18"/>
          </w:rPr>
        </w:pPr>
        <w:r w:rsidRPr="0056612F">
          <w:rPr>
            <w:rFonts w:ascii="Arial" w:hAnsi="Arial" w:cs="Arial"/>
            <w:sz w:val="18"/>
          </w:rPr>
          <w:fldChar w:fldCharType="begin"/>
        </w:r>
        <w:r w:rsidRPr="0056612F">
          <w:rPr>
            <w:rFonts w:ascii="Arial" w:hAnsi="Arial" w:cs="Arial"/>
            <w:sz w:val="18"/>
          </w:rPr>
          <w:instrText xml:space="preserve"> PAGE   \* MERGEFORMAT </w:instrText>
        </w:r>
        <w:r w:rsidRPr="0056612F">
          <w:rPr>
            <w:rFonts w:ascii="Arial" w:hAnsi="Arial" w:cs="Arial"/>
            <w:sz w:val="18"/>
          </w:rPr>
          <w:fldChar w:fldCharType="separate"/>
        </w:r>
        <w:r w:rsidR="00E676BE" w:rsidRPr="0056612F">
          <w:rPr>
            <w:rFonts w:ascii="Arial" w:hAnsi="Arial" w:cs="Arial"/>
            <w:noProof/>
            <w:sz w:val="18"/>
          </w:rPr>
          <w:t>20</w:t>
        </w:r>
        <w:r w:rsidRPr="0056612F">
          <w:rPr>
            <w:rFonts w:ascii="Arial" w:hAnsi="Arial" w:cs="Arial"/>
            <w:noProof/>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E9FF8" w14:textId="77777777" w:rsidR="00EB20CB" w:rsidRDefault="00EB20CB" w:rsidP="00C65F28">
      <w:pPr>
        <w:spacing w:after="0" w:line="240" w:lineRule="auto"/>
      </w:pPr>
      <w:r>
        <w:separator/>
      </w:r>
    </w:p>
  </w:footnote>
  <w:footnote w:type="continuationSeparator" w:id="0">
    <w:p w14:paraId="2936727F" w14:textId="77777777" w:rsidR="00EB20CB" w:rsidRDefault="00EB20CB" w:rsidP="00C65F28">
      <w:pPr>
        <w:spacing w:after="0" w:line="240" w:lineRule="auto"/>
      </w:pPr>
      <w:r>
        <w:continuationSeparator/>
      </w:r>
    </w:p>
  </w:footnote>
  <w:footnote w:type="continuationNotice" w:id="1">
    <w:p w14:paraId="47BE450D" w14:textId="77777777" w:rsidR="00EB20CB" w:rsidRDefault="00EB20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666" w14:textId="77777777" w:rsidR="0056612F" w:rsidRPr="0056612F" w:rsidRDefault="0056612F" w:rsidP="0056612F">
    <w:pPr>
      <w:spacing w:before="60" w:after="60" w:line="160" w:lineRule="atLeast"/>
      <w:ind w:left="720"/>
      <w:jc w:val="right"/>
      <w:rPr>
        <w:rFonts w:ascii="Arial" w:eastAsia="Times New Roman" w:hAnsi="Arial" w:cs="Sendnya"/>
        <w:b/>
        <w:bCs/>
        <w:sz w:val="20"/>
        <w:szCs w:val="20"/>
        <w:lang w:val="en-US" w:eastAsia="en-GB"/>
      </w:rPr>
    </w:pPr>
    <w:r w:rsidRPr="0056612F">
      <w:rPr>
        <w:rFonts w:ascii="Arial" w:eastAsia="Times New Roman" w:hAnsi="Arial" w:cs="Sendnya"/>
        <w:b/>
        <w:bCs/>
        <w:sz w:val="20"/>
        <w:szCs w:val="20"/>
        <w:lang w:val="en-US" w:eastAsia="en-GB"/>
      </w:rPr>
      <w:t>ECB-PUBLIC</w:t>
    </w:r>
  </w:p>
  <w:p w14:paraId="00FC08C7" w14:textId="77777777" w:rsidR="007702FD" w:rsidRDefault="007702FD" w:rsidP="002A415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C08C9" w14:textId="46F7CA32" w:rsidR="007702FD" w:rsidRDefault="007702FD" w:rsidP="002A4158">
    <w:pPr>
      <w:pStyle w:val="Header"/>
      <w:jc w:val="center"/>
    </w:pPr>
    <w:r>
      <w:object w:dxaOrig="16078" w:dyaOrig="5774" w14:anchorId="00FC08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4pt;height:61.2pt">
          <v:imagedata r:id="rId1" o:title=""/>
        </v:shape>
        <o:OLEObject Type="Embed" ProgID="PBrush" ShapeID="_x0000_i1025" DrawAspect="Content" ObjectID="_1758031164"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233"/>
    <w:multiLevelType w:val="hybridMultilevel"/>
    <w:tmpl w:val="C7162702"/>
    <w:lvl w:ilvl="0" w:tplc="F93C00C6">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436224"/>
    <w:multiLevelType w:val="hybridMultilevel"/>
    <w:tmpl w:val="B61853BA"/>
    <w:lvl w:ilvl="0" w:tplc="0809000F">
      <w:start w:val="1"/>
      <w:numFmt w:val="decimal"/>
      <w:lvlText w:val="%1."/>
      <w:lvlJc w:val="left"/>
      <w:pPr>
        <w:ind w:left="720" w:hanging="360"/>
      </w:pPr>
      <w:rPr>
        <w:rFonts w:hint="default"/>
      </w:rPr>
    </w:lvl>
    <w:lvl w:ilvl="1" w:tplc="F93C00C6">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7231F1"/>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7931CA"/>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A51EEF"/>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871A6C"/>
    <w:multiLevelType w:val="hybridMultilevel"/>
    <w:tmpl w:val="991AE07E"/>
    <w:lvl w:ilvl="0" w:tplc="0809000F">
      <w:start w:val="1"/>
      <w:numFmt w:val="decimal"/>
      <w:lvlText w:val="%1."/>
      <w:lvlJc w:val="left"/>
      <w:pPr>
        <w:ind w:left="4330"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8B4517"/>
    <w:multiLevelType w:val="hybridMultilevel"/>
    <w:tmpl w:val="C72ED2F8"/>
    <w:lvl w:ilvl="0" w:tplc="04CC6020">
      <w:start w:val="1"/>
      <w:numFmt w:val="decimal"/>
      <w:lvlText w:val="%1."/>
      <w:lvlJc w:val="left"/>
      <w:pPr>
        <w:ind w:left="2716" w:hanging="360"/>
      </w:pPr>
      <w:rPr>
        <w:rFonts w:ascii="Arial" w:hAnsi="Arial" w:cs="Arial" w:hint="default"/>
        <w:b w:val="0"/>
        <w:i w:val="0"/>
        <w:color w:val="auto"/>
      </w:rPr>
    </w:lvl>
    <w:lvl w:ilvl="1" w:tplc="66681B32">
      <w:start w:val="1"/>
      <w:numFmt w:val="lowerRoman"/>
      <w:lvlText w:val="%2."/>
      <w:lvlJc w:val="right"/>
      <w:pPr>
        <w:ind w:left="2094" w:hanging="360"/>
      </w:pPr>
      <w:rPr>
        <w:rFonts w:hint="default"/>
        <w:i w:val="0"/>
        <w:iCs/>
      </w:rPr>
    </w:lvl>
    <w:lvl w:ilvl="2" w:tplc="0809001B">
      <w:start w:val="1"/>
      <w:numFmt w:val="lowerRoman"/>
      <w:lvlText w:val="%3."/>
      <w:lvlJc w:val="right"/>
      <w:pPr>
        <w:ind w:left="2814" w:hanging="180"/>
      </w:pPr>
    </w:lvl>
    <w:lvl w:ilvl="3" w:tplc="0809000F" w:tentative="1">
      <w:start w:val="1"/>
      <w:numFmt w:val="decimal"/>
      <w:lvlText w:val="%4."/>
      <w:lvlJc w:val="left"/>
      <w:pPr>
        <w:ind w:left="3534" w:hanging="360"/>
      </w:pPr>
    </w:lvl>
    <w:lvl w:ilvl="4" w:tplc="08090019" w:tentative="1">
      <w:start w:val="1"/>
      <w:numFmt w:val="lowerLetter"/>
      <w:lvlText w:val="%5."/>
      <w:lvlJc w:val="left"/>
      <w:pPr>
        <w:ind w:left="4254" w:hanging="360"/>
      </w:pPr>
    </w:lvl>
    <w:lvl w:ilvl="5" w:tplc="0809001B" w:tentative="1">
      <w:start w:val="1"/>
      <w:numFmt w:val="lowerRoman"/>
      <w:lvlText w:val="%6."/>
      <w:lvlJc w:val="right"/>
      <w:pPr>
        <w:ind w:left="4974" w:hanging="180"/>
      </w:pPr>
    </w:lvl>
    <w:lvl w:ilvl="6" w:tplc="0809000F" w:tentative="1">
      <w:start w:val="1"/>
      <w:numFmt w:val="decimal"/>
      <w:lvlText w:val="%7."/>
      <w:lvlJc w:val="left"/>
      <w:pPr>
        <w:ind w:left="5694" w:hanging="360"/>
      </w:pPr>
    </w:lvl>
    <w:lvl w:ilvl="7" w:tplc="08090019" w:tentative="1">
      <w:start w:val="1"/>
      <w:numFmt w:val="lowerLetter"/>
      <w:lvlText w:val="%8."/>
      <w:lvlJc w:val="left"/>
      <w:pPr>
        <w:ind w:left="6414" w:hanging="360"/>
      </w:pPr>
    </w:lvl>
    <w:lvl w:ilvl="8" w:tplc="0809001B" w:tentative="1">
      <w:start w:val="1"/>
      <w:numFmt w:val="lowerRoman"/>
      <w:lvlText w:val="%9."/>
      <w:lvlJc w:val="right"/>
      <w:pPr>
        <w:ind w:left="7134" w:hanging="180"/>
      </w:pPr>
    </w:lvl>
  </w:abstractNum>
  <w:abstractNum w:abstractNumId="7" w15:restartNumberingAfterBreak="0">
    <w:nsid w:val="2BA34D21"/>
    <w:multiLevelType w:val="hybridMultilevel"/>
    <w:tmpl w:val="6D6C445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3299531B"/>
    <w:multiLevelType w:val="hybridMultilevel"/>
    <w:tmpl w:val="78B4F24C"/>
    <w:lvl w:ilvl="0" w:tplc="07CEDC62">
      <w:start w:val="1"/>
      <w:numFmt w:val="decimal"/>
      <w:lvlText w:val="%1."/>
      <w:lvlJc w:val="left"/>
      <w:pPr>
        <w:ind w:left="2716" w:hanging="360"/>
      </w:pPr>
      <w:rPr>
        <w:rFonts w:hint="default"/>
        <w:b w:val="0"/>
      </w:rPr>
    </w:lvl>
    <w:lvl w:ilvl="1" w:tplc="08090019">
      <w:start w:val="1"/>
      <w:numFmt w:val="lowerLetter"/>
      <w:lvlText w:val="%2."/>
      <w:lvlJc w:val="left"/>
      <w:pPr>
        <w:ind w:left="2094" w:hanging="360"/>
      </w:pPr>
      <w:rPr>
        <w:rFonts w:hint="default"/>
      </w:rPr>
    </w:lvl>
    <w:lvl w:ilvl="2" w:tplc="0809001B">
      <w:start w:val="1"/>
      <w:numFmt w:val="lowerRoman"/>
      <w:lvlText w:val="%3."/>
      <w:lvlJc w:val="right"/>
      <w:pPr>
        <w:ind w:left="2814" w:hanging="180"/>
      </w:pPr>
    </w:lvl>
    <w:lvl w:ilvl="3" w:tplc="0809000F" w:tentative="1">
      <w:start w:val="1"/>
      <w:numFmt w:val="decimal"/>
      <w:lvlText w:val="%4."/>
      <w:lvlJc w:val="left"/>
      <w:pPr>
        <w:ind w:left="3534" w:hanging="360"/>
      </w:pPr>
    </w:lvl>
    <w:lvl w:ilvl="4" w:tplc="08090019" w:tentative="1">
      <w:start w:val="1"/>
      <w:numFmt w:val="lowerLetter"/>
      <w:lvlText w:val="%5."/>
      <w:lvlJc w:val="left"/>
      <w:pPr>
        <w:ind w:left="4254" w:hanging="360"/>
      </w:pPr>
    </w:lvl>
    <w:lvl w:ilvl="5" w:tplc="0809001B" w:tentative="1">
      <w:start w:val="1"/>
      <w:numFmt w:val="lowerRoman"/>
      <w:lvlText w:val="%6."/>
      <w:lvlJc w:val="right"/>
      <w:pPr>
        <w:ind w:left="4974" w:hanging="180"/>
      </w:pPr>
    </w:lvl>
    <w:lvl w:ilvl="6" w:tplc="0809000F" w:tentative="1">
      <w:start w:val="1"/>
      <w:numFmt w:val="decimal"/>
      <w:lvlText w:val="%7."/>
      <w:lvlJc w:val="left"/>
      <w:pPr>
        <w:ind w:left="5694" w:hanging="360"/>
      </w:pPr>
    </w:lvl>
    <w:lvl w:ilvl="7" w:tplc="08090019" w:tentative="1">
      <w:start w:val="1"/>
      <w:numFmt w:val="lowerLetter"/>
      <w:lvlText w:val="%8."/>
      <w:lvlJc w:val="left"/>
      <w:pPr>
        <w:ind w:left="6414" w:hanging="360"/>
      </w:pPr>
    </w:lvl>
    <w:lvl w:ilvl="8" w:tplc="0809001B" w:tentative="1">
      <w:start w:val="1"/>
      <w:numFmt w:val="lowerRoman"/>
      <w:lvlText w:val="%9."/>
      <w:lvlJc w:val="right"/>
      <w:pPr>
        <w:ind w:left="7134" w:hanging="180"/>
      </w:pPr>
    </w:lvl>
  </w:abstractNum>
  <w:abstractNum w:abstractNumId="9" w15:restartNumberingAfterBreak="0">
    <w:nsid w:val="3D094336"/>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1005B6"/>
    <w:multiLevelType w:val="hybridMultilevel"/>
    <w:tmpl w:val="918C3BA8"/>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7FD6ADA"/>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1202FD"/>
    <w:multiLevelType w:val="hybridMultilevel"/>
    <w:tmpl w:val="ADD2C9A6"/>
    <w:lvl w:ilvl="0" w:tplc="08090019">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C243926"/>
    <w:multiLevelType w:val="hybridMultilevel"/>
    <w:tmpl w:val="2B965CC2"/>
    <w:lvl w:ilvl="0" w:tplc="0809000F">
      <w:start w:val="1"/>
      <w:numFmt w:val="decimal"/>
      <w:lvlText w:val="%1."/>
      <w:lvlJc w:val="left"/>
      <w:pPr>
        <w:ind w:left="720" w:hanging="360"/>
      </w:pPr>
      <w:rPr>
        <w:rFonts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180"/>
      </w:pPr>
      <w:rPr>
        <w:rFonts w:ascii="Wingdings" w:hAnsi="Wingding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777DC6"/>
    <w:multiLevelType w:val="hybridMultilevel"/>
    <w:tmpl w:val="D14CCF7E"/>
    <w:lvl w:ilvl="0" w:tplc="0809000F">
      <w:start w:val="1"/>
      <w:numFmt w:val="decimal"/>
      <w:lvlText w:val="%1."/>
      <w:lvlJc w:val="left"/>
      <w:pPr>
        <w:ind w:left="720" w:hanging="360"/>
      </w:pPr>
      <w:rPr>
        <w:rFonts w:hint="default"/>
      </w:rPr>
    </w:lvl>
    <w:lvl w:ilvl="1" w:tplc="F93C00C6">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BB713F"/>
    <w:multiLevelType w:val="hybridMultilevel"/>
    <w:tmpl w:val="ADD2C9A6"/>
    <w:lvl w:ilvl="0" w:tplc="08090019">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C75F93"/>
    <w:multiLevelType w:val="hybridMultilevel"/>
    <w:tmpl w:val="2EA4A9EE"/>
    <w:lvl w:ilvl="0" w:tplc="19764D92">
      <w:start w:val="5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7" w15:restartNumberingAfterBreak="0">
    <w:nsid w:val="56E142CF"/>
    <w:multiLevelType w:val="hybridMultilevel"/>
    <w:tmpl w:val="880A65D8"/>
    <w:lvl w:ilvl="0" w:tplc="0809000F">
      <w:start w:val="1"/>
      <w:numFmt w:val="decimal"/>
      <w:lvlText w:val="%1."/>
      <w:lvlJc w:val="left"/>
      <w:pPr>
        <w:ind w:left="720" w:hanging="360"/>
      </w:pPr>
      <w:rPr>
        <w:rFonts w:hint="default"/>
      </w:rPr>
    </w:lvl>
    <w:lvl w:ilvl="1" w:tplc="08090019">
      <w:start w:val="1"/>
      <w:numFmt w:val="lowerLetter"/>
      <w:lvlText w:val="%2."/>
      <w:lvlJc w:val="left"/>
      <w:pPr>
        <w:ind w:left="1353"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D06362"/>
    <w:multiLevelType w:val="hybridMultilevel"/>
    <w:tmpl w:val="B7D60816"/>
    <w:lvl w:ilvl="0" w:tplc="F93C00C6">
      <w:start w:val="1"/>
      <w:numFmt w:val="bullet"/>
      <w:lvlText w:val=""/>
      <w:lvlJc w:val="left"/>
      <w:pPr>
        <w:ind w:left="1440" w:hanging="360"/>
      </w:pPr>
      <w:rPr>
        <w:rFonts w:ascii="Symbol" w:hAnsi="Symbol"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695E0E68"/>
    <w:multiLevelType w:val="hybridMultilevel"/>
    <w:tmpl w:val="2D3A99B4"/>
    <w:lvl w:ilvl="0" w:tplc="280A5820">
      <w:start w:val="33"/>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0" w15:restartNumberingAfterBreak="0">
    <w:nsid w:val="70FE190D"/>
    <w:multiLevelType w:val="hybridMultilevel"/>
    <w:tmpl w:val="739E15CE"/>
    <w:lvl w:ilvl="0" w:tplc="F93C00C6">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2120367213">
    <w:abstractNumId w:val="17"/>
  </w:num>
  <w:num w:numId="2" w16cid:durableId="2005932516">
    <w:abstractNumId w:val="6"/>
  </w:num>
  <w:num w:numId="3" w16cid:durableId="897519441">
    <w:abstractNumId w:val="7"/>
  </w:num>
  <w:num w:numId="4" w16cid:durableId="837816145">
    <w:abstractNumId w:val="18"/>
  </w:num>
  <w:num w:numId="5" w16cid:durableId="1826816296">
    <w:abstractNumId w:val="1"/>
  </w:num>
  <w:num w:numId="6" w16cid:durableId="1873493172">
    <w:abstractNumId w:val="13"/>
  </w:num>
  <w:num w:numId="7" w16cid:durableId="1176654769">
    <w:abstractNumId w:val="14"/>
  </w:num>
  <w:num w:numId="8" w16cid:durableId="38214521">
    <w:abstractNumId w:val="5"/>
  </w:num>
  <w:num w:numId="9" w16cid:durableId="1723167470">
    <w:abstractNumId w:val="20"/>
  </w:num>
  <w:num w:numId="10" w16cid:durableId="1895660222">
    <w:abstractNumId w:val="10"/>
  </w:num>
  <w:num w:numId="11" w16cid:durableId="2079134313">
    <w:abstractNumId w:val="0"/>
  </w:num>
  <w:num w:numId="12" w16cid:durableId="967394250">
    <w:abstractNumId w:val="12"/>
  </w:num>
  <w:num w:numId="13" w16cid:durableId="393089252">
    <w:abstractNumId w:val="15"/>
  </w:num>
  <w:num w:numId="14" w16cid:durableId="134950344">
    <w:abstractNumId w:val="4"/>
  </w:num>
  <w:num w:numId="15" w16cid:durableId="378171150">
    <w:abstractNumId w:val="2"/>
  </w:num>
  <w:num w:numId="16" w16cid:durableId="675351445">
    <w:abstractNumId w:val="11"/>
  </w:num>
  <w:num w:numId="17" w16cid:durableId="1435587713">
    <w:abstractNumId w:val="9"/>
  </w:num>
  <w:num w:numId="18" w16cid:durableId="1684476170">
    <w:abstractNumId w:val="3"/>
  </w:num>
  <w:num w:numId="19" w16cid:durableId="1792436195">
    <w:abstractNumId w:val="19"/>
  </w:num>
  <w:num w:numId="20" w16cid:durableId="318462279">
    <w:abstractNumId w:val="16"/>
  </w:num>
  <w:num w:numId="21" w16cid:durableId="97845857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D10EAE"/>
    <w:rsid w:val="0000109F"/>
    <w:rsid w:val="000012A5"/>
    <w:rsid w:val="0000260A"/>
    <w:rsid w:val="00002F06"/>
    <w:rsid w:val="00005B49"/>
    <w:rsid w:val="000066EB"/>
    <w:rsid w:val="00007DAD"/>
    <w:rsid w:val="00010C6D"/>
    <w:rsid w:val="0001109A"/>
    <w:rsid w:val="00012030"/>
    <w:rsid w:val="00012A80"/>
    <w:rsid w:val="00013004"/>
    <w:rsid w:val="000146EF"/>
    <w:rsid w:val="000155A1"/>
    <w:rsid w:val="0001671E"/>
    <w:rsid w:val="00022C8F"/>
    <w:rsid w:val="000238E5"/>
    <w:rsid w:val="000255C8"/>
    <w:rsid w:val="000258B3"/>
    <w:rsid w:val="00025B86"/>
    <w:rsid w:val="00026445"/>
    <w:rsid w:val="000272DB"/>
    <w:rsid w:val="00027852"/>
    <w:rsid w:val="000327D3"/>
    <w:rsid w:val="00032A9C"/>
    <w:rsid w:val="00032EA8"/>
    <w:rsid w:val="0003425D"/>
    <w:rsid w:val="00035492"/>
    <w:rsid w:val="000366AA"/>
    <w:rsid w:val="00037B82"/>
    <w:rsid w:val="000408F0"/>
    <w:rsid w:val="00040C76"/>
    <w:rsid w:val="0004167E"/>
    <w:rsid w:val="000425E5"/>
    <w:rsid w:val="0004338A"/>
    <w:rsid w:val="00043B6E"/>
    <w:rsid w:val="00043CB1"/>
    <w:rsid w:val="00044E87"/>
    <w:rsid w:val="00045655"/>
    <w:rsid w:val="00047449"/>
    <w:rsid w:val="000500D5"/>
    <w:rsid w:val="0005257A"/>
    <w:rsid w:val="000526EE"/>
    <w:rsid w:val="00054541"/>
    <w:rsid w:val="00057195"/>
    <w:rsid w:val="000574F1"/>
    <w:rsid w:val="000579DB"/>
    <w:rsid w:val="00057FB4"/>
    <w:rsid w:val="000601AE"/>
    <w:rsid w:val="00061653"/>
    <w:rsid w:val="00061B1D"/>
    <w:rsid w:val="00066A65"/>
    <w:rsid w:val="00066E5C"/>
    <w:rsid w:val="00070136"/>
    <w:rsid w:val="000702CD"/>
    <w:rsid w:val="0007066C"/>
    <w:rsid w:val="0007071F"/>
    <w:rsid w:val="00072E86"/>
    <w:rsid w:val="000732FD"/>
    <w:rsid w:val="00075209"/>
    <w:rsid w:val="000757A9"/>
    <w:rsid w:val="00076437"/>
    <w:rsid w:val="00077465"/>
    <w:rsid w:val="00080043"/>
    <w:rsid w:val="0008070F"/>
    <w:rsid w:val="00081716"/>
    <w:rsid w:val="00083B4B"/>
    <w:rsid w:val="00083B59"/>
    <w:rsid w:val="00085ADC"/>
    <w:rsid w:val="000867DB"/>
    <w:rsid w:val="00086C98"/>
    <w:rsid w:val="00087E56"/>
    <w:rsid w:val="00091D2D"/>
    <w:rsid w:val="000924B0"/>
    <w:rsid w:val="00092656"/>
    <w:rsid w:val="00092C74"/>
    <w:rsid w:val="000938DA"/>
    <w:rsid w:val="00096287"/>
    <w:rsid w:val="00096663"/>
    <w:rsid w:val="00096B0B"/>
    <w:rsid w:val="00096E7C"/>
    <w:rsid w:val="0009757D"/>
    <w:rsid w:val="000A0E77"/>
    <w:rsid w:val="000A20E0"/>
    <w:rsid w:val="000A2B8A"/>
    <w:rsid w:val="000A3D55"/>
    <w:rsid w:val="000A464C"/>
    <w:rsid w:val="000A4F46"/>
    <w:rsid w:val="000A6AF1"/>
    <w:rsid w:val="000A6BD6"/>
    <w:rsid w:val="000A7021"/>
    <w:rsid w:val="000B0D79"/>
    <w:rsid w:val="000B21E2"/>
    <w:rsid w:val="000B2A91"/>
    <w:rsid w:val="000B2FEB"/>
    <w:rsid w:val="000B32E4"/>
    <w:rsid w:val="000B4FF7"/>
    <w:rsid w:val="000B62D9"/>
    <w:rsid w:val="000B6705"/>
    <w:rsid w:val="000B6F1D"/>
    <w:rsid w:val="000B74BC"/>
    <w:rsid w:val="000C0994"/>
    <w:rsid w:val="000C3A59"/>
    <w:rsid w:val="000C5C3D"/>
    <w:rsid w:val="000C6488"/>
    <w:rsid w:val="000C68A3"/>
    <w:rsid w:val="000C6F32"/>
    <w:rsid w:val="000C6F4E"/>
    <w:rsid w:val="000D1753"/>
    <w:rsid w:val="000D204C"/>
    <w:rsid w:val="000D2177"/>
    <w:rsid w:val="000D2AD4"/>
    <w:rsid w:val="000D2D92"/>
    <w:rsid w:val="000D44F6"/>
    <w:rsid w:val="000D4B00"/>
    <w:rsid w:val="000D4B4F"/>
    <w:rsid w:val="000D6608"/>
    <w:rsid w:val="000E0207"/>
    <w:rsid w:val="000E02CC"/>
    <w:rsid w:val="000E2365"/>
    <w:rsid w:val="000E2EFA"/>
    <w:rsid w:val="000E3A4E"/>
    <w:rsid w:val="000E400C"/>
    <w:rsid w:val="000E6383"/>
    <w:rsid w:val="000F03EC"/>
    <w:rsid w:val="000F1E09"/>
    <w:rsid w:val="000F2903"/>
    <w:rsid w:val="000F2A04"/>
    <w:rsid w:val="000F37A4"/>
    <w:rsid w:val="000F3B77"/>
    <w:rsid w:val="000F3F14"/>
    <w:rsid w:val="000F6613"/>
    <w:rsid w:val="00101BCC"/>
    <w:rsid w:val="0010263E"/>
    <w:rsid w:val="00103D7A"/>
    <w:rsid w:val="00104493"/>
    <w:rsid w:val="00105481"/>
    <w:rsid w:val="0010569E"/>
    <w:rsid w:val="00105D66"/>
    <w:rsid w:val="00107708"/>
    <w:rsid w:val="00111506"/>
    <w:rsid w:val="00111E1E"/>
    <w:rsid w:val="001123BD"/>
    <w:rsid w:val="00112896"/>
    <w:rsid w:val="00112A59"/>
    <w:rsid w:val="00112DEC"/>
    <w:rsid w:val="001144A9"/>
    <w:rsid w:val="00114B09"/>
    <w:rsid w:val="00117002"/>
    <w:rsid w:val="001173BC"/>
    <w:rsid w:val="001201D0"/>
    <w:rsid w:val="001216AC"/>
    <w:rsid w:val="00123CAC"/>
    <w:rsid w:val="00124C2A"/>
    <w:rsid w:val="00127CC7"/>
    <w:rsid w:val="00130750"/>
    <w:rsid w:val="00133013"/>
    <w:rsid w:val="001336F0"/>
    <w:rsid w:val="001350D4"/>
    <w:rsid w:val="00135811"/>
    <w:rsid w:val="00135BDA"/>
    <w:rsid w:val="001377C0"/>
    <w:rsid w:val="001402F4"/>
    <w:rsid w:val="00140753"/>
    <w:rsid w:val="00142B95"/>
    <w:rsid w:val="0014357E"/>
    <w:rsid w:val="0014455D"/>
    <w:rsid w:val="00145BBE"/>
    <w:rsid w:val="00145CD2"/>
    <w:rsid w:val="00146B11"/>
    <w:rsid w:val="0014763D"/>
    <w:rsid w:val="00151A1B"/>
    <w:rsid w:val="00151C0B"/>
    <w:rsid w:val="00152751"/>
    <w:rsid w:val="00152B26"/>
    <w:rsid w:val="00154049"/>
    <w:rsid w:val="00154BCF"/>
    <w:rsid w:val="00155070"/>
    <w:rsid w:val="00155A46"/>
    <w:rsid w:val="001564AA"/>
    <w:rsid w:val="0015654B"/>
    <w:rsid w:val="0015655F"/>
    <w:rsid w:val="0015662F"/>
    <w:rsid w:val="00160897"/>
    <w:rsid w:val="00162DAA"/>
    <w:rsid w:val="001630BE"/>
    <w:rsid w:val="001630DE"/>
    <w:rsid w:val="00165A1F"/>
    <w:rsid w:val="00165C9A"/>
    <w:rsid w:val="00166AC2"/>
    <w:rsid w:val="00167B4E"/>
    <w:rsid w:val="00167E4F"/>
    <w:rsid w:val="00172CF3"/>
    <w:rsid w:val="00173513"/>
    <w:rsid w:val="00173E4A"/>
    <w:rsid w:val="00174CA4"/>
    <w:rsid w:val="001802F8"/>
    <w:rsid w:val="00180ED6"/>
    <w:rsid w:val="0018186A"/>
    <w:rsid w:val="00184821"/>
    <w:rsid w:val="00184AD5"/>
    <w:rsid w:val="00184D0F"/>
    <w:rsid w:val="00185322"/>
    <w:rsid w:val="001900D4"/>
    <w:rsid w:val="0019019A"/>
    <w:rsid w:val="00190476"/>
    <w:rsid w:val="001917A0"/>
    <w:rsid w:val="00192899"/>
    <w:rsid w:val="0019404A"/>
    <w:rsid w:val="00194EFB"/>
    <w:rsid w:val="00195240"/>
    <w:rsid w:val="001972F4"/>
    <w:rsid w:val="0019734C"/>
    <w:rsid w:val="001A09CD"/>
    <w:rsid w:val="001A324B"/>
    <w:rsid w:val="001A3FF1"/>
    <w:rsid w:val="001A463C"/>
    <w:rsid w:val="001A4833"/>
    <w:rsid w:val="001A501B"/>
    <w:rsid w:val="001A6E10"/>
    <w:rsid w:val="001B0A50"/>
    <w:rsid w:val="001B12F7"/>
    <w:rsid w:val="001B24A8"/>
    <w:rsid w:val="001B2CA1"/>
    <w:rsid w:val="001B55B7"/>
    <w:rsid w:val="001B5886"/>
    <w:rsid w:val="001B6C42"/>
    <w:rsid w:val="001B7805"/>
    <w:rsid w:val="001C1243"/>
    <w:rsid w:val="001C3A02"/>
    <w:rsid w:val="001C7DE3"/>
    <w:rsid w:val="001D06F5"/>
    <w:rsid w:val="001D2739"/>
    <w:rsid w:val="001D2BDE"/>
    <w:rsid w:val="001D3B7D"/>
    <w:rsid w:val="001D463E"/>
    <w:rsid w:val="001D523C"/>
    <w:rsid w:val="001D5D08"/>
    <w:rsid w:val="001D7034"/>
    <w:rsid w:val="001E1007"/>
    <w:rsid w:val="001E1C6D"/>
    <w:rsid w:val="001E210F"/>
    <w:rsid w:val="001E3D7F"/>
    <w:rsid w:val="001E43C2"/>
    <w:rsid w:val="001E6340"/>
    <w:rsid w:val="001E6BE8"/>
    <w:rsid w:val="001E71B5"/>
    <w:rsid w:val="001F083C"/>
    <w:rsid w:val="001F2A47"/>
    <w:rsid w:val="001F2D5A"/>
    <w:rsid w:val="001F40E1"/>
    <w:rsid w:val="001F4D2D"/>
    <w:rsid w:val="001F5413"/>
    <w:rsid w:val="001F578E"/>
    <w:rsid w:val="001F6E46"/>
    <w:rsid w:val="001F7185"/>
    <w:rsid w:val="00201530"/>
    <w:rsid w:val="002020DD"/>
    <w:rsid w:val="00202ACD"/>
    <w:rsid w:val="00203BC8"/>
    <w:rsid w:val="00203CA9"/>
    <w:rsid w:val="0020560D"/>
    <w:rsid w:val="00207332"/>
    <w:rsid w:val="00207848"/>
    <w:rsid w:val="00207D7E"/>
    <w:rsid w:val="00210483"/>
    <w:rsid w:val="002114E2"/>
    <w:rsid w:val="00213310"/>
    <w:rsid w:val="0021472D"/>
    <w:rsid w:val="00214EC8"/>
    <w:rsid w:val="00214F7D"/>
    <w:rsid w:val="0021535A"/>
    <w:rsid w:val="00215CEA"/>
    <w:rsid w:val="00215E97"/>
    <w:rsid w:val="00216BD5"/>
    <w:rsid w:val="00216E2F"/>
    <w:rsid w:val="0022252E"/>
    <w:rsid w:val="002232AA"/>
    <w:rsid w:val="0022395C"/>
    <w:rsid w:val="0022395E"/>
    <w:rsid w:val="00225339"/>
    <w:rsid w:val="00226EC6"/>
    <w:rsid w:val="0022709F"/>
    <w:rsid w:val="00230257"/>
    <w:rsid w:val="002314BD"/>
    <w:rsid w:val="00233587"/>
    <w:rsid w:val="002338A9"/>
    <w:rsid w:val="00235159"/>
    <w:rsid w:val="002379C4"/>
    <w:rsid w:val="002434B4"/>
    <w:rsid w:val="002435D2"/>
    <w:rsid w:val="0024471A"/>
    <w:rsid w:val="002449BB"/>
    <w:rsid w:val="0024541C"/>
    <w:rsid w:val="00245ED1"/>
    <w:rsid w:val="00246162"/>
    <w:rsid w:val="002471C5"/>
    <w:rsid w:val="002477BE"/>
    <w:rsid w:val="0024782B"/>
    <w:rsid w:val="00247A59"/>
    <w:rsid w:val="002513FE"/>
    <w:rsid w:val="00252DDC"/>
    <w:rsid w:val="00252DEB"/>
    <w:rsid w:val="00254646"/>
    <w:rsid w:val="00256B89"/>
    <w:rsid w:val="00256F15"/>
    <w:rsid w:val="00257AFC"/>
    <w:rsid w:val="00262036"/>
    <w:rsid w:val="002640DE"/>
    <w:rsid w:val="00266CA7"/>
    <w:rsid w:val="00270862"/>
    <w:rsid w:val="00271286"/>
    <w:rsid w:val="002713A3"/>
    <w:rsid w:val="00271522"/>
    <w:rsid w:val="00271777"/>
    <w:rsid w:val="0027263F"/>
    <w:rsid w:val="00273B2F"/>
    <w:rsid w:val="00274D7E"/>
    <w:rsid w:val="0027622D"/>
    <w:rsid w:val="0027687A"/>
    <w:rsid w:val="00281309"/>
    <w:rsid w:val="0028157B"/>
    <w:rsid w:val="00281609"/>
    <w:rsid w:val="00281961"/>
    <w:rsid w:val="002833DA"/>
    <w:rsid w:val="0028343E"/>
    <w:rsid w:val="00284DC2"/>
    <w:rsid w:val="0028676D"/>
    <w:rsid w:val="00291C8C"/>
    <w:rsid w:val="00294752"/>
    <w:rsid w:val="00294CDE"/>
    <w:rsid w:val="002952A5"/>
    <w:rsid w:val="00295FA5"/>
    <w:rsid w:val="00297A5D"/>
    <w:rsid w:val="002A4090"/>
    <w:rsid w:val="002A4158"/>
    <w:rsid w:val="002A48F1"/>
    <w:rsid w:val="002A5B75"/>
    <w:rsid w:val="002B3BB6"/>
    <w:rsid w:val="002B3C4B"/>
    <w:rsid w:val="002B48D6"/>
    <w:rsid w:val="002B4DC1"/>
    <w:rsid w:val="002B51AD"/>
    <w:rsid w:val="002C08F6"/>
    <w:rsid w:val="002C143E"/>
    <w:rsid w:val="002C1ADF"/>
    <w:rsid w:val="002C3887"/>
    <w:rsid w:val="002C3BBB"/>
    <w:rsid w:val="002C401D"/>
    <w:rsid w:val="002C41D0"/>
    <w:rsid w:val="002C452D"/>
    <w:rsid w:val="002C4DC7"/>
    <w:rsid w:val="002D0AE2"/>
    <w:rsid w:val="002D2178"/>
    <w:rsid w:val="002D4088"/>
    <w:rsid w:val="002D43DF"/>
    <w:rsid w:val="002D526D"/>
    <w:rsid w:val="002E20DD"/>
    <w:rsid w:val="002E2883"/>
    <w:rsid w:val="002E2BF1"/>
    <w:rsid w:val="002E3DB1"/>
    <w:rsid w:val="002E3FDC"/>
    <w:rsid w:val="002E46D4"/>
    <w:rsid w:val="002E4D2C"/>
    <w:rsid w:val="002E6402"/>
    <w:rsid w:val="002E7BE4"/>
    <w:rsid w:val="002F1C70"/>
    <w:rsid w:val="002F1D75"/>
    <w:rsid w:val="002F3BD0"/>
    <w:rsid w:val="002F51C2"/>
    <w:rsid w:val="002F5E33"/>
    <w:rsid w:val="00300F8D"/>
    <w:rsid w:val="00303456"/>
    <w:rsid w:val="00303D3E"/>
    <w:rsid w:val="003046C4"/>
    <w:rsid w:val="0030518A"/>
    <w:rsid w:val="0030519C"/>
    <w:rsid w:val="00305F73"/>
    <w:rsid w:val="00310ABE"/>
    <w:rsid w:val="00311059"/>
    <w:rsid w:val="003111AD"/>
    <w:rsid w:val="00312C5E"/>
    <w:rsid w:val="00313806"/>
    <w:rsid w:val="00314DF4"/>
    <w:rsid w:val="00316261"/>
    <w:rsid w:val="003164A3"/>
    <w:rsid w:val="0031679C"/>
    <w:rsid w:val="00317153"/>
    <w:rsid w:val="0031716D"/>
    <w:rsid w:val="00317AEF"/>
    <w:rsid w:val="00321075"/>
    <w:rsid w:val="0032272B"/>
    <w:rsid w:val="00322B1C"/>
    <w:rsid w:val="003246ED"/>
    <w:rsid w:val="00324EE0"/>
    <w:rsid w:val="00326F8A"/>
    <w:rsid w:val="0033054A"/>
    <w:rsid w:val="003308E0"/>
    <w:rsid w:val="00330A1D"/>
    <w:rsid w:val="00330E5A"/>
    <w:rsid w:val="00331035"/>
    <w:rsid w:val="003314F4"/>
    <w:rsid w:val="00331E30"/>
    <w:rsid w:val="003322D6"/>
    <w:rsid w:val="003334DA"/>
    <w:rsid w:val="00333F1C"/>
    <w:rsid w:val="00341B0B"/>
    <w:rsid w:val="003420D8"/>
    <w:rsid w:val="0034395B"/>
    <w:rsid w:val="00343C0F"/>
    <w:rsid w:val="003446E3"/>
    <w:rsid w:val="00350B38"/>
    <w:rsid w:val="00351F0E"/>
    <w:rsid w:val="00352366"/>
    <w:rsid w:val="00352B25"/>
    <w:rsid w:val="00352F0A"/>
    <w:rsid w:val="00353AD7"/>
    <w:rsid w:val="00353FF0"/>
    <w:rsid w:val="00354AA1"/>
    <w:rsid w:val="0035542F"/>
    <w:rsid w:val="00357163"/>
    <w:rsid w:val="003574A3"/>
    <w:rsid w:val="00357F31"/>
    <w:rsid w:val="0036027D"/>
    <w:rsid w:val="00361270"/>
    <w:rsid w:val="003614A3"/>
    <w:rsid w:val="00361F23"/>
    <w:rsid w:val="00361FB3"/>
    <w:rsid w:val="00362CD4"/>
    <w:rsid w:val="00364429"/>
    <w:rsid w:val="0036585E"/>
    <w:rsid w:val="003662A6"/>
    <w:rsid w:val="0037057D"/>
    <w:rsid w:val="00371040"/>
    <w:rsid w:val="00371249"/>
    <w:rsid w:val="00372274"/>
    <w:rsid w:val="00372654"/>
    <w:rsid w:val="00372ED5"/>
    <w:rsid w:val="003731CC"/>
    <w:rsid w:val="00373EAE"/>
    <w:rsid w:val="00375805"/>
    <w:rsid w:val="00376410"/>
    <w:rsid w:val="00376607"/>
    <w:rsid w:val="00376E62"/>
    <w:rsid w:val="00377CFC"/>
    <w:rsid w:val="00377F5A"/>
    <w:rsid w:val="003805D8"/>
    <w:rsid w:val="00380C4B"/>
    <w:rsid w:val="00380C6E"/>
    <w:rsid w:val="003815BB"/>
    <w:rsid w:val="003836CA"/>
    <w:rsid w:val="003848D9"/>
    <w:rsid w:val="0038722E"/>
    <w:rsid w:val="00390078"/>
    <w:rsid w:val="00390D2F"/>
    <w:rsid w:val="00390F05"/>
    <w:rsid w:val="003940D8"/>
    <w:rsid w:val="0039426D"/>
    <w:rsid w:val="0039479C"/>
    <w:rsid w:val="00397007"/>
    <w:rsid w:val="00397CBD"/>
    <w:rsid w:val="003A04CE"/>
    <w:rsid w:val="003A0816"/>
    <w:rsid w:val="003A08A6"/>
    <w:rsid w:val="003A0C75"/>
    <w:rsid w:val="003A12B6"/>
    <w:rsid w:val="003A1A18"/>
    <w:rsid w:val="003A1DB6"/>
    <w:rsid w:val="003A36DC"/>
    <w:rsid w:val="003A3AEE"/>
    <w:rsid w:val="003A4A6F"/>
    <w:rsid w:val="003A50E3"/>
    <w:rsid w:val="003A5A9C"/>
    <w:rsid w:val="003A7A3E"/>
    <w:rsid w:val="003A7E2A"/>
    <w:rsid w:val="003B25DC"/>
    <w:rsid w:val="003B37E2"/>
    <w:rsid w:val="003B6320"/>
    <w:rsid w:val="003B6C69"/>
    <w:rsid w:val="003B7EC0"/>
    <w:rsid w:val="003C026E"/>
    <w:rsid w:val="003C1C6D"/>
    <w:rsid w:val="003C2ABD"/>
    <w:rsid w:val="003C2CEA"/>
    <w:rsid w:val="003C2D0C"/>
    <w:rsid w:val="003C301C"/>
    <w:rsid w:val="003C337E"/>
    <w:rsid w:val="003C3FD8"/>
    <w:rsid w:val="003C4978"/>
    <w:rsid w:val="003C54DA"/>
    <w:rsid w:val="003C5DBF"/>
    <w:rsid w:val="003C5E99"/>
    <w:rsid w:val="003C7AA8"/>
    <w:rsid w:val="003D1046"/>
    <w:rsid w:val="003D1AA9"/>
    <w:rsid w:val="003D2946"/>
    <w:rsid w:val="003D2B66"/>
    <w:rsid w:val="003D2E18"/>
    <w:rsid w:val="003D2E72"/>
    <w:rsid w:val="003D337C"/>
    <w:rsid w:val="003D3658"/>
    <w:rsid w:val="003D3EB9"/>
    <w:rsid w:val="003D5EAA"/>
    <w:rsid w:val="003D7A9F"/>
    <w:rsid w:val="003E0F2F"/>
    <w:rsid w:val="003E1C2A"/>
    <w:rsid w:val="003E3213"/>
    <w:rsid w:val="003E5530"/>
    <w:rsid w:val="003E63BB"/>
    <w:rsid w:val="003E663B"/>
    <w:rsid w:val="003F048A"/>
    <w:rsid w:val="003F1D0E"/>
    <w:rsid w:val="003F32C6"/>
    <w:rsid w:val="003F34CF"/>
    <w:rsid w:val="003F3E69"/>
    <w:rsid w:val="003F5F54"/>
    <w:rsid w:val="003F7F24"/>
    <w:rsid w:val="00403012"/>
    <w:rsid w:val="00403377"/>
    <w:rsid w:val="00405B75"/>
    <w:rsid w:val="004060A6"/>
    <w:rsid w:val="00410AF6"/>
    <w:rsid w:val="00410E0D"/>
    <w:rsid w:val="004120E7"/>
    <w:rsid w:val="004123AD"/>
    <w:rsid w:val="00413148"/>
    <w:rsid w:val="004145D9"/>
    <w:rsid w:val="00414659"/>
    <w:rsid w:val="004157BE"/>
    <w:rsid w:val="00415F1F"/>
    <w:rsid w:val="00424A0F"/>
    <w:rsid w:val="00426550"/>
    <w:rsid w:val="00427D80"/>
    <w:rsid w:val="00430641"/>
    <w:rsid w:val="00430F45"/>
    <w:rsid w:val="00431692"/>
    <w:rsid w:val="00431D36"/>
    <w:rsid w:val="0043333E"/>
    <w:rsid w:val="00436219"/>
    <w:rsid w:val="004365BB"/>
    <w:rsid w:val="00441A07"/>
    <w:rsid w:val="00441C99"/>
    <w:rsid w:val="00443562"/>
    <w:rsid w:val="0044462C"/>
    <w:rsid w:val="00445A36"/>
    <w:rsid w:val="00446C42"/>
    <w:rsid w:val="00447B45"/>
    <w:rsid w:val="004511A7"/>
    <w:rsid w:val="00451F0E"/>
    <w:rsid w:val="0045284A"/>
    <w:rsid w:val="00454369"/>
    <w:rsid w:val="004556B4"/>
    <w:rsid w:val="00457198"/>
    <w:rsid w:val="0045782B"/>
    <w:rsid w:val="00460BD0"/>
    <w:rsid w:val="0046296F"/>
    <w:rsid w:val="0046327D"/>
    <w:rsid w:val="00464EC8"/>
    <w:rsid w:val="0046592B"/>
    <w:rsid w:val="00466CF6"/>
    <w:rsid w:val="00467505"/>
    <w:rsid w:val="00470FE9"/>
    <w:rsid w:val="004722F1"/>
    <w:rsid w:val="004729B2"/>
    <w:rsid w:val="0047312C"/>
    <w:rsid w:val="00474275"/>
    <w:rsid w:val="00474479"/>
    <w:rsid w:val="0047501C"/>
    <w:rsid w:val="0047502D"/>
    <w:rsid w:val="00475C0A"/>
    <w:rsid w:val="004779BF"/>
    <w:rsid w:val="0048127A"/>
    <w:rsid w:val="004815AD"/>
    <w:rsid w:val="004815ED"/>
    <w:rsid w:val="00481D9D"/>
    <w:rsid w:val="00481F8F"/>
    <w:rsid w:val="00482581"/>
    <w:rsid w:val="00484300"/>
    <w:rsid w:val="0048598E"/>
    <w:rsid w:val="00486B3D"/>
    <w:rsid w:val="00487027"/>
    <w:rsid w:val="00492F10"/>
    <w:rsid w:val="00492F51"/>
    <w:rsid w:val="00494055"/>
    <w:rsid w:val="00496F1E"/>
    <w:rsid w:val="004A01C5"/>
    <w:rsid w:val="004A02FF"/>
    <w:rsid w:val="004A0C9C"/>
    <w:rsid w:val="004A10E0"/>
    <w:rsid w:val="004A210C"/>
    <w:rsid w:val="004A2998"/>
    <w:rsid w:val="004A34F0"/>
    <w:rsid w:val="004A3A41"/>
    <w:rsid w:val="004A3A4C"/>
    <w:rsid w:val="004A3FAD"/>
    <w:rsid w:val="004A4F38"/>
    <w:rsid w:val="004A53DC"/>
    <w:rsid w:val="004A55A0"/>
    <w:rsid w:val="004B1143"/>
    <w:rsid w:val="004B1C10"/>
    <w:rsid w:val="004B1E07"/>
    <w:rsid w:val="004B1EAB"/>
    <w:rsid w:val="004B27A4"/>
    <w:rsid w:val="004B40B6"/>
    <w:rsid w:val="004B5DAB"/>
    <w:rsid w:val="004B7359"/>
    <w:rsid w:val="004C1187"/>
    <w:rsid w:val="004C165D"/>
    <w:rsid w:val="004C2ADB"/>
    <w:rsid w:val="004C4721"/>
    <w:rsid w:val="004C4FA0"/>
    <w:rsid w:val="004C5619"/>
    <w:rsid w:val="004C6232"/>
    <w:rsid w:val="004C6339"/>
    <w:rsid w:val="004C663F"/>
    <w:rsid w:val="004C66E7"/>
    <w:rsid w:val="004C702A"/>
    <w:rsid w:val="004D043D"/>
    <w:rsid w:val="004D0F18"/>
    <w:rsid w:val="004D17A0"/>
    <w:rsid w:val="004D1A6B"/>
    <w:rsid w:val="004D1BD0"/>
    <w:rsid w:val="004D1FBD"/>
    <w:rsid w:val="004D288F"/>
    <w:rsid w:val="004D457E"/>
    <w:rsid w:val="004D4DAE"/>
    <w:rsid w:val="004D5B83"/>
    <w:rsid w:val="004D5D6A"/>
    <w:rsid w:val="004D5FAD"/>
    <w:rsid w:val="004D6232"/>
    <w:rsid w:val="004D65D2"/>
    <w:rsid w:val="004D70A1"/>
    <w:rsid w:val="004D7AD0"/>
    <w:rsid w:val="004D7B7A"/>
    <w:rsid w:val="004D7CBF"/>
    <w:rsid w:val="004E0604"/>
    <w:rsid w:val="004E1147"/>
    <w:rsid w:val="004E2122"/>
    <w:rsid w:val="004E374A"/>
    <w:rsid w:val="004E379E"/>
    <w:rsid w:val="004E57B6"/>
    <w:rsid w:val="004E7A13"/>
    <w:rsid w:val="004E7AC3"/>
    <w:rsid w:val="004E7FBF"/>
    <w:rsid w:val="004F00CD"/>
    <w:rsid w:val="004F2876"/>
    <w:rsid w:val="004F2CA3"/>
    <w:rsid w:val="004F2FAE"/>
    <w:rsid w:val="004F3830"/>
    <w:rsid w:val="004F49E1"/>
    <w:rsid w:val="004F4DDE"/>
    <w:rsid w:val="004F5530"/>
    <w:rsid w:val="00500178"/>
    <w:rsid w:val="00501FCF"/>
    <w:rsid w:val="00502092"/>
    <w:rsid w:val="005020A9"/>
    <w:rsid w:val="005023B1"/>
    <w:rsid w:val="00503B6E"/>
    <w:rsid w:val="005049D3"/>
    <w:rsid w:val="00505E8F"/>
    <w:rsid w:val="00507118"/>
    <w:rsid w:val="00507BF1"/>
    <w:rsid w:val="00510E79"/>
    <w:rsid w:val="005113B6"/>
    <w:rsid w:val="00513E10"/>
    <w:rsid w:val="00514F13"/>
    <w:rsid w:val="00515666"/>
    <w:rsid w:val="005157DD"/>
    <w:rsid w:val="005162F2"/>
    <w:rsid w:val="0052067C"/>
    <w:rsid w:val="00520932"/>
    <w:rsid w:val="005221A9"/>
    <w:rsid w:val="00523751"/>
    <w:rsid w:val="00525982"/>
    <w:rsid w:val="00526012"/>
    <w:rsid w:val="00526192"/>
    <w:rsid w:val="00527650"/>
    <w:rsid w:val="00531B6A"/>
    <w:rsid w:val="0053441A"/>
    <w:rsid w:val="005352B0"/>
    <w:rsid w:val="0053605F"/>
    <w:rsid w:val="005362D9"/>
    <w:rsid w:val="00536469"/>
    <w:rsid w:val="00536E7A"/>
    <w:rsid w:val="00537BE8"/>
    <w:rsid w:val="0054058E"/>
    <w:rsid w:val="00540787"/>
    <w:rsid w:val="00541092"/>
    <w:rsid w:val="00542DF1"/>
    <w:rsid w:val="0054386F"/>
    <w:rsid w:val="0054422B"/>
    <w:rsid w:val="005444A0"/>
    <w:rsid w:val="0054470C"/>
    <w:rsid w:val="00545C3D"/>
    <w:rsid w:val="00546630"/>
    <w:rsid w:val="005468F0"/>
    <w:rsid w:val="00546F8C"/>
    <w:rsid w:val="005479E3"/>
    <w:rsid w:val="00547EF8"/>
    <w:rsid w:val="00550016"/>
    <w:rsid w:val="00550A83"/>
    <w:rsid w:val="00550E72"/>
    <w:rsid w:val="0055283E"/>
    <w:rsid w:val="0055327D"/>
    <w:rsid w:val="00553F7F"/>
    <w:rsid w:val="00554EB1"/>
    <w:rsid w:val="005556E6"/>
    <w:rsid w:val="005576F9"/>
    <w:rsid w:val="005606C0"/>
    <w:rsid w:val="00561601"/>
    <w:rsid w:val="00561848"/>
    <w:rsid w:val="00561DBA"/>
    <w:rsid w:val="00563C0F"/>
    <w:rsid w:val="00564893"/>
    <w:rsid w:val="00565091"/>
    <w:rsid w:val="0056612F"/>
    <w:rsid w:val="005713CD"/>
    <w:rsid w:val="005731A0"/>
    <w:rsid w:val="0057437A"/>
    <w:rsid w:val="00574547"/>
    <w:rsid w:val="00574731"/>
    <w:rsid w:val="0057475B"/>
    <w:rsid w:val="00574BF3"/>
    <w:rsid w:val="00575194"/>
    <w:rsid w:val="00575698"/>
    <w:rsid w:val="00576571"/>
    <w:rsid w:val="00577518"/>
    <w:rsid w:val="00577D1A"/>
    <w:rsid w:val="00582573"/>
    <w:rsid w:val="00582A3B"/>
    <w:rsid w:val="00584EF0"/>
    <w:rsid w:val="00585012"/>
    <w:rsid w:val="00585C67"/>
    <w:rsid w:val="00586B7F"/>
    <w:rsid w:val="00586BB3"/>
    <w:rsid w:val="005870EF"/>
    <w:rsid w:val="0058734D"/>
    <w:rsid w:val="00590969"/>
    <w:rsid w:val="005917A8"/>
    <w:rsid w:val="00591F68"/>
    <w:rsid w:val="00592186"/>
    <w:rsid w:val="005942A2"/>
    <w:rsid w:val="0059459B"/>
    <w:rsid w:val="005974BD"/>
    <w:rsid w:val="00597F0C"/>
    <w:rsid w:val="005A0376"/>
    <w:rsid w:val="005A0DA5"/>
    <w:rsid w:val="005A6D51"/>
    <w:rsid w:val="005B12A5"/>
    <w:rsid w:val="005B35B4"/>
    <w:rsid w:val="005B40BB"/>
    <w:rsid w:val="005B601E"/>
    <w:rsid w:val="005B6268"/>
    <w:rsid w:val="005B7343"/>
    <w:rsid w:val="005C04B8"/>
    <w:rsid w:val="005C0F13"/>
    <w:rsid w:val="005C0F1E"/>
    <w:rsid w:val="005C1627"/>
    <w:rsid w:val="005C3350"/>
    <w:rsid w:val="005C6654"/>
    <w:rsid w:val="005C6744"/>
    <w:rsid w:val="005D0BE8"/>
    <w:rsid w:val="005D216B"/>
    <w:rsid w:val="005D25C3"/>
    <w:rsid w:val="005D5526"/>
    <w:rsid w:val="005D5D30"/>
    <w:rsid w:val="005D5ED1"/>
    <w:rsid w:val="005D5EEA"/>
    <w:rsid w:val="005D6C39"/>
    <w:rsid w:val="005D745A"/>
    <w:rsid w:val="005E047B"/>
    <w:rsid w:val="005E14DB"/>
    <w:rsid w:val="005E1FAC"/>
    <w:rsid w:val="005E51FF"/>
    <w:rsid w:val="005E5520"/>
    <w:rsid w:val="005E5B02"/>
    <w:rsid w:val="005E63C3"/>
    <w:rsid w:val="005E727E"/>
    <w:rsid w:val="005F0126"/>
    <w:rsid w:val="005F1D51"/>
    <w:rsid w:val="005F412A"/>
    <w:rsid w:val="005F614B"/>
    <w:rsid w:val="00600259"/>
    <w:rsid w:val="00603FB1"/>
    <w:rsid w:val="006048C5"/>
    <w:rsid w:val="00605075"/>
    <w:rsid w:val="00605212"/>
    <w:rsid w:val="00606ADB"/>
    <w:rsid w:val="00606D8B"/>
    <w:rsid w:val="00610B8F"/>
    <w:rsid w:val="00611982"/>
    <w:rsid w:val="006123E1"/>
    <w:rsid w:val="0061248D"/>
    <w:rsid w:val="0061284D"/>
    <w:rsid w:val="00616985"/>
    <w:rsid w:val="006173DA"/>
    <w:rsid w:val="00620EC1"/>
    <w:rsid w:val="00622FA4"/>
    <w:rsid w:val="006233D5"/>
    <w:rsid w:val="006235C1"/>
    <w:rsid w:val="00623D02"/>
    <w:rsid w:val="00625882"/>
    <w:rsid w:val="00625C63"/>
    <w:rsid w:val="0063137C"/>
    <w:rsid w:val="006316A9"/>
    <w:rsid w:val="0063170F"/>
    <w:rsid w:val="00631E86"/>
    <w:rsid w:val="006326B8"/>
    <w:rsid w:val="006328A8"/>
    <w:rsid w:val="006344F2"/>
    <w:rsid w:val="00634FC3"/>
    <w:rsid w:val="006376CC"/>
    <w:rsid w:val="00637953"/>
    <w:rsid w:val="0064012F"/>
    <w:rsid w:val="00641603"/>
    <w:rsid w:val="00643399"/>
    <w:rsid w:val="00643891"/>
    <w:rsid w:val="00643AF2"/>
    <w:rsid w:val="00643CDD"/>
    <w:rsid w:val="0064493B"/>
    <w:rsid w:val="00644DAB"/>
    <w:rsid w:val="006456CB"/>
    <w:rsid w:val="00645916"/>
    <w:rsid w:val="00645FE6"/>
    <w:rsid w:val="00646EA4"/>
    <w:rsid w:val="006521B5"/>
    <w:rsid w:val="00652EE9"/>
    <w:rsid w:val="00654704"/>
    <w:rsid w:val="00654FF9"/>
    <w:rsid w:val="00655645"/>
    <w:rsid w:val="006557B6"/>
    <w:rsid w:val="00655D98"/>
    <w:rsid w:val="006564D3"/>
    <w:rsid w:val="00656849"/>
    <w:rsid w:val="00656AEE"/>
    <w:rsid w:val="00656FB1"/>
    <w:rsid w:val="0066027D"/>
    <w:rsid w:val="0066205A"/>
    <w:rsid w:val="00664076"/>
    <w:rsid w:val="0066469B"/>
    <w:rsid w:val="00665DC9"/>
    <w:rsid w:val="00666576"/>
    <w:rsid w:val="00666987"/>
    <w:rsid w:val="00667A56"/>
    <w:rsid w:val="006703B3"/>
    <w:rsid w:val="00670A02"/>
    <w:rsid w:val="006711C5"/>
    <w:rsid w:val="0067158D"/>
    <w:rsid w:val="00671EC4"/>
    <w:rsid w:val="0067304D"/>
    <w:rsid w:val="00673E17"/>
    <w:rsid w:val="006755B6"/>
    <w:rsid w:val="00675C7A"/>
    <w:rsid w:val="00675E22"/>
    <w:rsid w:val="00676D15"/>
    <w:rsid w:val="00676E50"/>
    <w:rsid w:val="00677BC9"/>
    <w:rsid w:val="006804E7"/>
    <w:rsid w:val="00680B28"/>
    <w:rsid w:val="00680F60"/>
    <w:rsid w:val="0068278B"/>
    <w:rsid w:val="00682957"/>
    <w:rsid w:val="00682F13"/>
    <w:rsid w:val="00684463"/>
    <w:rsid w:val="00686037"/>
    <w:rsid w:val="00686999"/>
    <w:rsid w:val="00687C4B"/>
    <w:rsid w:val="00687FDF"/>
    <w:rsid w:val="00691733"/>
    <w:rsid w:val="00692088"/>
    <w:rsid w:val="006954A7"/>
    <w:rsid w:val="00696B35"/>
    <w:rsid w:val="00696FFC"/>
    <w:rsid w:val="006970EE"/>
    <w:rsid w:val="006A0D0D"/>
    <w:rsid w:val="006A1E30"/>
    <w:rsid w:val="006A3EE5"/>
    <w:rsid w:val="006A4E40"/>
    <w:rsid w:val="006A5149"/>
    <w:rsid w:val="006A6D0C"/>
    <w:rsid w:val="006B0133"/>
    <w:rsid w:val="006B0DD1"/>
    <w:rsid w:val="006B13A6"/>
    <w:rsid w:val="006B1D44"/>
    <w:rsid w:val="006B1F7B"/>
    <w:rsid w:val="006B2357"/>
    <w:rsid w:val="006B2C0B"/>
    <w:rsid w:val="006B2DFD"/>
    <w:rsid w:val="006B4A02"/>
    <w:rsid w:val="006B5A2F"/>
    <w:rsid w:val="006B5D5E"/>
    <w:rsid w:val="006C007A"/>
    <w:rsid w:val="006C16D6"/>
    <w:rsid w:val="006C1F4A"/>
    <w:rsid w:val="006C2FB9"/>
    <w:rsid w:val="006C4C25"/>
    <w:rsid w:val="006C5AF3"/>
    <w:rsid w:val="006C619A"/>
    <w:rsid w:val="006C7204"/>
    <w:rsid w:val="006C721A"/>
    <w:rsid w:val="006C7D00"/>
    <w:rsid w:val="006D1133"/>
    <w:rsid w:val="006D115E"/>
    <w:rsid w:val="006D228B"/>
    <w:rsid w:val="006D255F"/>
    <w:rsid w:val="006D2870"/>
    <w:rsid w:val="006D2D76"/>
    <w:rsid w:val="006D3AA3"/>
    <w:rsid w:val="006D4CC5"/>
    <w:rsid w:val="006D5318"/>
    <w:rsid w:val="006D5A52"/>
    <w:rsid w:val="006D5D38"/>
    <w:rsid w:val="006D71B2"/>
    <w:rsid w:val="006E0210"/>
    <w:rsid w:val="006E04D6"/>
    <w:rsid w:val="006E1480"/>
    <w:rsid w:val="006E1A64"/>
    <w:rsid w:val="006E220F"/>
    <w:rsid w:val="006E3642"/>
    <w:rsid w:val="006E5162"/>
    <w:rsid w:val="006E5A4E"/>
    <w:rsid w:val="006E5AC8"/>
    <w:rsid w:val="006E6EE3"/>
    <w:rsid w:val="006E7B83"/>
    <w:rsid w:val="006F0238"/>
    <w:rsid w:val="006F0E26"/>
    <w:rsid w:val="006F0FB2"/>
    <w:rsid w:val="006F118D"/>
    <w:rsid w:val="006F153B"/>
    <w:rsid w:val="006F3931"/>
    <w:rsid w:val="006F4198"/>
    <w:rsid w:val="006F42D6"/>
    <w:rsid w:val="006F4BB0"/>
    <w:rsid w:val="006F6022"/>
    <w:rsid w:val="006F62F2"/>
    <w:rsid w:val="006F6724"/>
    <w:rsid w:val="006F6EEB"/>
    <w:rsid w:val="006F73D6"/>
    <w:rsid w:val="006F78DC"/>
    <w:rsid w:val="00700074"/>
    <w:rsid w:val="0070074B"/>
    <w:rsid w:val="00700AD7"/>
    <w:rsid w:val="007017DD"/>
    <w:rsid w:val="00701D51"/>
    <w:rsid w:val="00701F90"/>
    <w:rsid w:val="0070479D"/>
    <w:rsid w:val="00705605"/>
    <w:rsid w:val="00706A2A"/>
    <w:rsid w:val="00706D1C"/>
    <w:rsid w:val="007077B2"/>
    <w:rsid w:val="007100EA"/>
    <w:rsid w:val="00710417"/>
    <w:rsid w:val="007110A2"/>
    <w:rsid w:val="00712525"/>
    <w:rsid w:val="00712BD3"/>
    <w:rsid w:val="007138AA"/>
    <w:rsid w:val="00713FC4"/>
    <w:rsid w:val="00715D39"/>
    <w:rsid w:val="00715D8C"/>
    <w:rsid w:val="0071652C"/>
    <w:rsid w:val="0072137B"/>
    <w:rsid w:val="00722EB9"/>
    <w:rsid w:val="0072322C"/>
    <w:rsid w:val="00724730"/>
    <w:rsid w:val="007247BA"/>
    <w:rsid w:val="00725999"/>
    <w:rsid w:val="0072737C"/>
    <w:rsid w:val="00733437"/>
    <w:rsid w:val="00736B36"/>
    <w:rsid w:val="00740A36"/>
    <w:rsid w:val="00744459"/>
    <w:rsid w:val="007448ED"/>
    <w:rsid w:val="00745934"/>
    <w:rsid w:val="007461DE"/>
    <w:rsid w:val="00747E7D"/>
    <w:rsid w:val="00750719"/>
    <w:rsid w:val="007508C2"/>
    <w:rsid w:val="00750AF1"/>
    <w:rsid w:val="00752DC5"/>
    <w:rsid w:val="0075337E"/>
    <w:rsid w:val="00753830"/>
    <w:rsid w:val="00754A1C"/>
    <w:rsid w:val="00754E16"/>
    <w:rsid w:val="0075555B"/>
    <w:rsid w:val="007558CE"/>
    <w:rsid w:val="00755EF0"/>
    <w:rsid w:val="00761AA7"/>
    <w:rsid w:val="00763AFA"/>
    <w:rsid w:val="00764650"/>
    <w:rsid w:val="00765753"/>
    <w:rsid w:val="00765B1D"/>
    <w:rsid w:val="007702FD"/>
    <w:rsid w:val="00770935"/>
    <w:rsid w:val="00771CEF"/>
    <w:rsid w:val="00771E1A"/>
    <w:rsid w:val="00772EEE"/>
    <w:rsid w:val="007735BE"/>
    <w:rsid w:val="00773B3E"/>
    <w:rsid w:val="007746AF"/>
    <w:rsid w:val="0077499D"/>
    <w:rsid w:val="00775A3C"/>
    <w:rsid w:val="00777AD9"/>
    <w:rsid w:val="00777C0F"/>
    <w:rsid w:val="00777E51"/>
    <w:rsid w:val="00781EFF"/>
    <w:rsid w:val="00783F11"/>
    <w:rsid w:val="0078593A"/>
    <w:rsid w:val="0078686C"/>
    <w:rsid w:val="00786E16"/>
    <w:rsid w:val="007872CF"/>
    <w:rsid w:val="007911DF"/>
    <w:rsid w:val="00791EC6"/>
    <w:rsid w:val="00792230"/>
    <w:rsid w:val="00795285"/>
    <w:rsid w:val="0079603A"/>
    <w:rsid w:val="00796AA6"/>
    <w:rsid w:val="00797EE6"/>
    <w:rsid w:val="007A2B08"/>
    <w:rsid w:val="007A4AD4"/>
    <w:rsid w:val="007A502F"/>
    <w:rsid w:val="007A53AC"/>
    <w:rsid w:val="007A6536"/>
    <w:rsid w:val="007A6CCF"/>
    <w:rsid w:val="007A70B0"/>
    <w:rsid w:val="007A7463"/>
    <w:rsid w:val="007A76D3"/>
    <w:rsid w:val="007B0BC4"/>
    <w:rsid w:val="007B1FB6"/>
    <w:rsid w:val="007B2A76"/>
    <w:rsid w:val="007B35A4"/>
    <w:rsid w:val="007C0CE2"/>
    <w:rsid w:val="007C173A"/>
    <w:rsid w:val="007C20DD"/>
    <w:rsid w:val="007C3092"/>
    <w:rsid w:val="007C3C01"/>
    <w:rsid w:val="007C4C43"/>
    <w:rsid w:val="007C5DC7"/>
    <w:rsid w:val="007C6F79"/>
    <w:rsid w:val="007C7358"/>
    <w:rsid w:val="007D06D5"/>
    <w:rsid w:val="007D079E"/>
    <w:rsid w:val="007D2104"/>
    <w:rsid w:val="007D417B"/>
    <w:rsid w:val="007D4BB0"/>
    <w:rsid w:val="007D607E"/>
    <w:rsid w:val="007D6922"/>
    <w:rsid w:val="007E1167"/>
    <w:rsid w:val="007E15BD"/>
    <w:rsid w:val="007E2778"/>
    <w:rsid w:val="007E2919"/>
    <w:rsid w:val="007E40A8"/>
    <w:rsid w:val="007E619E"/>
    <w:rsid w:val="007E6AC3"/>
    <w:rsid w:val="007E6DB6"/>
    <w:rsid w:val="007F1DE6"/>
    <w:rsid w:val="007F23F6"/>
    <w:rsid w:val="007F39FA"/>
    <w:rsid w:val="007F3E00"/>
    <w:rsid w:val="00800300"/>
    <w:rsid w:val="00800645"/>
    <w:rsid w:val="0080167F"/>
    <w:rsid w:val="00805D69"/>
    <w:rsid w:val="008064E9"/>
    <w:rsid w:val="008101C8"/>
    <w:rsid w:val="00811D70"/>
    <w:rsid w:val="00812D38"/>
    <w:rsid w:val="008156F6"/>
    <w:rsid w:val="00817E83"/>
    <w:rsid w:val="00820416"/>
    <w:rsid w:val="00821749"/>
    <w:rsid w:val="00821B4C"/>
    <w:rsid w:val="00821EA6"/>
    <w:rsid w:val="00823187"/>
    <w:rsid w:val="008231C7"/>
    <w:rsid w:val="008263A0"/>
    <w:rsid w:val="00826C52"/>
    <w:rsid w:val="008271D9"/>
    <w:rsid w:val="00827B6D"/>
    <w:rsid w:val="00827D71"/>
    <w:rsid w:val="00830141"/>
    <w:rsid w:val="008307B5"/>
    <w:rsid w:val="00832123"/>
    <w:rsid w:val="0083254B"/>
    <w:rsid w:val="008343F7"/>
    <w:rsid w:val="00834E82"/>
    <w:rsid w:val="0083629D"/>
    <w:rsid w:val="00836632"/>
    <w:rsid w:val="00840043"/>
    <w:rsid w:val="00840E41"/>
    <w:rsid w:val="0084133E"/>
    <w:rsid w:val="008419FF"/>
    <w:rsid w:val="00843FE5"/>
    <w:rsid w:val="00844117"/>
    <w:rsid w:val="0084443F"/>
    <w:rsid w:val="00844F3E"/>
    <w:rsid w:val="008463E5"/>
    <w:rsid w:val="00850DC0"/>
    <w:rsid w:val="00852504"/>
    <w:rsid w:val="00852A2F"/>
    <w:rsid w:val="0085449D"/>
    <w:rsid w:val="00855357"/>
    <w:rsid w:val="008579B8"/>
    <w:rsid w:val="008608DC"/>
    <w:rsid w:val="00860F99"/>
    <w:rsid w:val="0086134C"/>
    <w:rsid w:val="008614B2"/>
    <w:rsid w:val="0086167B"/>
    <w:rsid w:val="00861A20"/>
    <w:rsid w:val="00861B0A"/>
    <w:rsid w:val="0086279E"/>
    <w:rsid w:val="00862808"/>
    <w:rsid w:val="00863374"/>
    <w:rsid w:val="00866321"/>
    <w:rsid w:val="00866960"/>
    <w:rsid w:val="00867C52"/>
    <w:rsid w:val="0087066B"/>
    <w:rsid w:val="00870DF1"/>
    <w:rsid w:val="0087135F"/>
    <w:rsid w:val="00871D7F"/>
    <w:rsid w:val="00873096"/>
    <w:rsid w:val="00874510"/>
    <w:rsid w:val="008750AA"/>
    <w:rsid w:val="00881312"/>
    <w:rsid w:val="008825A9"/>
    <w:rsid w:val="00882EF2"/>
    <w:rsid w:val="00883908"/>
    <w:rsid w:val="00886585"/>
    <w:rsid w:val="008901CA"/>
    <w:rsid w:val="00890F66"/>
    <w:rsid w:val="0089101F"/>
    <w:rsid w:val="0089115E"/>
    <w:rsid w:val="00891610"/>
    <w:rsid w:val="00891A64"/>
    <w:rsid w:val="00893666"/>
    <w:rsid w:val="00893E41"/>
    <w:rsid w:val="008940F1"/>
    <w:rsid w:val="00894A42"/>
    <w:rsid w:val="00894FDF"/>
    <w:rsid w:val="008955D8"/>
    <w:rsid w:val="00895C23"/>
    <w:rsid w:val="00897F6F"/>
    <w:rsid w:val="008A0A13"/>
    <w:rsid w:val="008A0AEB"/>
    <w:rsid w:val="008A1BC8"/>
    <w:rsid w:val="008A522C"/>
    <w:rsid w:val="008A52A1"/>
    <w:rsid w:val="008A5A13"/>
    <w:rsid w:val="008A5BB9"/>
    <w:rsid w:val="008A64D8"/>
    <w:rsid w:val="008A6932"/>
    <w:rsid w:val="008A7EEF"/>
    <w:rsid w:val="008B17CD"/>
    <w:rsid w:val="008B2912"/>
    <w:rsid w:val="008B3914"/>
    <w:rsid w:val="008B39F2"/>
    <w:rsid w:val="008B3ED0"/>
    <w:rsid w:val="008B4FA3"/>
    <w:rsid w:val="008C06BE"/>
    <w:rsid w:val="008C12FA"/>
    <w:rsid w:val="008C15F3"/>
    <w:rsid w:val="008C27E5"/>
    <w:rsid w:val="008C3A0D"/>
    <w:rsid w:val="008C3DF8"/>
    <w:rsid w:val="008C3EF2"/>
    <w:rsid w:val="008C4F06"/>
    <w:rsid w:val="008C64C7"/>
    <w:rsid w:val="008D0BD1"/>
    <w:rsid w:val="008D4784"/>
    <w:rsid w:val="008E01A7"/>
    <w:rsid w:val="008E0207"/>
    <w:rsid w:val="008E1D3C"/>
    <w:rsid w:val="008E3D64"/>
    <w:rsid w:val="008E4187"/>
    <w:rsid w:val="008E613D"/>
    <w:rsid w:val="008E6531"/>
    <w:rsid w:val="008E7606"/>
    <w:rsid w:val="008F0BB2"/>
    <w:rsid w:val="008F0DD5"/>
    <w:rsid w:val="008F27BC"/>
    <w:rsid w:val="008F2CCF"/>
    <w:rsid w:val="008F2F52"/>
    <w:rsid w:val="008F3D37"/>
    <w:rsid w:val="008F447C"/>
    <w:rsid w:val="008F4494"/>
    <w:rsid w:val="008F4819"/>
    <w:rsid w:val="008F5D47"/>
    <w:rsid w:val="008F6329"/>
    <w:rsid w:val="008F736E"/>
    <w:rsid w:val="008F7450"/>
    <w:rsid w:val="00900258"/>
    <w:rsid w:val="0090112A"/>
    <w:rsid w:val="0090297D"/>
    <w:rsid w:val="009030F2"/>
    <w:rsid w:val="00905CF0"/>
    <w:rsid w:val="00911E4B"/>
    <w:rsid w:val="00913C8B"/>
    <w:rsid w:val="009149BB"/>
    <w:rsid w:val="00914BC3"/>
    <w:rsid w:val="00915AC5"/>
    <w:rsid w:val="00916B80"/>
    <w:rsid w:val="00917B5A"/>
    <w:rsid w:val="00920120"/>
    <w:rsid w:val="009207A5"/>
    <w:rsid w:val="00920BCA"/>
    <w:rsid w:val="00921515"/>
    <w:rsid w:val="00921D07"/>
    <w:rsid w:val="009244CE"/>
    <w:rsid w:val="00924715"/>
    <w:rsid w:val="00924F1E"/>
    <w:rsid w:val="00925197"/>
    <w:rsid w:val="0092607D"/>
    <w:rsid w:val="009268BB"/>
    <w:rsid w:val="0092768F"/>
    <w:rsid w:val="00927F2C"/>
    <w:rsid w:val="009303A8"/>
    <w:rsid w:val="00933D1E"/>
    <w:rsid w:val="00935922"/>
    <w:rsid w:val="009361DA"/>
    <w:rsid w:val="0094036C"/>
    <w:rsid w:val="009413C6"/>
    <w:rsid w:val="00941855"/>
    <w:rsid w:val="00941912"/>
    <w:rsid w:val="00942DA2"/>
    <w:rsid w:val="009437E4"/>
    <w:rsid w:val="00945150"/>
    <w:rsid w:val="00945295"/>
    <w:rsid w:val="00945D86"/>
    <w:rsid w:val="00947089"/>
    <w:rsid w:val="00951646"/>
    <w:rsid w:val="0095176B"/>
    <w:rsid w:val="009526A3"/>
    <w:rsid w:val="009569C1"/>
    <w:rsid w:val="009573CE"/>
    <w:rsid w:val="009577B6"/>
    <w:rsid w:val="009578A7"/>
    <w:rsid w:val="00957A44"/>
    <w:rsid w:val="009619F2"/>
    <w:rsid w:val="00962403"/>
    <w:rsid w:val="00962927"/>
    <w:rsid w:val="00963C20"/>
    <w:rsid w:val="009645E0"/>
    <w:rsid w:val="009645E4"/>
    <w:rsid w:val="00965C96"/>
    <w:rsid w:val="00966A8A"/>
    <w:rsid w:val="00967424"/>
    <w:rsid w:val="009677D9"/>
    <w:rsid w:val="00970BAF"/>
    <w:rsid w:val="00970C93"/>
    <w:rsid w:val="00973609"/>
    <w:rsid w:val="00973949"/>
    <w:rsid w:val="00977815"/>
    <w:rsid w:val="00977B1B"/>
    <w:rsid w:val="0098318E"/>
    <w:rsid w:val="00985B8B"/>
    <w:rsid w:val="00987205"/>
    <w:rsid w:val="00991814"/>
    <w:rsid w:val="00991ADF"/>
    <w:rsid w:val="00993269"/>
    <w:rsid w:val="009940E0"/>
    <w:rsid w:val="00994673"/>
    <w:rsid w:val="00994C76"/>
    <w:rsid w:val="00995325"/>
    <w:rsid w:val="00995902"/>
    <w:rsid w:val="009972FE"/>
    <w:rsid w:val="009A0400"/>
    <w:rsid w:val="009A6804"/>
    <w:rsid w:val="009A6F51"/>
    <w:rsid w:val="009A725E"/>
    <w:rsid w:val="009A76E3"/>
    <w:rsid w:val="009A7AD9"/>
    <w:rsid w:val="009B27B1"/>
    <w:rsid w:val="009B330B"/>
    <w:rsid w:val="009B360F"/>
    <w:rsid w:val="009B534A"/>
    <w:rsid w:val="009B5C8D"/>
    <w:rsid w:val="009B67C2"/>
    <w:rsid w:val="009B7E1C"/>
    <w:rsid w:val="009C0674"/>
    <w:rsid w:val="009C2C98"/>
    <w:rsid w:val="009C59FC"/>
    <w:rsid w:val="009C6739"/>
    <w:rsid w:val="009C7D3F"/>
    <w:rsid w:val="009D24C9"/>
    <w:rsid w:val="009D4F8E"/>
    <w:rsid w:val="009D5C67"/>
    <w:rsid w:val="009E05BE"/>
    <w:rsid w:val="009E0B14"/>
    <w:rsid w:val="009E0DE4"/>
    <w:rsid w:val="009E37C4"/>
    <w:rsid w:val="009E3E18"/>
    <w:rsid w:val="009E4225"/>
    <w:rsid w:val="009E58D8"/>
    <w:rsid w:val="009F3282"/>
    <w:rsid w:val="009F3DE6"/>
    <w:rsid w:val="009F58D3"/>
    <w:rsid w:val="009F7AB8"/>
    <w:rsid w:val="009F7D0C"/>
    <w:rsid w:val="00A00314"/>
    <w:rsid w:val="00A031BF"/>
    <w:rsid w:val="00A04465"/>
    <w:rsid w:val="00A05AE2"/>
    <w:rsid w:val="00A11439"/>
    <w:rsid w:val="00A128BD"/>
    <w:rsid w:val="00A135BF"/>
    <w:rsid w:val="00A136E8"/>
    <w:rsid w:val="00A15081"/>
    <w:rsid w:val="00A20EF9"/>
    <w:rsid w:val="00A20F4F"/>
    <w:rsid w:val="00A2289F"/>
    <w:rsid w:val="00A23ABC"/>
    <w:rsid w:val="00A2490A"/>
    <w:rsid w:val="00A24DF3"/>
    <w:rsid w:val="00A31567"/>
    <w:rsid w:val="00A3159E"/>
    <w:rsid w:val="00A3190C"/>
    <w:rsid w:val="00A33D2A"/>
    <w:rsid w:val="00A34B7F"/>
    <w:rsid w:val="00A35DAA"/>
    <w:rsid w:val="00A36CFE"/>
    <w:rsid w:val="00A37A5B"/>
    <w:rsid w:val="00A43792"/>
    <w:rsid w:val="00A4436F"/>
    <w:rsid w:val="00A445C9"/>
    <w:rsid w:val="00A45779"/>
    <w:rsid w:val="00A45F42"/>
    <w:rsid w:val="00A47005"/>
    <w:rsid w:val="00A50AAA"/>
    <w:rsid w:val="00A50B1A"/>
    <w:rsid w:val="00A53347"/>
    <w:rsid w:val="00A539E7"/>
    <w:rsid w:val="00A53BE9"/>
    <w:rsid w:val="00A53D06"/>
    <w:rsid w:val="00A54CD8"/>
    <w:rsid w:val="00A54DF2"/>
    <w:rsid w:val="00A552F1"/>
    <w:rsid w:val="00A555C6"/>
    <w:rsid w:val="00A565D7"/>
    <w:rsid w:val="00A56F0B"/>
    <w:rsid w:val="00A573E6"/>
    <w:rsid w:val="00A60486"/>
    <w:rsid w:val="00A6105B"/>
    <w:rsid w:val="00A6150A"/>
    <w:rsid w:val="00A61E71"/>
    <w:rsid w:val="00A6259B"/>
    <w:rsid w:val="00A631C5"/>
    <w:rsid w:val="00A63F53"/>
    <w:rsid w:val="00A63FDE"/>
    <w:rsid w:val="00A6428B"/>
    <w:rsid w:val="00A65E0B"/>
    <w:rsid w:val="00A676E9"/>
    <w:rsid w:val="00A67A3E"/>
    <w:rsid w:val="00A702B4"/>
    <w:rsid w:val="00A7055D"/>
    <w:rsid w:val="00A70661"/>
    <w:rsid w:val="00A71A99"/>
    <w:rsid w:val="00A71CEA"/>
    <w:rsid w:val="00A74880"/>
    <w:rsid w:val="00A749E3"/>
    <w:rsid w:val="00A75B1F"/>
    <w:rsid w:val="00A763CF"/>
    <w:rsid w:val="00A76593"/>
    <w:rsid w:val="00A7678A"/>
    <w:rsid w:val="00A76BA9"/>
    <w:rsid w:val="00A77381"/>
    <w:rsid w:val="00A77DC3"/>
    <w:rsid w:val="00A82524"/>
    <w:rsid w:val="00A8296D"/>
    <w:rsid w:val="00A82A51"/>
    <w:rsid w:val="00A833CB"/>
    <w:rsid w:val="00A83A30"/>
    <w:rsid w:val="00A83E60"/>
    <w:rsid w:val="00A86754"/>
    <w:rsid w:val="00A873D2"/>
    <w:rsid w:val="00A901C9"/>
    <w:rsid w:val="00A908E9"/>
    <w:rsid w:val="00A930FE"/>
    <w:rsid w:val="00A93BDB"/>
    <w:rsid w:val="00A94052"/>
    <w:rsid w:val="00A94B03"/>
    <w:rsid w:val="00A94B3C"/>
    <w:rsid w:val="00A952E9"/>
    <w:rsid w:val="00A96F03"/>
    <w:rsid w:val="00A977FB"/>
    <w:rsid w:val="00AA0CE3"/>
    <w:rsid w:val="00AA0D0C"/>
    <w:rsid w:val="00AA11DB"/>
    <w:rsid w:val="00AA1524"/>
    <w:rsid w:val="00AA16BC"/>
    <w:rsid w:val="00AA3EBC"/>
    <w:rsid w:val="00AA4427"/>
    <w:rsid w:val="00AB782A"/>
    <w:rsid w:val="00AC0166"/>
    <w:rsid w:val="00AC0DBF"/>
    <w:rsid w:val="00AC1FC6"/>
    <w:rsid w:val="00AC3C23"/>
    <w:rsid w:val="00AC4B73"/>
    <w:rsid w:val="00AC4F0F"/>
    <w:rsid w:val="00AC5785"/>
    <w:rsid w:val="00AC5E80"/>
    <w:rsid w:val="00AC609B"/>
    <w:rsid w:val="00AC6A45"/>
    <w:rsid w:val="00AC6B3F"/>
    <w:rsid w:val="00AC6D2A"/>
    <w:rsid w:val="00AC7DE6"/>
    <w:rsid w:val="00AD1579"/>
    <w:rsid w:val="00AD1974"/>
    <w:rsid w:val="00AD1F0C"/>
    <w:rsid w:val="00AD3DD2"/>
    <w:rsid w:val="00AD5E7A"/>
    <w:rsid w:val="00AD6448"/>
    <w:rsid w:val="00AD6FC9"/>
    <w:rsid w:val="00AD730E"/>
    <w:rsid w:val="00AD7ED3"/>
    <w:rsid w:val="00AE0BF6"/>
    <w:rsid w:val="00AE49DA"/>
    <w:rsid w:val="00AE4A92"/>
    <w:rsid w:val="00AE70B5"/>
    <w:rsid w:val="00AE71D5"/>
    <w:rsid w:val="00AE78D5"/>
    <w:rsid w:val="00AF31A2"/>
    <w:rsid w:val="00AF3BC8"/>
    <w:rsid w:val="00B0063E"/>
    <w:rsid w:val="00B02488"/>
    <w:rsid w:val="00B031C4"/>
    <w:rsid w:val="00B032E4"/>
    <w:rsid w:val="00B03770"/>
    <w:rsid w:val="00B05239"/>
    <w:rsid w:val="00B05421"/>
    <w:rsid w:val="00B054D5"/>
    <w:rsid w:val="00B11803"/>
    <w:rsid w:val="00B11BFB"/>
    <w:rsid w:val="00B1251E"/>
    <w:rsid w:val="00B1547A"/>
    <w:rsid w:val="00B1559C"/>
    <w:rsid w:val="00B17A15"/>
    <w:rsid w:val="00B26249"/>
    <w:rsid w:val="00B30B65"/>
    <w:rsid w:val="00B31684"/>
    <w:rsid w:val="00B33733"/>
    <w:rsid w:val="00B34303"/>
    <w:rsid w:val="00B34662"/>
    <w:rsid w:val="00B36D46"/>
    <w:rsid w:val="00B36E0F"/>
    <w:rsid w:val="00B401EB"/>
    <w:rsid w:val="00B4033D"/>
    <w:rsid w:val="00B404C5"/>
    <w:rsid w:val="00B40D65"/>
    <w:rsid w:val="00B419FE"/>
    <w:rsid w:val="00B41C22"/>
    <w:rsid w:val="00B43D5C"/>
    <w:rsid w:val="00B46091"/>
    <w:rsid w:val="00B46D31"/>
    <w:rsid w:val="00B46E29"/>
    <w:rsid w:val="00B46FA3"/>
    <w:rsid w:val="00B47373"/>
    <w:rsid w:val="00B50CA8"/>
    <w:rsid w:val="00B51CC0"/>
    <w:rsid w:val="00B51CCD"/>
    <w:rsid w:val="00B52E9E"/>
    <w:rsid w:val="00B53125"/>
    <w:rsid w:val="00B53AF1"/>
    <w:rsid w:val="00B53BD5"/>
    <w:rsid w:val="00B53E87"/>
    <w:rsid w:val="00B550C0"/>
    <w:rsid w:val="00B575DE"/>
    <w:rsid w:val="00B609FA"/>
    <w:rsid w:val="00B60ECB"/>
    <w:rsid w:val="00B60F7B"/>
    <w:rsid w:val="00B61B9C"/>
    <w:rsid w:val="00B63909"/>
    <w:rsid w:val="00B639AB"/>
    <w:rsid w:val="00B640B9"/>
    <w:rsid w:val="00B64DE8"/>
    <w:rsid w:val="00B658D6"/>
    <w:rsid w:val="00B661EE"/>
    <w:rsid w:val="00B66EAB"/>
    <w:rsid w:val="00B720B1"/>
    <w:rsid w:val="00B720C3"/>
    <w:rsid w:val="00B73238"/>
    <w:rsid w:val="00B7373D"/>
    <w:rsid w:val="00B737E6"/>
    <w:rsid w:val="00B7496E"/>
    <w:rsid w:val="00B800FA"/>
    <w:rsid w:val="00B80912"/>
    <w:rsid w:val="00B80A49"/>
    <w:rsid w:val="00B80A65"/>
    <w:rsid w:val="00B81499"/>
    <w:rsid w:val="00B81835"/>
    <w:rsid w:val="00B81D82"/>
    <w:rsid w:val="00B82134"/>
    <w:rsid w:val="00B827F2"/>
    <w:rsid w:val="00B83188"/>
    <w:rsid w:val="00B8424A"/>
    <w:rsid w:val="00B84DC2"/>
    <w:rsid w:val="00B90D84"/>
    <w:rsid w:val="00B91E28"/>
    <w:rsid w:val="00B92070"/>
    <w:rsid w:val="00B95664"/>
    <w:rsid w:val="00B96111"/>
    <w:rsid w:val="00B962F1"/>
    <w:rsid w:val="00BA0056"/>
    <w:rsid w:val="00BA0CBC"/>
    <w:rsid w:val="00BA328B"/>
    <w:rsid w:val="00BA34C4"/>
    <w:rsid w:val="00BA3C92"/>
    <w:rsid w:val="00BA3FD7"/>
    <w:rsid w:val="00BA64B3"/>
    <w:rsid w:val="00BB190E"/>
    <w:rsid w:val="00BB1A8F"/>
    <w:rsid w:val="00BB26FE"/>
    <w:rsid w:val="00BC019D"/>
    <w:rsid w:val="00BC070E"/>
    <w:rsid w:val="00BC1A6D"/>
    <w:rsid w:val="00BC35B7"/>
    <w:rsid w:val="00BC7644"/>
    <w:rsid w:val="00BD1FC7"/>
    <w:rsid w:val="00BD21B5"/>
    <w:rsid w:val="00BD244B"/>
    <w:rsid w:val="00BD2510"/>
    <w:rsid w:val="00BD3EC2"/>
    <w:rsid w:val="00BD442E"/>
    <w:rsid w:val="00BD5033"/>
    <w:rsid w:val="00BD66EE"/>
    <w:rsid w:val="00BD67F0"/>
    <w:rsid w:val="00BD7E19"/>
    <w:rsid w:val="00BE0637"/>
    <w:rsid w:val="00BE0E6C"/>
    <w:rsid w:val="00BE31C6"/>
    <w:rsid w:val="00BE3629"/>
    <w:rsid w:val="00BE3A85"/>
    <w:rsid w:val="00BE47CD"/>
    <w:rsid w:val="00BE6B3C"/>
    <w:rsid w:val="00BE72EE"/>
    <w:rsid w:val="00BE7351"/>
    <w:rsid w:val="00BF0EE7"/>
    <w:rsid w:val="00BF2881"/>
    <w:rsid w:val="00BF3F92"/>
    <w:rsid w:val="00BF4470"/>
    <w:rsid w:val="00BF468D"/>
    <w:rsid w:val="00BF580B"/>
    <w:rsid w:val="00BF5CC2"/>
    <w:rsid w:val="00BF6C46"/>
    <w:rsid w:val="00C00A0D"/>
    <w:rsid w:val="00C01008"/>
    <w:rsid w:val="00C04445"/>
    <w:rsid w:val="00C0445F"/>
    <w:rsid w:val="00C04BD1"/>
    <w:rsid w:val="00C05BBA"/>
    <w:rsid w:val="00C1282A"/>
    <w:rsid w:val="00C144AE"/>
    <w:rsid w:val="00C148A2"/>
    <w:rsid w:val="00C1598C"/>
    <w:rsid w:val="00C16290"/>
    <w:rsid w:val="00C16343"/>
    <w:rsid w:val="00C16B09"/>
    <w:rsid w:val="00C173F5"/>
    <w:rsid w:val="00C17A22"/>
    <w:rsid w:val="00C20E3D"/>
    <w:rsid w:val="00C2118A"/>
    <w:rsid w:val="00C2307E"/>
    <w:rsid w:val="00C234C5"/>
    <w:rsid w:val="00C23DDF"/>
    <w:rsid w:val="00C24D3A"/>
    <w:rsid w:val="00C24E65"/>
    <w:rsid w:val="00C2631E"/>
    <w:rsid w:val="00C278F7"/>
    <w:rsid w:val="00C300E8"/>
    <w:rsid w:val="00C32A71"/>
    <w:rsid w:val="00C3489E"/>
    <w:rsid w:val="00C34FD9"/>
    <w:rsid w:val="00C4253E"/>
    <w:rsid w:val="00C4348B"/>
    <w:rsid w:val="00C43F5C"/>
    <w:rsid w:val="00C44A73"/>
    <w:rsid w:val="00C44BAF"/>
    <w:rsid w:val="00C44D5D"/>
    <w:rsid w:val="00C45003"/>
    <w:rsid w:val="00C46407"/>
    <w:rsid w:val="00C47C85"/>
    <w:rsid w:val="00C47F1E"/>
    <w:rsid w:val="00C50922"/>
    <w:rsid w:val="00C51897"/>
    <w:rsid w:val="00C53975"/>
    <w:rsid w:val="00C547C4"/>
    <w:rsid w:val="00C56A95"/>
    <w:rsid w:val="00C5730B"/>
    <w:rsid w:val="00C57580"/>
    <w:rsid w:val="00C575B6"/>
    <w:rsid w:val="00C57B47"/>
    <w:rsid w:val="00C61387"/>
    <w:rsid w:val="00C61DB2"/>
    <w:rsid w:val="00C641D0"/>
    <w:rsid w:val="00C65161"/>
    <w:rsid w:val="00C65F28"/>
    <w:rsid w:val="00C66899"/>
    <w:rsid w:val="00C66C90"/>
    <w:rsid w:val="00C709C5"/>
    <w:rsid w:val="00C713A3"/>
    <w:rsid w:val="00C71551"/>
    <w:rsid w:val="00C72AB6"/>
    <w:rsid w:val="00C7433A"/>
    <w:rsid w:val="00C745E8"/>
    <w:rsid w:val="00C746AD"/>
    <w:rsid w:val="00C75CB4"/>
    <w:rsid w:val="00C76E2B"/>
    <w:rsid w:val="00C77456"/>
    <w:rsid w:val="00C77A9B"/>
    <w:rsid w:val="00C77AE8"/>
    <w:rsid w:val="00C805F1"/>
    <w:rsid w:val="00C82073"/>
    <w:rsid w:val="00C83283"/>
    <w:rsid w:val="00C83A99"/>
    <w:rsid w:val="00C8485C"/>
    <w:rsid w:val="00C84D8A"/>
    <w:rsid w:val="00C850A8"/>
    <w:rsid w:val="00C85864"/>
    <w:rsid w:val="00C86BA2"/>
    <w:rsid w:val="00C8717E"/>
    <w:rsid w:val="00C87BC9"/>
    <w:rsid w:val="00C9072E"/>
    <w:rsid w:val="00C917EA"/>
    <w:rsid w:val="00C92ADB"/>
    <w:rsid w:val="00C94553"/>
    <w:rsid w:val="00C94E1C"/>
    <w:rsid w:val="00C954F1"/>
    <w:rsid w:val="00C9658F"/>
    <w:rsid w:val="00C96ED2"/>
    <w:rsid w:val="00C97375"/>
    <w:rsid w:val="00C97CD1"/>
    <w:rsid w:val="00CA0D9E"/>
    <w:rsid w:val="00CA1160"/>
    <w:rsid w:val="00CA1F2B"/>
    <w:rsid w:val="00CA2537"/>
    <w:rsid w:val="00CA3C77"/>
    <w:rsid w:val="00CA6F68"/>
    <w:rsid w:val="00CB01EF"/>
    <w:rsid w:val="00CB050F"/>
    <w:rsid w:val="00CB25C6"/>
    <w:rsid w:val="00CB3BF5"/>
    <w:rsid w:val="00CB5229"/>
    <w:rsid w:val="00CB5D55"/>
    <w:rsid w:val="00CC0626"/>
    <w:rsid w:val="00CC15F8"/>
    <w:rsid w:val="00CC213E"/>
    <w:rsid w:val="00CC2F45"/>
    <w:rsid w:val="00CC32D5"/>
    <w:rsid w:val="00CC37B8"/>
    <w:rsid w:val="00CC3D65"/>
    <w:rsid w:val="00CC581A"/>
    <w:rsid w:val="00CC63B6"/>
    <w:rsid w:val="00CC6539"/>
    <w:rsid w:val="00CD1008"/>
    <w:rsid w:val="00CD3664"/>
    <w:rsid w:val="00CD4855"/>
    <w:rsid w:val="00CD4BD4"/>
    <w:rsid w:val="00CD50A1"/>
    <w:rsid w:val="00CE130A"/>
    <w:rsid w:val="00CE27EE"/>
    <w:rsid w:val="00CE288C"/>
    <w:rsid w:val="00CE2CC3"/>
    <w:rsid w:val="00CE2DA6"/>
    <w:rsid w:val="00CE5CA8"/>
    <w:rsid w:val="00CE5EC5"/>
    <w:rsid w:val="00CE61A1"/>
    <w:rsid w:val="00CE7139"/>
    <w:rsid w:val="00CF16A3"/>
    <w:rsid w:val="00CF16D2"/>
    <w:rsid w:val="00CF176C"/>
    <w:rsid w:val="00CF24E9"/>
    <w:rsid w:val="00CF2850"/>
    <w:rsid w:val="00CF3CAF"/>
    <w:rsid w:val="00CF548B"/>
    <w:rsid w:val="00CF5A7A"/>
    <w:rsid w:val="00CF6874"/>
    <w:rsid w:val="00CF711C"/>
    <w:rsid w:val="00D01D36"/>
    <w:rsid w:val="00D035F7"/>
    <w:rsid w:val="00D06572"/>
    <w:rsid w:val="00D10EAE"/>
    <w:rsid w:val="00D11B84"/>
    <w:rsid w:val="00D1215C"/>
    <w:rsid w:val="00D12AAE"/>
    <w:rsid w:val="00D13B7F"/>
    <w:rsid w:val="00D13E96"/>
    <w:rsid w:val="00D143B3"/>
    <w:rsid w:val="00D156A9"/>
    <w:rsid w:val="00D17E4C"/>
    <w:rsid w:val="00D20B8B"/>
    <w:rsid w:val="00D21F3B"/>
    <w:rsid w:val="00D223BC"/>
    <w:rsid w:val="00D227FD"/>
    <w:rsid w:val="00D234E1"/>
    <w:rsid w:val="00D23E89"/>
    <w:rsid w:val="00D2429D"/>
    <w:rsid w:val="00D25040"/>
    <w:rsid w:val="00D26B7E"/>
    <w:rsid w:val="00D2724C"/>
    <w:rsid w:val="00D277AA"/>
    <w:rsid w:val="00D30FFC"/>
    <w:rsid w:val="00D31D1E"/>
    <w:rsid w:val="00D31EFA"/>
    <w:rsid w:val="00D32119"/>
    <w:rsid w:val="00D333A6"/>
    <w:rsid w:val="00D345D7"/>
    <w:rsid w:val="00D357A7"/>
    <w:rsid w:val="00D35F87"/>
    <w:rsid w:val="00D400AA"/>
    <w:rsid w:val="00D418A1"/>
    <w:rsid w:val="00D42297"/>
    <w:rsid w:val="00D435D7"/>
    <w:rsid w:val="00D46F60"/>
    <w:rsid w:val="00D472E4"/>
    <w:rsid w:val="00D478B5"/>
    <w:rsid w:val="00D47EDB"/>
    <w:rsid w:val="00D50F38"/>
    <w:rsid w:val="00D51650"/>
    <w:rsid w:val="00D51726"/>
    <w:rsid w:val="00D51D64"/>
    <w:rsid w:val="00D52202"/>
    <w:rsid w:val="00D52E39"/>
    <w:rsid w:val="00D5449F"/>
    <w:rsid w:val="00D556FB"/>
    <w:rsid w:val="00D55F6D"/>
    <w:rsid w:val="00D560A0"/>
    <w:rsid w:val="00D56601"/>
    <w:rsid w:val="00D60F2B"/>
    <w:rsid w:val="00D7011A"/>
    <w:rsid w:val="00D70490"/>
    <w:rsid w:val="00D71328"/>
    <w:rsid w:val="00D72615"/>
    <w:rsid w:val="00D74F38"/>
    <w:rsid w:val="00D75515"/>
    <w:rsid w:val="00D77B53"/>
    <w:rsid w:val="00D80B51"/>
    <w:rsid w:val="00D80D9C"/>
    <w:rsid w:val="00D81149"/>
    <w:rsid w:val="00D811EB"/>
    <w:rsid w:val="00D81742"/>
    <w:rsid w:val="00D823D7"/>
    <w:rsid w:val="00D82B62"/>
    <w:rsid w:val="00D84F6E"/>
    <w:rsid w:val="00D8572C"/>
    <w:rsid w:val="00D866C7"/>
    <w:rsid w:val="00D86BAD"/>
    <w:rsid w:val="00D90C12"/>
    <w:rsid w:val="00D90E34"/>
    <w:rsid w:val="00D926BA"/>
    <w:rsid w:val="00D92F50"/>
    <w:rsid w:val="00D941FB"/>
    <w:rsid w:val="00D94825"/>
    <w:rsid w:val="00D94B38"/>
    <w:rsid w:val="00D96AE4"/>
    <w:rsid w:val="00D975E4"/>
    <w:rsid w:val="00D9793B"/>
    <w:rsid w:val="00DA053E"/>
    <w:rsid w:val="00DA224D"/>
    <w:rsid w:val="00DA415C"/>
    <w:rsid w:val="00DA4FE8"/>
    <w:rsid w:val="00DA54BB"/>
    <w:rsid w:val="00DA6201"/>
    <w:rsid w:val="00DA724C"/>
    <w:rsid w:val="00DA74D0"/>
    <w:rsid w:val="00DB1635"/>
    <w:rsid w:val="00DB16D0"/>
    <w:rsid w:val="00DB5195"/>
    <w:rsid w:val="00DB5FCA"/>
    <w:rsid w:val="00DB6479"/>
    <w:rsid w:val="00DB761C"/>
    <w:rsid w:val="00DC236D"/>
    <w:rsid w:val="00DC2B88"/>
    <w:rsid w:val="00DC7105"/>
    <w:rsid w:val="00DD151C"/>
    <w:rsid w:val="00DD3DDE"/>
    <w:rsid w:val="00DD41E4"/>
    <w:rsid w:val="00DD4915"/>
    <w:rsid w:val="00DD499B"/>
    <w:rsid w:val="00DD5463"/>
    <w:rsid w:val="00DD5509"/>
    <w:rsid w:val="00DD5670"/>
    <w:rsid w:val="00DD604E"/>
    <w:rsid w:val="00DD6256"/>
    <w:rsid w:val="00DE03C0"/>
    <w:rsid w:val="00DE2311"/>
    <w:rsid w:val="00DE2F46"/>
    <w:rsid w:val="00DE3F97"/>
    <w:rsid w:val="00DE4838"/>
    <w:rsid w:val="00DE6D12"/>
    <w:rsid w:val="00DE79BD"/>
    <w:rsid w:val="00DF0237"/>
    <w:rsid w:val="00DF0AC9"/>
    <w:rsid w:val="00DF17BF"/>
    <w:rsid w:val="00DF2886"/>
    <w:rsid w:val="00DF3355"/>
    <w:rsid w:val="00DF3DB3"/>
    <w:rsid w:val="00DF40BE"/>
    <w:rsid w:val="00DF416D"/>
    <w:rsid w:val="00DF4288"/>
    <w:rsid w:val="00DF4B20"/>
    <w:rsid w:val="00DF520F"/>
    <w:rsid w:val="00DF56D8"/>
    <w:rsid w:val="00DF5BF9"/>
    <w:rsid w:val="00DF7457"/>
    <w:rsid w:val="00DF7B4A"/>
    <w:rsid w:val="00E00620"/>
    <w:rsid w:val="00E02ECE"/>
    <w:rsid w:val="00E03B3B"/>
    <w:rsid w:val="00E04718"/>
    <w:rsid w:val="00E0626B"/>
    <w:rsid w:val="00E06E90"/>
    <w:rsid w:val="00E07580"/>
    <w:rsid w:val="00E118CB"/>
    <w:rsid w:val="00E11DD4"/>
    <w:rsid w:val="00E13C5B"/>
    <w:rsid w:val="00E1465F"/>
    <w:rsid w:val="00E15536"/>
    <w:rsid w:val="00E155F5"/>
    <w:rsid w:val="00E15D76"/>
    <w:rsid w:val="00E16094"/>
    <w:rsid w:val="00E16857"/>
    <w:rsid w:val="00E203E5"/>
    <w:rsid w:val="00E20BB5"/>
    <w:rsid w:val="00E230BD"/>
    <w:rsid w:val="00E24046"/>
    <w:rsid w:val="00E24BF2"/>
    <w:rsid w:val="00E25FF2"/>
    <w:rsid w:val="00E261E1"/>
    <w:rsid w:val="00E2647B"/>
    <w:rsid w:val="00E27317"/>
    <w:rsid w:val="00E27B6D"/>
    <w:rsid w:val="00E3058C"/>
    <w:rsid w:val="00E30E74"/>
    <w:rsid w:val="00E3271A"/>
    <w:rsid w:val="00E33196"/>
    <w:rsid w:val="00E33F22"/>
    <w:rsid w:val="00E34070"/>
    <w:rsid w:val="00E346C4"/>
    <w:rsid w:val="00E36A6E"/>
    <w:rsid w:val="00E37728"/>
    <w:rsid w:val="00E415FA"/>
    <w:rsid w:val="00E41DA7"/>
    <w:rsid w:val="00E426BE"/>
    <w:rsid w:val="00E4351A"/>
    <w:rsid w:val="00E44C7E"/>
    <w:rsid w:val="00E47E90"/>
    <w:rsid w:val="00E517AA"/>
    <w:rsid w:val="00E55B7D"/>
    <w:rsid w:val="00E60268"/>
    <w:rsid w:val="00E608D2"/>
    <w:rsid w:val="00E6188A"/>
    <w:rsid w:val="00E63463"/>
    <w:rsid w:val="00E6432A"/>
    <w:rsid w:val="00E647CE"/>
    <w:rsid w:val="00E65011"/>
    <w:rsid w:val="00E65BC3"/>
    <w:rsid w:val="00E66358"/>
    <w:rsid w:val="00E66911"/>
    <w:rsid w:val="00E676BE"/>
    <w:rsid w:val="00E70331"/>
    <w:rsid w:val="00E7273B"/>
    <w:rsid w:val="00E72E79"/>
    <w:rsid w:val="00E73097"/>
    <w:rsid w:val="00E745EB"/>
    <w:rsid w:val="00E7460B"/>
    <w:rsid w:val="00E749C2"/>
    <w:rsid w:val="00E74D5F"/>
    <w:rsid w:val="00E765E0"/>
    <w:rsid w:val="00E81EB0"/>
    <w:rsid w:val="00E821FE"/>
    <w:rsid w:val="00E82DB7"/>
    <w:rsid w:val="00E83509"/>
    <w:rsid w:val="00E843BE"/>
    <w:rsid w:val="00E84B77"/>
    <w:rsid w:val="00E856D9"/>
    <w:rsid w:val="00E86C5E"/>
    <w:rsid w:val="00E87FBF"/>
    <w:rsid w:val="00E902AE"/>
    <w:rsid w:val="00E91277"/>
    <w:rsid w:val="00E92C09"/>
    <w:rsid w:val="00E936BC"/>
    <w:rsid w:val="00E94DFF"/>
    <w:rsid w:val="00E95610"/>
    <w:rsid w:val="00E95964"/>
    <w:rsid w:val="00E965DB"/>
    <w:rsid w:val="00E97313"/>
    <w:rsid w:val="00E97BB3"/>
    <w:rsid w:val="00EA05E4"/>
    <w:rsid w:val="00EA2E81"/>
    <w:rsid w:val="00EA3912"/>
    <w:rsid w:val="00EA48F3"/>
    <w:rsid w:val="00EA5EBA"/>
    <w:rsid w:val="00EA7236"/>
    <w:rsid w:val="00EA73AD"/>
    <w:rsid w:val="00EA7FDC"/>
    <w:rsid w:val="00EB084A"/>
    <w:rsid w:val="00EB0C27"/>
    <w:rsid w:val="00EB20CB"/>
    <w:rsid w:val="00EB2172"/>
    <w:rsid w:val="00EB22D8"/>
    <w:rsid w:val="00EB3A8B"/>
    <w:rsid w:val="00EB41DD"/>
    <w:rsid w:val="00EB4302"/>
    <w:rsid w:val="00EB5483"/>
    <w:rsid w:val="00EB6F81"/>
    <w:rsid w:val="00EB6FB8"/>
    <w:rsid w:val="00EC08F7"/>
    <w:rsid w:val="00EC090C"/>
    <w:rsid w:val="00EC2A48"/>
    <w:rsid w:val="00EC2DBA"/>
    <w:rsid w:val="00EC3661"/>
    <w:rsid w:val="00EC5251"/>
    <w:rsid w:val="00EC7FF3"/>
    <w:rsid w:val="00ED00B3"/>
    <w:rsid w:val="00ED03D3"/>
    <w:rsid w:val="00ED05BD"/>
    <w:rsid w:val="00ED0EBC"/>
    <w:rsid w:val="00ED104D"/>
    <w:rsid w:val="00ED130E"/>
    <w:rsid w:val="00ED19E2"/>
    <w:rsid w:val="00ED1AE2"/>
    <w:rsid w:val="00ED3BF4"/>
    <w:rsid w:val="00ED40AF"/>
    <w:rsid w:val="00ED4B4D"/>
    <w:rsid w:val="00ED5E30"/>
    <w:rsid w:val="00ED6470"/>
    <w:rsid w:val="00ED7747"/>
    <w:rsid w:val="00ED7F39"/>
    <w:rsid w:val="00EE1091"/>
    <w:rsid w:val="00EE227F"/>
    <w:rsid w:val="00EE35B4"/>
    <w:rsid w:val="00EE3BA2"/>
    <w:rsid w:val="00EE4A0C"/>
    <w:rsid w:val="00EF1424"/>
    <w:rsid w:val="00EF2164"/>
    <w:rsid w:val="00EF4310"/>
    <w:rsid w:val="00EF4A54"/>
    <w:rsid w:val="00EF531A"/>
    <w:rsid w:val="00F02F1F"/>
    <w:rsid w:val="00F052AF"/>
    <w:rsid w:val="00F05B30"/>
    <w:rsid w:val="00F0726A"/>
    <w:rsid w:val="00F0761F"/>
    <w:rsid w:val="00F1063A"/>
    <w:rsid w:val="00F10878"/>
    <w:rsid w:val="00F112E3"/>
    <w:rsid w:val="00F11902"/>
    <w:rsid w:val="00F11A64"/>
    <w:rsid w:val="00F14B57"/>
    <w:rsid w:val="00F14C84"/>
    <w:rsid w:val="00F15CBB"/>
    <w:rsid w:val="00F163B6"/>
    <w:rsid w:val="00F1669F"/>
    <w:rsid w:val="00F16DB3"/>
    <w:rsid w:val="00F17A00"/>
    <w:rsid w:val="00F212B9"/>
    <w:rsid w:val="00F22530"/>
    <w:rsid w:val="00F231CF"/>
    <w:rsid w:val="00F23B42"/>
    <w:rsid w:val="00F246DD"/>
    <w:rsid w:val="00F255E2"/>
    <w:rsid w:val="00F315EF"/>
    <w:rsid w:val="00F31F5E"/>
    <w:rsid w:val="00F3329F"/>
    <w:rsid w:val="00F353FE"/>
    <w:rsid w:val="00F35521"/>
    <w:rsid w:val="00F35CD3"/>
    <w:rsid w:val="00F35FAF"/>
    <w:rsid w:val="00F40989"/>
    <w:rsid w:val="00F42821"/>
    <w:rsid w:val="00F436FF"/>
    <w:rsid w:val="00F46DC4"/>
    <w:rsid w:val="00F50575"/>
    <w:rsid w:val="00F50BD8"/>
    <w:rsid w:val="00F51710"/>
    <w:rsid w:val="00F52662"/>
    <w:rsid w:val="00F52700"/>
    <w:rsid w:val="00F532DD"/>
    <w:rsid w:val="00F53D2B"/>
    <w:rsid w:val="00F54459"/>
    <w:rsid w:val="00F55EC8"/>
    <w:rsid w:val="00F560F6"/>
    <w:rsid w:val="00F5742D"/>
    <w:rsid w:val="00F57D9E"/>
    <w:rsid w:val="00F57FA4"/>
    <w:rsid w:val="00F60BFA"/>
    <w:rsid w:val="00F615F4"/>
    <w:rsid w:val="00F630D1"/>
    <w:rsid w:val="00F65159"/>
    <w:rsid w:val="00F66B34"/>
    <w:rsid w:val="00F66C93"/>
    <w:rsid w:val="00F70084"/>
    <w:rsid w:val="00F72517"/>
    <w:rsid w:val="00F72D11"/>
    <w:rsid w:val="00F745C2"/>
    <w:rsid w:val="00F74D36"/>
    <w:rsid w:val="00F7505D"/>
    <w:rsid w:val="00F75F24"/>
    <w:rsid w:val="00F76B53"/>
    <w:rsid w:val="00F805C6"/>
    <w:rsid w:val="00F8196E"/>
    <w:rsid w:val="00F83E34"/>
    <w:rsid w:val="00F8628A"/>
    <w:rsid w:val="00F86353"/>
    <w:rsid w:val="00F87F6E"/>
    <w:rsid w:val="00F90316"/>
    <w:rsid w:val="00F907B2"/>
    <w:rsid w:val="00F90A61"/>
    <w:rsid w:val="00F90AD0"/>
    <w:rsid w:val="00F9192A"/>
    <w:rsid w:val="00F92307"/>
    <w:rsid w:val="00F95738"/>
    <w:rsid w:val="00F963CE"/>
    <w:rsid w:val="00F975F6"/>
    <w:rsid w:val="00FA0448"/>
    <w:rsid w:val="00FA09C8"/>
    <w:rsid w:val="00FA1345"/>
    <w:rsid w:val="00FA1A1F"/>
    <w:rsid w:val="00FA3563"/>
    <w:rsid w:val="00FA3F15"/>
    <w:rsid w:val="00FA4860"/>
    <w:rsid w:val="00FA5360"/>
    <w:rsid w:val="00FA55C6"/>
    <w:rsid w:val="00FA59D5"/>
    <w:rsid w:val="00FA60EE"/>
    <w:rsid w:val="00FA7157"/>
    <w:rsid w:val="00FA7373"/>
    <w:rsid w:val="00FB08A7"/>
    <w:rsid w:val="00FB0E50"/>
    <w:rsid w:val="00FB15BB"/>
    <w:rsid w:val="00FB1CBB"/>
    <w:rsid w:val="00FB2046"/>
    <w:rsid w:val="00FB2782"/>
    <w:rsid w:val="00FB29C5"/>
    <w:rsid w:val="00FB2D0F"/>
    <w:rsid w:val="00FB2D1F"/>
    <w:rsid w:val="00FB3B7A"/>
    <w:rsid w:val="00FB5547"/>
    <w:rsid w:val="00FB5674"/>
    <w:rsid w:val="00FB600F"/>
    <w:rsid w:val="00FB740B"/>
    <w:rsid w:val="00FC0B16"/>
    <w:rsid w:val="00FC18A1"/>
    <w:rsid w:val="00FC2C7A"/>
    <w:rsid w:val="00FC37E6"/>
    <w:rsid w:val="00FC3AB4"/>
    <w:rsid w:val="00FC4482"/>
    <w:rsid w:val="00FC5613"/>
    <w:rsid w:val="00FC573F"/>
    <w:rsid w:val="00FC5A2D"/>
    <w:rsid w:val="00FC6BC6"/>
    <w:rsid w:val="00FC6F94"/>
    <w:rsid w:val="00FC7AD1"/>
    <w:rsid w:val="00FD0A01"/>
    <w:rsid w:val="00FD1CD1"/>
    <w:rsid w:val="00FD2C9E"/>
    <w:rsid w:val="00FD5083"/>
    <w:rsid w:val="00FD50A4"/>
    <w:rsid w:val="00FD5433"/>
    <w:rsid w:val="00FD66DC"/>
    <w:rsid w:val="00FD7559"/>
    <w:rsid w:val="00FE1B75"/>
    <w:rsid w:val="00FE22AF"/>
    <w:rsid w:val="00FE6743"/>
    <w:rsid w:val="00FE7D5E"/>
    <w:rsid w:val="00FF06D0"/>
    <w:rsid w:val="00FF264E"/>
    <w:rsid w:val="00FF39EE"/>
    <w:rsid w:val="00FF4E12"/>
    <w:rsid w:val="00FF5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C078E"/>
  <w15:docId w15:val="{2E2A9747-863F-4B5A-B187-80F284A94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777"/>
  </w:style>
  <w:style w:type="paragraph" w:styleId="Heading1">
    <w:name w:val="heading 1"/>
    <w:basedOn w:val="Normal"/>
    <w:next w:val="Normal"/>
    <w:link w:val="Heading1Char"/>
    <w:qFormat/>
    <w:rsid w:val="00773B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3B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0542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EAE"/>
    <w:pPr>
      <w:ind w:left="720"/>
      <w:contextualSpacing/>
    </w:pPr>
  </w:style>
  <w:style w:type="character" w:styleId="CommentReference">
    <w:name w:val="annotation reference"/>
    <w:basedOn w:val="DefaultParagraphFont"/>
    <w:uiPriority w:val="99"/>
    <w:semiHidden/>
    <w:unhideWhenUsed/>
    <w:rsid w:val="00C84D8A"/>
    <w:rPr>
      <w:sz w:val="16"/>
      <w:szCs w:val="16"/>
    </w:rPr>
  </w:style>
  <w:style w:type="paragraph" w:styleId="CommentText">
    <w:name w:val="annotation text"/>
    <w:basedOn w:val="Normal"/>
    <w:link w:val="CommentTextChar"/>
    <w:uiPriority w:val="99"/>
    <w:unhideWhenUsed/>
    <w:rsid w:val="00364429"/>
    <w:pPr>
      <w:spacing w:line="240" w:lineRule="auto"/>
    </w:pPr>
    <w:rPr>
      <w:sz w:val="20"/>
      <w:szCs w:val="20"/>
    </w:rPr>
  </w:style>
  <w:style w:type="character" w:customStyle="1" w:styleId="CommentTextChar">
    <w:name w:val="Comment Text Char"/>
    <w:basedOn w:val="DefaultParagraphFont"/>
    <w:link w:val="CommentText"/>
    <w:uiPriority w:val="99"/>
    <w:rsid w:val="00C84D8A"/>
    <w:rPr>
      <w:sz w:val="20"/>
      <w:szCs w:val="20"/>
    </w:rPr>
  </w:style>
  <w:style w:type="paragraph" w:styleId="CommentSubject">
    <w:name w:val="annotation subject"/>
    <w:basedOn w:val="CommentText"/>
    <w:next w:val="CommentText"/>
    <w:link w:val="CommentSubjectChar"/>
    <w:uiPriority w:val="99"/>
    <w:semiHidden/>
    <w:unhideWhenUsed/>
    <w:rsid w:val="00C84D8A"/>
    <w:rPr>
      <w:b/>
      <w:bCs/>
    </w:rPr>
  </w:style>
  <w:style w:type="character" w:customStyle="1" w:styleId="CommentSubjectChar">
    <w:name w:val="Comment Subject Char"/>
    <w:basedOn w:val="CommentTextChar"/>
    <w:link w:val="CommentSubject"/>
    <w:uiPriority w:val="99"/>
    <w:semiHidden/>
    <w:rsid w:val="00C84D8A"/>
    <w:rPr>
      <w:b/>
      <w:bCs/>
      <w:sz w:val="20"/>
      <w:szCs w:val="20"/>
    </w:rPr>
  </w:style>
  <w:style w:type="paragraph" w:styleId="BalloonText">
    <w:name w:val="Balloon Text"/>
    <w:basedOn w:val="Normal"/>
    <w:link w:val="BalloonTextChar"/>
    <w:uiPriority w:val="99"/>
    <w:semiHidden/>
    <w:unhideWhenUsed/>
    <w:rsid w:val="00C84D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D8A"/>
    <w:rPr>
      <w:rFonts w:ascii="Tahoma" w:hAnsi="Tahoma" w:cs="Tahoma"/>
      <w:sz w:val="16"/>
      <w:szCs w:val="16"/>
    </w:rPr>
  </w:style>
  <w:style w:type="character" w:customStyle="1" w:styleId="Heading1Char">
    <w:name w:val="Heading 1 Char"/>
    <w:basedOn w:val="DefaultParagraphFont"/>
    <w:link w:val="Heading1"/>
    <w:rsid w:val="00773B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3B3E"/>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B3E"/>
    <w:pPr>
      <w:outlineLvl w:val="9"/>
    </w:pPr>
    <w:rPr>
      <w:lang w:val="en-US" w:eastAsia="ja-JP"/>
    </w:rPr>
  </w:style>
  <w:style w:type="paragraph" w:styleId="TOC1">
    <w:name w:val="toc 1"/>
    <w:basedOn w:val="Normal"/>
    <w:next w:val="Normal"/>
    <w:autoRedefine/>
    <w:uiPriority w:val="39"/>
    <w:unhideWhenUsed/>
    <w:qFormat/>
    <w:rsid w:val="00773B3E"/>
    <w:pPr>
      <w:spacing w:after="100"/>
    </w:pPr>
  </w:style>
  <w:style w:type="paragraph" w:styleId="TOC2">
    <w:name w:val="toc 2"/>
    <w:basedOn w:val="Normal"/>
    <w:next w:val="Normal"/>
    <w:autoRedefine/>
    <w:uiPriority w:val="39"/>
    <w:unhideWhenUsed/>
    <w:qFormat/>
    <w:rsid w:val="00773B3E"/>
    <w:pPr>
      <w:spacing w:after="100"/>
      <w:ind w:left="220"/>
    </w:pPr>
  </w:style>
  <w:style w:type="character" w:styleId="Hyperlink">
    <w:name w:val="Hyperlink"/>
    <w:basedOn w:val="DefaultParagraphFont"/>
    <w:uiPriority w:val="99"/>
    <w:unhideWhenUsed/>
    <w:rsid w:val="00773B3E"/>
    <w:rPr>
      <w:color w:val="0000FF" w:themeColor="hyperlink"/>
      <w:u w:val="single"/>
    </w:rPr>
  </w:style>
  <w:style w:type="paragraph" w:styleId="TOC3">
    <w:name w:val="toc 3"/>
    <w:basedOn w:val="Normal"/>
    <w:next w:val="Normal"/>
    <w:autoRedefine/>
    <w:uiPriority w:val="39"/>
    <w:unhideWhenUsed/>
    <w:qFormat/>
    <w:rsid w:val="000F6613"/>
    <w:pPr>
      <w:tabs>
        <w:tab w:val="right" w:leader="dot" w:pos="9016"/>
      </w:tabs>
      <w:spacing w:after="100" w:line="240" w:lineRule="auto"/>
      <w:ind w:left="442"/>
    </w:pPr>
    <w:rPr>
      <w:rFonts w:eastAsiaTheme="minorEastAsia"/>
      <w:lang w:val="en-US" w:eastAsia="ja-JP"/>
    </w:rPr>
  </w:style>
  <w:style w:type="character" w:customStyle="1" w:styleId="Heading3Char">
    <w:name w:val="Heading 3 Char"/>
    <w:basedOn w:val="DefaultParagraphFont"/>
    <w:link w:val="Heading3"/>
    <w:uiPriority w:val="9"/>
    <w:rsid w:val="00B05421"/>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C65F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F28"/>
  </w:style>
  <w:style w:type="paragraph" w:styleId="Footer">
    <w:name w:val="footer"/>
    <w:basedOn w:val="Normal"/>
    <w:link w:val="FooterChar"/>
    <w:uiPriority w:val="99"/>
    <w:unhideWhenUsed/>
    <w:rsid w:val="00C65F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F28"/>
  </w:style>
  <w:style w:type="paragraph" w:customStyle="1" w:styleId="DocTitle">
    <w:name w:val="Doc Title"/>
    <w:basedOn w:val="Normal"/>
    <w:next w:val="Heading1"/>
    <w:rsid w:val="00E4351A"/>
    <w:pPr>
      <w:tabs>
        <w:tab w:val="left" w:pos="851"/>
        <w:tab w:val="right" w:pos="9356"/>
      </w:tabs>
      <w:spacing w:before="480" w:after="240" w:line="480" w:lineRule="exact"/>
      <w:jc w:val="center"/>
    </w:pPr>
    <w:rPr>
      <w:rFonts w:ascii="Times New Roman" w:eastAsia="Times New Roman" w:hAnsi="Times New Roman" w:cs="Sendnya"/>
      <w:b/>
      <w:bCs/>
      <w:caps/>
      <w:sz w:val="32"/>
      <w:szCs w:val="32"/>
      <w:lang w:eastAsia="en-GB"/>
    </w:rPr>
  </w:style>
  <w:style w:type="character" w:styleId="BookTitle">
    <w:name w:val="Book Title"/>
    <w:uiPriority w:val="33"/>
    <w:qFormat/>
    <w:rsid w:val="00E4351A"/>
    <w:rPr>
      <w:b/>
      <w:bCs/>
      <w:smallCaps/>
      <w:spacing w:val="5"/>
    </w:rPr>
  </w:style>
  <w:style w:type="table" w:styleId="TableGrid">
    <w:name w:val="Table Grid"/>
    <w:basedOn w:val="TableNormal"/>
    <w:uiPriority w:val="59"/>
    <w:rsid w:val="00DF0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2A3B"/>
    <w:rPr>
      <w:color w:val="808080"/>
    </w:rPr>
  </w:style>
  <w:style w:type="paragraph" w:styleId="FootnoteText">
    <w:name w:val="footnote text"/>
    <w:basedOn w:val="Normal"/>
    <w:link w:val="FootnoteTextChar"/>
    <w:uiPriority w:val="99"/>
    <w:semiHidden/>
    <w:unhideWhenUsed/>
    <w:rsid w:val="009E0D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0DE4"/>
    <w:rPr>
      <w:sz w:val="20"/>
      <w:szCs w:val="20"/>
    </w:rPr>
  </w:style>
  <w:style w:type="character" w:styleId="FootnoteReference">
    <w:name w:val="footnote reference"/>
    <w:basedOn w:val="DefaultParagraphFont"/>
    <w:uiPriority w:val="99"/>
    <w:semiHidden/>
    <w:unhideWhenUsed/>
    <w:rsid w:val="009E0DE4"/>
    <w:rPr>
      <w:vertAlign w:val="superscript"/>
    </w:rPr>
  </w:style>
  <w:style w:type="paragraph" w:styleId="Revision">
    <w:name w:val="Revision"/>
    <w:hidden/>
    <w:uiPriority w:val="99"/>
    <w:semiHidden/>
    <w:rsid w:val="001F6E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7212">
      <w:bodyDiv w:val="1"/>
      <w:marLeft w:val="0"/>
      <w:marRight w:val="0"/>
      <w:marTop w:val="0"/>
      <w:marBottom w:val="0"/>
      <w:divBdr>
        <w:top w:val="none" w:sz="0" w:space="0" w:color="auto"/>
        <w:left w:val="none" w:sz="0" w:space="0" w:color="auto"/>
        <w:bottom w:val="none" w:sz="0" w:space="0" w:color="auto"/>
        <w:right w:val="none" w:sz="0" w:space="0" w:color="auto"/>
      </w:divBdr>
    </w:div>
    <w:div w:id="204412734">
      <w:bodyDiv w:val="1"/>
      <w:marLeft w:val="0"/>
      <w:marRight w:val="0"/>
      <w:marTop w:val="0"/>
      <w:marBottom w:val="0"/>
      <w:divBdr>
        <w:top w:val="none" w:sz="0" w:space="0" w:color="auto"/>
        <w:left w:val="none" w:sz="0" w:space="0" w:color="auto"/>
        <w:bottom w:val="none" w:sz="0" w:space="0" w:color="auto"/>
        <w:right w:val="none" w:sz="0" w:space="0" w:color="auto"/>
      </w:divBdr>
    </w:div>
    <w:div w:id="1631666633">
      <w:bodyDiv w:val="1"/>
      <w:marLeft w:val="0"/>
      <w:marRight w:val="0"/>
      <w:marTop w:val="0"/>
      <w:marBottom w:val="0"/>
      <w:divBdr>
        <w:top w:val="none" w:sz="0" w:space="0" w:color="auto"/>
        <w:left w:val="none" w:sz="0" w:space="0" w:color="auto"/>
        <w:bottom w:val="none" w:sz="0" w:space="0" w:color="auto"/>
        <w:right w:val="none" w:sz="0" w:space="0" w:color="auto"/>
      </w:divBdr>
    </w:div>
    <w:div w:id="1655715927">
      <w:bodyDiv w:val="1"/>
      <w:marLeft w:val="0"/>
      <w:marRight w:val="0"/>
      <w:marTop w:val="0"/>
      <w:marBottom w:val="0"/>
      <w:divBdr>
        <w:top w:val="none" w:sz="0" w:space="0" w:color="auto"/>
        <w:left w:val="none" w:sz="0" w:space="0" w:color="auto"/>
        <w:bottom w:val="none" w:sz="0" w:space="0" w:color="auto"/>
        <w:right w:val="none" w:sz="0" w:space="0" w:color="auto"/>
      </w:divBdr>
    </w:div>
    <w:div w:id="178468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16" ma:contentTypeDescription="Criar um novo documento." ma:contentTypeScope="" ma:versionID="25cd4bb1aaf04bf7c36d581853a12fbf">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2898a58c724212c25df4c06f581a570c"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E9D247-01AD-4B55-BB3A-D79CDAC70076}">
  <ds:schemaRefs>
    <ds:schemaRef ds:uri="http://schemas.openxmlformats.org/officeDocument/2006/bibliography"/>
  </ds:schemaRefs>
</ds:datastoreItem>
</file>

<file path=customXml/itemProps2.xml><?xml version="1.0" encoding="utf-8"?>
<ds:datastoreItem xmlns:ds="http://schemas.openxmlformats.org/officeDocument/2006/customXml" ds:itemID="{DED2AA7C-8561-4685-A912-0CA6931DAF5C}"/>
</file>

<file path=customXml/itemProps3.xml><?xml version="1.0" encoding="utf-8"?>
<ds:datastoreItem xmlns:ds="http://schemas.openxmlformats.org/officeDocument/2006/customXml" ds:itemID="{8D2BE522-49CA-46DA-A09F-669FA7CD1847}"/>
</file>

<file path=customXml/itemProps4.xml><?xml version="1.0" encoding="utf-8"?>
<ds:datastoreItem xmlns:ds="http://schemas.openxmlformats.org/officeDocument/2006/customXml" ds:itemID="{C3CC3D3B-A56A-4133-9F91-685D88899A0C}"/>
</file>

<file path=docProps/app.xml><?xml version="1.0" encoding="utf-8"?>
<Properties xmlns="http://schemas.openxmlformats.org/officeDocument/2006/extended-properties" xmlns:vt="http://schemas.openxmlformats.org/officeDocument/2006/docPropsVTypes">
  <Template>Normal.dotm</Template>
  <TotalTime>528</TotalTime>
  <Pages>16</Pages>
  <Words>7109</Words>
  <Characters>40526</Characters>
  <Application>Microsoft Office Word</Application>
  <DocSecurity>0</DocSecurity>
  <Lines>337</Lines>
  <Paragraphs>95</Paragraphs>
  <ScaleCrop>false</ScaleCrop>
  <HeadingPairs>
    <vt:vector size="6" baseType="variant">
      <vt:variant>
        <vt:lpstr>Title</vt:lpstr>
      </vt:variant>
      <vt:variant>
        <vt:i4>1</vt:i4>
      </vt:variant>
      <vt:variant>
        <vt:lpstr>Titolo</vt:lpstr>
      </vt:variant>
      <vt:variant>
        <vt:i4>1</vt:i4>
      </vt:variant>
      <vt:variant>
        <vt:lpstr>Titre</vt:lpstr>
      </vt:variant>
      <vt:variant>
        <vt:i4>1</vt:i4>
      </vt:variant>
    </vt:vector>
  </HeadingPairs>
  <TitlesOfParts>
    <vt:vector size="3" baseType="lpstr">
      <vt:lpstr/>
      <vt:lpstr/>
      <vt:lpstr/>
    </vt:vector>
  </TitlesOfParts>
  <Company>European Central Bank</Company>
  <LinksUpToDate>false</LinksUpToDate>
  <CharactersWithSpaces>47540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Peralta, Joana</dc:creator>
  <cp:lastModifiedBy>Sailis, Debora</cp:lastModifiedBy>
  <cp:revision>17</cp:revision>
  <cp:lastPrinted>2019-03-11T14:43:00Z</cp:lastPrinted>
  <dcterms:created xsi:type="dcterms:W3CDTF">2022-10-25T07:51:00Z</dcterms:created>
  <dcterms:modified xsi:type="dcterms:W3CDTF">2023-10-05T15:13:00Z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0x010100845A6BCA4ACA584C9A1C03FD3956D51C</vt:lpwstr>
  </property>
</Properties>
</file>