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A7552" w14:textId="30031DD8" w:rsidR="00A37128" w:rsidRPr="00180AC3" w:rsidRDefault="00A37128" w:rsidP="00820E37">
      <w:pPr>
        <w:spacing w:before="60" w:after="60" w:line="160" w:lineRule="atLeast"/>
        <w:rPr>
          <w:rFonts w:eastAsia="Times New Roman" w:cstheme="minorHAnsi"/>
          <w:b/>
          <w:bCs/>
          <w:lang w:val="en-US" w:eastAsia="en-GB"/>
        </w:rPr>
      </w:pPr>
      <w:r w:rsidRPr="00180AC3">
        <w:rPr>
          <w:rFonts w:eastAsia="Times New Roman" w:cstheme="minorHAnsi"/>
          <w:b/>
          <w:bCs/>
          <w:lang w:val="en-US" w:eastAsia="en-GB"/>
        </w:rPr>
        <w:t>ECB-PUBLIC</w:t>
      </w:r>
    </w:p>
    <w:p w14:paraId="5FD03CBD" w14:textId="181AC08E" w:rsidR="00271777" w:rsidRPr="00180AC3" w:rsidRDefault="00012396" w:rsidP="00A40857">
      <w:pPr>
        <w:spacing w:before="120" w:after="0" w:line="240" w:lineRule="auto"/>
        <w:jc w:val="both"/>
        <w:rPr>
          <w:rFonts w:cstheme="minorHAnsi"/>
        </w:rPr>
      </w:pPr>
      <w:r w:rsidRPr="00180AC3">
        <w:rPr>
          <w:rFonts w:cstheme="minorHAnsi"/>
        </w:rPr>
        <w:t>2</w:t>
      </w:r>
      <w:r w:rsidR="0081720F" w:rsidRPr="00180AC3">
        <w:rPr>
          <w:rFonts w:cstheme="minorHAnsi"/>
        </w:rPr>
        <w:t>9</w:t>
      </w:r>
      <w:r w:rsidR="002C152D" w:rsidRPr="00180AC3">
        <w:rPr>
          <w:rFonts w:cstheme="minorHAnsi"/>
        </w:rPr>
        <w:t xml:space="preserve"> </w:t>
      </w:r>
      <w:r w:rsidRPr="00180AC3">
        <w:rPr>
          <w:rFonts w:cstheme="minorHAnsi"/>
        </w:rPr>
        <w:t xml:space="preserve">September </w:t>
      </w:r>
      <w:r w:rsidR="002C152D" w:rsidRPr="00180AC3">
        <w:rPr>
          <w:rFonts w:cstheme="minorHAnsi"/>
        </w:rPr>
        <w:t>202</w:t>
      </w:r>
      <w:r w:rsidRPr="00180AC3">
        <w:rPr>
          <w:rFonts w:cstheme="minorHAnsi"/>
        </w:rPr>
        <w:t>3</w:t>
      </w:r>
    </w:p>
    <w:p w14:paraId="52B70430" w14:textId="2780AF12" w:rsidR="00271777" w:rsidRPr="00180AC3" w:rsidRDefault="00271777" w:rsidP="00A40857">
      <w:pPr>
        <w:spacing w:before="120" w:after="0" w:line="240" w:lineRule="auto"/>
        <w:jc w:val="both"/>
        <w:rPr>
          <w:rFonts w:cstheme="minorHAnsi"/>
        </w:rPr>
      </w:pPr>
      <w:r w:rsidRPr="00180AC3">
        <w:rPr>
          <w:rFonts w:cstheme="minorHAnsi"/>
        </w:rPr>
        <w:t>DG</w:t>
      </w:r>
      <w:r w:rsidR="00E97BB3" w:rsidRPr="00180AC3">
        <w:rPr>
          <w:rFonts w:cstheme="minorHAnsi"/>
        </w:rPr>
        <w:t xml:space="preserve"> HORIZONTAL LINE SUPERVISION</w:t>
      </w:r>
    </w:p>
    <w:p w14:paraId="522883FF" w14:textId="09BC9D6A" w:rsidR="00271777" w:rsidRPr="00180AC3" w:rsidRDefault="00E97BB3" w:rsidP="00A40857">
      <w:pPr>
        <w:spacing w:before="120" w:after="0" w:line="240" w:lineRule="auto"/>
        <w:jc w:val="both"/>
        <w:rPr>
          <w:rFonts w:cstheme="minorHAnsi"/>
        </w:rPr>
      </w:pPr>
      <w:r w:rsidRPr="00180AC3">
        <w:rPr>
          <w:rFonts w:cstheme="minorHAnsi"/>
        </w:rPr>
        <w:t xml:space="preserve">SUPERVISORY METHODOLOGY </w:t>
      </w:r>
      <w:r w:rsidR="00C87BC9" w:rsidRPr="00180AC3">
        <w:rPr>
          <w:rFonts w:cstheme="minorHAnsi"/>
        </w:rPr>
        <w:t>DIVISION</w:t>
      </w:r>
    </w:p>
    <w:p w14:paraId="775CB050" w14:textId="77777777" w:rsidR="00271777" w:rsidRPr="00180AC3" w:rsidRDefault="00271777" w:rsidP="00A40857">
      <w:pPr>
        <w:spacing w:before="120" w:after="0" w:line="240" w:lineRule="auto"/>
        <w:jc w:val="both"/>
        <w:rPr>
          <w:rFonts w:cstheme="minorHAnsi"/>
        </w:rPr>
      </w:pPr>
    </w:p>
    <w:p w14:paraId="39E4F5BB" w14:textId="77777777" w:rsidR="00271777" w:rsidRPr="00180AC3" w:rsidRDefault="00271777" w:rsidP="00A40857">
      <w:pPr>
        <w:spacing w:before="120" w:after="0" w:line="240" w:lineRule="auto"/>
        <w:jc w:val="both"/>
        <w:rPr>
          <w:rFonts w:cstheme="minorHAnsi"/>
        </w:rPr>
      </w:pPr>
    </w:p>
    <w:p w14:paraId="1FB3ECC3" w14:textId="77777777" w:rsidR="00271777" w:rsidRPr="00180AC3" w:rsidRDefault="00271777" w:rsidP="00820E37">
      <w:pPr>
        <w:pStyle w:val="DocTitle"/>
        <w:tabs>
          <w:tab w:val="clear" w:pos="9356"/>
          <w:tab w:val="right" w:pos="9072"/>
        </w:tabs>
        <w:spacing w:before="120" w:line="240" w:lineRule="auto"/>
        <w:rPr>
          <w:rFonts w:asciiTheme="minorHAnsi" w:hAnsiTheme="minorHAnsi" w:cstheme="minorHAnsi"/>
          <w:sz w:val="22"/>
          <w:szCs w:val="22"/>
        </w:rPr>
      </w:pPr>
      <w:r w:rsidRPr="00180AC3">
        <w:rPr>
          <w:rFonts w:asciiTheme="minorHAnsi" w:hAnsiTheme="minorHAnsi" w:cstheme="minorHAnsi"/>
          <w:sz w:val="22"/>
          <w:szCs w:val="22"/>
        </w:rPr>
        <w:t>SSM Short Term Exercise collected for SREP purposes (STE)</w:t>
      </w:r>
    </w:p>
    <w:p w14:paraId="088DF7EA" w14:textId="77777777" w:rsidR="00820E37" w:rsidRDefault="00271777" w:rsidP="00820E37">
      <w:pPr>
        <w:spacing w:before="120" w:line="240" w:lineRule="auto"/>
        <w:jc w:val="center"/>
        <w:rPr>
          <w:rFonts w:cstheme="minorHAnsi"/>
          <w:b/>
        </w:rPr>
      </w:pPr>
      <w:r w:rsidRPr="00180AC3">
        <w:rPr>
          <w:rFonts w:cstheme="minorHAnsi"/>
          <w:b/>
        </w:rPr>
        <w:t>Reporting Instructions for</w:t>
      </w:r>
    </w:p>
    <w:p w14:paraId="548EC8E9" w14:textId="496C9104" w:rsidR="00271777" w:rsidRPr="00180AC3" w:rsidRDefault="00271777" w:rsidP="00820E37">
      <w:pPr>
        <w:spacing w:before="120" w:line="240" w:lineRule="auto"/>
        <w:jc w:val="center"/>
        <w:rPr>
          <w:rFonts w:cstheme="minorHAnsi"/>
          <w:b/>
        </w:rPr>
      </w:pPr>
      <w:r w:rsidRPr="00180AC3">
        <w:rPr>
          <w:rFonts w:cstheme="minorHAnsi"/>
          <w:b/>
        </w:rPr>
        <w:t xml:space="preserve">Interest Rate Risk in the Banking Book (IRRBB) </w:t>
      </w:r>
      <w:r w:rsidR="00CC3F6A" w:rsidRPr="00180AC3">
        <w:rPr>
          <w:rFonts w:cstheme="minorHAnsi"/>
          <w:b/>
        </w:rPr>
        <w:t>and Credit Spread Risk in the Banking Book (CSRBB)</w:t>
      </w:r>
      <w:r w:rsidR="000526D8" w:rsidRPr="00180AC3">
        <w:rPr>
          <w:rFonts w:cstheme="minorHAnsi"/>
          <w:b/>
        </w:rPr>
        <w:t xml:space="preserve"> </w:t>
      </w:r>
      <w:r w:rsidRPr="00180AC3">
        <w:rPr>
          <w:rFonts w:cstheme="minorHAnsi"/>
          <w:b/>
        </w:rPr>
        <w:t>Template</w:t>
      </w:r>
    </w:p>
    <w:p w14:paraId="04BE64D8" w14:textId="77777777" w:rsidR="00271777" w:rsidRPr="00180AC3" w:rsidRDefault="00271777" w:rsidP="00A40857">
      <w:pPr>
        <w:spacing w:before="120" w:line="240" w:lineRule="auto"/>
        <w:jc w:val="both"/>
        <w:rPr>
          <w:rFonts w:cstheme="minorHAnsi"/>
          <w:b/>
        </w:rPr>
      </w:pPr>
    </w:p>
    <w:p w14:paraId="172F6FEA" w14:textId="38E38772" w:rsidR="00271777" w:rsidRPr="00180AC3" w:rsidRDefault="00271777" w:rsidP="00A40857">
      <w:pPr>
        <w:spacing w:before="120" w:line="240" w:lineRule="auto"/>
        <w:jc w:val="both"/>
        <w:rPr>
          <w:rFonts w:cstheme="minorHAnsi"/>
        </w:rPr>
      </w:pPr>
      <w:r w:rsidRPr="00180AC3">
        <w:rPr>
          <w:rFonts w:cstheme="minorHAnsi"/>
        </w:rPr>
        <w:t xml:space="preserve">To fill-in the template </w:t>
      </w:r>
      <w:r w:rsidRPr="007D43C0">
        <w:rPr>
          <w:rFonts w:cstheme="minorHAnsi"/>
          <w:b/>
          <w:color w:val="2038EC"/>
          <w:highlight w:val="yellow"/>
        </w:rPr>
        <w:t>05 – YYYY QX SREP IRRBB</w:t>
      </w:r>
      <w:r w:rsidR="00CC3F6A" w:rsidRPr="007D43C0">
        <w:rPr>
          <w:rFonts w:cstheme="minorHAnsi"/>
          <w:b/>
          <w:color w:val="2038EC"/>
          <w:highlight w:val="yellow"/>
        </w:rPr>
        <w:t>_CSRBB</w:t>
      </w:r>
      <w:r w:rsidRPr="007D43C0">
        <w:rPr>
          <w:rFonts w:cstheme="minorHAnsi"/>
          <w:b/>
          <w:color w:val="2038EC"/>
          <w:highlight w:val="yellow"/>
        </w:rPr>
        <w:t>.xlsx</w:t>
      </w:r>
      <w:r w:rsidRPr="00180AC3">
        <w:rPr>
          <w:rFonts w:cstheme="minorHAnsi"/>
        </w:rPr>
        <w:t>, institutions are requested to respect the following instructions.</w:t>
      </w:r>
    </w:p>
    <w:p w14:paraId="11E51564" w14:textId="77777777" w:rsidR="00271777" w:rsidRPr="00180AC3" w:rsidRDefault="00271777" w:rsidP="00A40857">
      <w:pPr>
        <w:spacing w:before="120" w:line="240" w:lineRule="auto"/>
        <w:jc w:val="both"/>
        <w:rPr>
          <w:rFonts w:cstheme="minorHAnsi"/>
        </w:rPr>
      </w:pPr>
      <w:r w:rsidRPr="00180AC3">
        <w:rPr>
          <w:rFonts w:cstheme="minorHAnsi"/>
        </w:rPr>
        <w:t>This document comprises the following sections:</w:t>
      </w:r>
    </w:p>
    <w:sdt>
      <w:sdtPr>
        <w:rPr>
          <w:rFonts w:asciiTheme="minorHAnsi" w:eastAsiaTheme="minorHAnsi" w:hAnsiTheme="minorHAnsi" w:cstheme="minorHAnsi"/>
          <w:b w:val="0"/>
          <w:bCs w:val="0"/>
          <w:color w:val="auto"/>
          <w:sz w:val="22"/>
          <w:szCs w:val="22"/>
          <w:lang w:val="en-GB" w:eastAsia="en-US"/>
        </w:rPr>
        <w:id w:val="-1256286849"/>
        <w:docPartObj>
          <w:docPartGallery w:val="Table of Contents"/>
          <w:docPartUnique/>
        </w:docPartObj>
      </w:sdtPr>
      <w:sdtEndPr>
        <w:rPr>
          <w:noProof/>
        </w:rPr>
      </w:sdtEndPr>
      <w:sdtContent>
        <w:p w14:paraId="1C724558" w14:textId="77777777" w:rsidR="00271777" w:rsidRPr="00180AC3" w:rsidRDefault="00271777" w:rsidP="00A40857">
          <w:pPr>
            <w:pStyle w:val="TOCHeading"/>
            <w:spacing w:before="120" w:line="240" w:lineRule="auto"/>
            <w:jc w:val="both"/>
            <w:rPr>
              <w:rFonts w:asciiTheme="minorHAnsi" w:hAnsiTheme="minorHAnsi" w:cstheme="minorHAnsi"/>
              <w:color w:val="auto"/>
              <w:sz w:val="22"/>
              <w:szCs w:val="22"/>
            </w:rPr>
          </w:pPr>
        </w:p>
        <w:p w14:paraId="7C9DD4A6" w14:textId="6DB5F1E7" w:rsidR="00756F68" w:rsidRPr="00180AC3" w:rsidRDefault="00271777" w:rsidP="00A40857">
          <w:pPr>
            <w:pStyle w:val="TOC1"/>
            <w:tabs>
              <w:tab w:val="left" w:pos="442"/>
              <w:tab w:val="right" w:leader="dot" w:pos="9016"/>
            </w:tabs>
            <w:jc w:val="both"/>
            <w:rPr>
              <w:rFonts w:eastAsiaTheme="minorEastAsia" w:cstheme="minorHAnsi"/>
              <w:noProof/>
              <w:lang w:eastAsia="en-GB"/>
            </w:rPr>
          </w:pPr>
          <w:r w:rsidRPr="00180AC3">
            <w:rPr>
              <w:rFonts w:cstheme="minorHAnsi"/>
            </w:rPr>
            <w:fldChar w:fldCharType="begin"/>
          </w:r>
          <w:r w:rsidRPr="00180AC3">
            <w:rPr>
              <w:rFonts w:cstheme="minorHAnsi"/>
            </w:rPr>
            <w:instrText xml:space="preserve"> TOC \o "1-3" \h \z \u </w:instrText>
          </w:r>
          <w:r w:rsidRPr="00180AC3">
            <w:rPr>
              <w:rFonts w:cstheme="minorHAnsi"/>
            </w:rPr>
            <w:fldChar w:fldCharType="separate"/>
          </w:r>
          <w:hyperlink w:anchor="_Toc146804976" w:history="1">
            <w:r w:rsidR="00756F68" w:rsidRPr="00180AC3">
              <w:rPr>
                <w:rStyle w:val="Hyperlink"/>
                <w:rFonts w:eastAsia="Times New Roman" w:cstheme="minorHAnsi"/>
                <w:noProof/>
                <w:kern w:val="28"/>
                <w:lang w:eastAsia="en-GB"/>
              </w:rPr>
              <w:t>1.</w:t>
            </w:r>
            <w:r w:rsidR="00756F68" w:rsidRPr="00180AC3">
              <w:rPr>
                <w:rFonts w:eastAsiaTheme="minorEastAsia" w:cstheme="minorHAnsi"/>
                <w:noProof/>
                <w:lang w:eastAsia="en-GB"/>
              </w:rPr>
              <w:tab/>
            </w:r>
            <w:r w:rsidR="00756F68" w:rsidRPr="00180AC3">
              <w:rPr>
                <w:rStyle w:val="Hyperlink"/>
                <w:rFonts w:eastAsia="Times New Roman" w:cstheme="minorHAnsi"/>
                <w:noProof/>
                <w:kern w:val="28"/>
                <w:lang w:eastAsia="en-GB"/>
              </w:rPr>
              <w:t>General instructions</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_Toc146804976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2</w:t>
            </w:r>
            <w:r w:rsidR="00756F68" w:rsidRPr="00180AC3">
              <w:rPr>
                <w:rFonts w:cstheme="minorHAnsi"/>
                <w:noProof/>
                <w:webHidden/>
              </w:rPr>
              <w:fldChar w:fldCharType="end"/>
            </w:r>
          </w:hyperlink>
        </w:p>
        <w:p w14:paraId="4DF3CCD4" w14:textId="152CD9C2"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77" w:history="1">
            <w:r w:rsidR="00756F68" w:rsidRPr="00180AC3">
              <w:rPr>
                <w:rStyle w:val="Hyperlink"/>
                <w:rFonts w:cstheme="minorHAnsi"/>
                <w:noProof/>
              </w:rPr>
              <w:t>Legal background</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_Toc146804977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2</w:t>
            </w:r>
            <w:r w:rsidR="00756F68" w:rsidRPr="00180AC3">
              <w:rPr>
                <w:rFonts w:cstheme="minorHAnsi"/>
                <w:noProof/>
                <w:webHidden/>
              </w:rPr>
              <w:fldChar w:fldCharType="end"/>
            </w:r>
          </w:hyperlink>
        </w:p>
        <w:p w14:paraId="1D05C9D8" w14:textId="5A02E02D"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78" w:history="1">
            <w:r w:rsidR="00756F68" w:rsidRPr="00180AC3">
              <w:rPr>
                <w:rStyle w:val="Hyperlink"/>
                <w:rFonts w:cstheme="minorHAnsi"/>
                <w:noProof/>
              </w:rPr>
              <w:t>Reference date</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_Toc146804978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2</w:t>
            </w:r>
            <w:r w:rsidR="00756F68" w:rsidRPr="00180AC3">
              <w:rPr>
                <w:rFonts w:cstheme="minorHAnsi"/>
                <w:noProof/>
                <w:webHidden/>
              </w:rPr>
              <w:fldChar w:fldCharType="end"/>
            </w:r>
          </w:hyperlink>
        </w:p>
        <w:p w14:paraId="021D1B5F" w14:textId="2A93C94B"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79" w:history="1">
            <w:r w:rsidR="00756F68" w:rsidRPr="00180AC3">
              <w:rPr>
                <w:rStyle w:val="Hyperlink"/>
                <w:rFonts w:cstheme="minorHAnsi"/>
                <w:noProof/>
              </w:rPr>
              <w:t>Reporting units</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_Toc146804979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3</w:t>
            </w:r>
            <w:r w:rsidR="00756F68" w:rsidRPr="00180AC3">
              <w:rPr>
                <w:rFonts w:cstheme="minorHAnsi"/>
                <w:noProof/>
                <w:webHidden/>
              </w:rPr>
              <w:fldChar w:fldCharType="end"/>
            </w:r>
          </w:hyperlink>
        </w:p>
        <w:p w14:paraId="31AFABF5" w14:textId="3A7A639C"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0" w:history="1">
            <w:r w:rsidR="00756F68" w:rsidRPr="00180AC3">
              <w:rPr>
                <w:rStyle w:val="Hyperlink"/>
                <w:rFonts w:cstheme="minorHAnsi"/>
                <w:noProof/>
              </w:rPr>
              <w:t>Data</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_Toc146804980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3</w:t>
            </w:r>
            <w:r w:rsidR="00756F68" w:rsidRPr="00180AC3">
              <w:rPr>
                <w:rFonts w:cstheme="minorHAnsi"/>
                <w:noProof/>
                <w:webHidden/>
              </w:rPr>
              <w:fldChar w:fldCharType="end"/>
            </w:r>
          </w:hyperlink>
        </w:p>
        <w:p w14:paraId="3B64A26F" w14:textId="71A33698"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1" w:history="1">
            <w:r w:rsidR="00756F68" w:rsidRPr="00180AC3">
              <w:rPr>
                <w:rStyle w:val="Hyperlink"/>
                <w:rFonts w:cstheme="minorHAnsi"/>
                <w:noProof/>
              </w:rPr>
              <w:t>Validation rules</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_Toc146804981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3</w:t>
            </w:r>
            <w:r w:rsidR="00756F68" w:rsidRPr="00180AC3">
              <w:rPr>
                <w:rFonts w:cstheme="minorHAnsi"/>
                <w:noProof/>
                <w:webHidden/>
              </w:rPr>
              <w:fldChar w:fldCharType="end"/>
            </w:r>
          </w:hyperlink>
        </w:p>
        <w:p w14:paraId="1EB8514C" w14:textId="1C7E2065" w:rsidR="00756F68" w:rsidRPr="00180AC3" w:rsidRDefault="00000000" w:rsidP="00A40857">
          <w:pPr>
            <w:pStyle w:val="TOC1"/>
            <w:tabs>
              <w:tab w:val="left" w:pos="442"/>
              <w:tab w:val="right" w:leader="dot" w:pos="9016"/>
            </w:tabs>
            <w:jc w:val="both"/>
            <w:rPr>
              <w:rFonts w:eastAsiaTheme="minorEastAsia" w:cstheme="minorHAnsi"/>
              <w:noProof/>
              <w:lang w:eastAsia="en-GB"/>
            </w:rPr>
          </w:pPr>
          <w:hyperlink w:anchor="_Toc146804982" w:history="1">
            <w:r w:rsidR="00756F68" w:rsidRPr="00180AC3">
              <w:rPr>
                <w:rStyle w:val="Hyperlink"/>
                <w:rFonts w:eastAsia="Times New Roman" w:cstheme="minorHAnsi"/>
                <w:noProof/>
                <w:kern w:val="28"/>
                <w:lang w:eastAsia="en-GB"/>
              </w:rPr>
              <w:t>2.</w:t>
            </w:r>
            <w:r w:rsidR="00756F68" w:rsidRPr="00180AC3">
              <w:rPr>
                <w:rFonts w:eastAsiaTheme="minorEastAsia" w:cstheme="minorHAnsi"/>
                <w:noProof/>
                <w:lang w:eastAsia="en-GB"/>
              </w:rPr>
              <w:tab/>
            </w:r>
            <w:r w:rsidR="00756F68" w:rsidRPr="00180AC3">
              <w:rPr>
                <w:rStyle w:val="Hyperlink"/>
                <w:rFonts w:eastAsia="Times New Roman" w:cstheme="minorHAnsi"/>
                <w:noProof/>
                <w:kern w:val="28"/>
                <w:lang w:eastAsia="en-GB"/>
              </w:rPr>
              <w:t>Specific instructions</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_Toc146804982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4</w:t>
            </w:r>
            <w:r w:rsidR="00756F68" w:rsidRPr="00180AC3">
              <w:rPr>
                <w:rFonts w:cstheme="minorHAnsi"/>
                <w:noProof/>
                <w:webHidden/>
              </w:rPr>
              <w:fldChar w:fldCharType="end"/>
            </w:r>
          </w:hyperlink>
        </w:p>
        <w:p w14:paraId="20138357" w14:textId="1D619375"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3" w:history="1">
            <w:r w:rsidR="00756F68" w:rsidRPr="00180AC3">
              <w:rPr>
                <w:rStyle w:val="Hyperlink"/>
                <w:rFonts w:cstheme="minorHAnsi"/>
                <w:noProof/>
              </w:rPr>
              <w:t>Template “0_Identification”</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_Toc146804983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4</w:t>
            </w:r>
            <w:r w:rsidR="00756F68" w:rsidRPr="00180AC3">
              <w:rPr>
                <w:rFonts w:cstheme="minorHAnsi"/>
                <w:noProof/>
                <w:webHidden/>
              </w:rPr>
              <w:fldChar w:fldCharType="end"/>
            </w:r>
          </w:hyperlink>
        </w:p>
        <w:p w14:paraId="27A252F6" w14:textId="29209D0F"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4" w:history="1">
            <w:r w:rsidR="00756F68" w:rsidRPr="00180AC3">
              <w:rPr>
                <w:rStyle w:val="Hyperlink"/>
                <w:rFonts w:cstheme="minorHAnsi"/>
                <w:noProof/>
              </w:rPr>
              <w:t>Template “1_IRRBB and CSRBB mapping”</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_Toc146804984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6</w:t>
            </w:r>
            <w:r w:rsidR="00756F68" w:rsidRPr="00180AC3">
              <w:rPr>
                <w:rFonts w:cstheme="minorHAnsi"/>
                <w:noProof/>
                <w:webHidden/>
              </w:rPr>
              <w:fldChar w:fldCharType="end"/>
            </w:r>
          </w:hyperlink>
        </w:p>
        <w:p w14:paraId="19555D3E" w14:textId="754D0847"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5" w:history="1">
            <w:r w:rsidR="00756F68" w:rsidRPr="00180AC3">
              <w:rPr>
                <w:rStyle w:val="Hyperlink"/>
                <w:rFonts w:cstheme="minorHAnsi"/>
                <w:noProof/>
              </w:rPr>
              <w:t>Template “2_CSRBB_sensitivities”</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_Toc146804985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13</w:t>
            </w:r>
            <w:r w:rsidR="00756F68" w:rsidRPr="00180AC3">
              <w:rPr>
                <w:rFonts w:cstheme="minorHAnsi"/>
                <w:noProof/>
                <w:webHidden/>
              </w:rPr>
              <w:fldChar w:fldCharType="end"/>
            </w:r>
          </w:hyperlink>
        </w:p>
        <w:p w14:paraId="7AE6DE00" w14:textId="48EC7386"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6" w:history="1">
            <w:r w:rsidR="00756F68" w:rsidRPr="00180AC3">
              <w:rPr>
                <w:rStyle w:val="Hyperlink"/>
                <w:rFonts w:cstheme="minorHAnsi"/>
                <w:noProof/>
              </w:rPr>
              <w:t>Template “3_Unrealised_losses”</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_Toc146804986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16</w:t>
            </w:r>
            <w:r w:rsidR="00756F68" w:rsidRPr="00180AC3">
              <w:rPr>
                <w:rFonts w:cstheme="minorHAnsi"/>
                <w:noProof/>
                <w:webHidden/>
              </w:rPr>
              <w:fldChar w:fldCharType="end"/>
            </w:r>
          </w:hyperlink>
        </w:p>
        <w:p w14:paraId="05DF94F9" w14:textId="6C1D4029"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7" w:history="1">
            <w:r w:rsidR="00756F68" w:rsidRPr="00180AC3">
              <w:rPr>
                <w:rStyle w:val="Hyperlink"/>
                <w:rFonts w:cstheme="minorHAnsi"/>
                <w:noProof/>
              </w:rPr>
              <w:t>Template “4_CSRBB additional”</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_Toc146804987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19</w:t>
            </w:r>
            <w:r w:rsidR="00756F68" w:rsidRPr="00180AC3">
              <w:rPr>
                <w:rFonts w:cstheme="minorHAnsi"/>
                <w:noProof/>
                <w:webHidden/>
              </w:rPr>
              <w:fldChar w:fldCharType="end"/>
            </w:r>
          </w:hyperlink>
        </w:p>
        <w:p w14:paraId="6D62C861" w14:textId="48B94DD2"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8" w:history="1">
            <w:r w:rsidR="00756F68" w:rsidRPr="00180AC3">
              <w:rPr>
                <w:rStyle w:val="Hyperlink"/>
                <w:rFonts w:cstheme="minorHAnsi"/>
                <w:noProof/>
                <w:lang w:val="fr-FR"/>
              </w:rPr>
              <w:t>Template “5_NMD_stratification”</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_Toc146804988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21</w:t>
            </w:r>
            <w:r w:rsidR="00756F68" w:rsidRPr="00180AC3">
              <w:rPr>
                <w:rFonts w:cstheme="minorHAnsi"/>
                <w:noProof/>
                <w:webHidden/>
              </w:rPr>
              <w:fldChar w:fldCharType="end"/>
            </w:r>
          </w:hyperlink>
        </w:p>
        <w:p w14:paraId="01AE2CB9" w14:textId="20E10822" w:rsidR="00756F68" w:rsidRPr="00180AC3" w:rsidRDefault="00000000" w:rsidP="00A40857">
          <w:pPr>
            <w:pStyle w:val="TOC2"/>
            <w:tabs>
              <w:tab w:val="right" w:leader="dot" w:pos="9016"/>
            </w:tabs>
            <w:jc w:val="both"/>
            <w:rPr>
              <w:rFonts w:eastAsiaTheme="minorEastAsia" w:cstheme="minorHAnsi"/>
              <w:noProof/>
              <w:lang w:eastAsia="en-GB"/>
            </w:rPr>
          </w:pPr>
          <w:hyperlink w:anchor="_Toc146804989" w:history="1">
            <w:r w:rsidR="00756F68" w:rsidRPr="00180AC3">
              <w:rPr>
                <w:rStyle w:val="Hyperlink"/>
                <w:rFonts w:cstheme="minorHAnsi"/>
                <w:noProof/>
              </w:rPr>
              <w:t>Template “6_IRRBB_Additional”</w:t>
            </w:r>
            <w:r w:rsidR="00756F68" w:rsidRPr="00180AC3">
              <w:rPr>
                <w:rFonts w:cstheme="minorHAnsi"/>
                <w:noProof/>
                <w:webHidden/>
              </w:rPr>
              <w:tab/>
            </w:r>
            <w:r w:rsidR="00756F68" w:rsidRPr="00180AC3">
              <w:rPr>
                <w:rFonts w:cstheme="minorHAnsi"/>
                <w:noProof/>
                <w:webHidden/>
              </w:rPr>
              <w:fldChar w:fldCharType="begin"/>
            </w:r>
            <w:r w:rsidR="00756F68" w:rsidRPr="00180AC3">
              <w:rPr>
                <w:rFonts w:cstheme="minorHAnsi"/>
                <w:noProof/>
                <w:webHidden/>
              </w:rPr>
              <w:instrText xml:space="preserve"> PAGEREF _Toc146804989 \h </w:instrText>
            </w:r>
            <w:r w:rsidR="00756F68" w:rsidRPr="00180AC3">
              <w:rPr>
                <w:rFonts w:cstheme="minorHAnsi"/>
                <w:noProof/>
                <w:webHidden/>
              </w:rPr>
            </w:r>
            <w:r w:rsidR="00756F68" w:rsidRPr="00180AC3">
              <w:rPr>
                <w:rFonts w:cstheme="minorHAnsi"/>
                <w:noProof/>
                <w:webHidden/>
              </w:rPr>
              <w:fldChar w:fldCharType="separate"/>
            </w:r>
            <w:r w:rsidR="00756F68" w:rsidRPr="00180AC3">
              <w:rPr>
                <w:rFonts w:cstheme="minorHAnsi"/>
                <w:noProof/>
                <w:webHidden/>
              </w:rPr>
              <w:t>24</w:t>
            </w:r>
            <w:r w:rsidR="00756F68" w:rsidRPr="00180AC3">
              <w:rPr>
                <w:rFonts w:cstheme="minorHAnsi"/>
                <w:noProof/>
                <w:webHidden/>
              </w:rPr>
              <w:fldChar w:fldCharType="end"/>
            </w:r>
          </w:hyperlink>
        </w:p>
        <w:p w14:paraId="7AF2EDE9" w14:textId="11F675E0" w:rsidR="00271777" w:rsidRPr="00180AC3" w:rsidRDefault="00271777" w:rsidP="00A40857">
          <w:pPr>
            <w:spacing w:before="120" w:line="240" w:lineRule="auto"/>
            <w:jc w:val="both"/>
            <w:rPr>
              <w:rFonts w:cstheme="minorHAnsi"/>
            </w:rPr>
          </w:pPr>
          <w:r w:rsidRPr="00180AC3">
            <w:rPr>
              <w:rFonts w:cstheme="minorHAnsi"/>
              <w:b/>
              <w:bCs/>
              <w:noProof/>
            </w:rPr>
            <w:fldChar w:fldCharType="end"/>
          </w:r>
        </w:p>
      </w:sdtContent>
    </w:sdt>
    <w:p w14:paraId="549DFFA6" w14:textId="77777777" w:rsidR="00271777" w:rsidRPr="00180AC3" w:rsidRDefault="00271777" w:rsidP="00A40857">
      <w:pPr>
        <w:jc w:val="both"/>
        <w:rPr>
          <w:rFonts w:eastAsia="Times New Roman" w:cstheme="minorHAnsi"/>
          <w:b/>
          <w:bCs/>
          <w:kern w:val="28"/>
          <w:lang w:eastAsia="en-GB"/>
        </w:rPr>
      </w:pPr>
      <w:r w:rsidRPr="00180AC3">
        <w:rPr>
          <w:rFonts w:eastAsia="Times New Roman" w:cstheme="minorHAnsi"/>
          <w:kern w:val="28"/>
          <w:lang w:eastAsia="en-GB"/>
        </w:rPr>
        <w:br w:type="page"/>
      </w:r>
    </w:p>
    <w:p w14:paraId="4C6574D2" w14:textId="77777777" w:rsidR="00271777" w:rsidRPr="00180AC3" w:rsidRDefault="00271777" w:rsidP="00A40857">
      <w:pPr>
        <w:pStyle w:val="Heading1"/>
        <w:keepLines w:val="0"/>
        <w:numPr>
          <w:ilvl w:val="0"/>
          <w:numId w:val="1"/>
        </w:numPr>
        <w:tabs>
          <w:tab w:val="num" w:pos="567"/>
          <w:tab w:val="left" w:pos="851"/>
          <w:tab w:val="right" w:pos="9356"/>
        </w:tabs>
        <w:spacing w:before="120" w:after="120" w:line="360" w:lineRule="auto"/>
        <w:ind w:left="567" w:hanging="567"/>
        <w:jc w:val="both"/>
        <w:rPr>
          <w:rFonts w:asciiTheme="minorHAnsi" w:eastAsia="Times New Roman" w:hAnsiTheme="minorHAnsi" w:cstheme="minorHAnsi"/>
          <w:color w:val="auto"/>
          <w:kern w:val="28"/>
          <w:sz w:val="22"/>
          <w:szCs w:val="22"/>
          <w:lang w:eastAsia="en-GB"/>
        </w:rPr>
      </w:pPr>
      <w:bookmarkStart w:id="0" w:name="_Toc518916485"/>
      <w:bookmarkStart w:id="1" w:name="_Toc146804976"/>
      <w:r w:rsidRPr="00180AC3">
        <w:rPr>
          <w:rFonts w:asciiTheme="minorHAnsi" w:eastAsia="Times New Roman" w:hAnsiTheme="minorHAnsi" w:cstheme="minorHAnsi"/>
          <w:color w:val="auto"/>
          <w:kern w:val="28"/>
          <w:sz w:val="22"/>
          <w:szCs w:val="22"/>
          <w:lang w:eastAsia="en-GB"/>
        </w:rPr>
        <w:lastRenderedPageBreak/>
        <w:t>General instructions</w:t>
      </w:r>
      <w:bookmarkEnd w:id="0"/>
      <w:bookmarkEnd w:id="1"/>
    </w:p>
    <w:p w14:paraId="6B3F7D3E" w14:textId="77777777" w:rsidR="00271777" w:rsidRPr="00180AC3" w:rsidRDefault="00271777" w:rsidP="00224842">
      <w:pPr>
        <w:pStyle w:val="Heading2"/>
        <w:spacing w:before="120" w:after="240" w:line="360" w:lineRule="auto"/>
        <w:ind w:left="66"/>
        <w:jc w:val="both"/>
        <w:rPr>
          <w:rFonts w:asciiTheme="minorHAnsi" w:hAnsiTheme="minorHAnsi" w:cstheme="minorHAnsi"/>
          <w:color w:val="auto"/>
          <w:sz w:val="22"/>
          <w:szCs w:val="22"/>
        </w:rPr>
      </w:pPr>
      <w:bookmarkStart w:id="2" w:name="_Toc518916486"/>
      <w:bookmarkStart w:id="3" w:name="_Toc146804977"/>
      <w:r w:rsidRPr="00180AC3">
        <w:rPr>
          <w:rFonts w:asciiTheme="minorHAnsi" w:hAnsiTheme="minorHAnsi" w:cstheme="minorHAnsi"/>
          <w:color w:val="auto"/>
          <w:sz w:val="22"/>
          <w:szCs w:val="22"/>
        </w:rPr>
        <w:t>Legal background</w:t>
      </w:r>
      <w:bookmarkEnd w:id="2"/>
      <w:bookmarkEnd w:id="3"/>
    </w:p>
    <w:p w14:paraId="7DB4B55F" w14:textId="6C95961A"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In the preparation of the templates institutions should take into account the EBA Guidelines on the management of interest rate risk arising from non-trading book activities (EBA/GL/20</w:t>
      </w:r>
      <w:r w:rsidR="00CC3F6A" w:rsidRPr="00180AC3">
        <w:rPr>
          <w:rFonts w:cstheme="minorHAnsi"/>
        </w:rPr>
        <w:t>22</w:t>
      </w:r>
      <w:r w:rsidRPr="00180AC3">
        <w:rPr>
          <w:rFonts w:cstheme="minorHAnsi"/>
        </w:rPr>
        <w:t>/</w:t>
      </w:r>
      <w:r w:rsidR="00CC3F6A" w:rsidRPr="00180AC3">
        <w:rPr>
          <w:rFonts w:cstheme="minorHAnsi"/>
        </w:rPr>
        <w:t>14</w:t>
      </w:r>
      <w:r w:rsidRPr="00180AC3">
        <w:rPr>
          <w:rFonts w:cstheme="minorHAnsi"/>
        </w:rPr>
        <w:t>), which specify, among other things:</w:t>
      </w:r>
    </w:p>
    <w:p w14:paraId="43EA480E" w14:textId="41AC4706" w:rsidR="00CC3F6A" w:rsidRPr="00180AC3" w:rsidRDefault="00CC3F6A" w:rsidP="00A40857">
      <w:pPr>
        <w:pStyle w:val="ListParagraph"/>
        <w:numPr>
          <w:ilvl w:val="0"/>
          <w:numId w:val="28"/>
        </w:numPr>
        <w:spacing w:before="120" w:line="360" w:lineRule="auto"/>
        <w:jc w:val="both"/>
        <w:rPr>
          <w:rFonts w:cstheme="minorHAnsi"/>
        </w:rPr>
      </w:pPr>
      <w:r w:rsidRPr="00180AC3">
        <w:rPr>
          <w:rFonts w:cstheme="minorHAnsi"/>
        </w:rPr>
        <w:t xml:space="preserve">The criteria for the identification, </w:t>
      </w:r>
      <w:proofErr w:type="gramStart"/>
      <w:r w:rsidRPr="00180AC3">
        <w:rPr>
          <w:rFonts w:cstheme="minorHAnsi"/>
        </w:rPr>
        <w:t>management</w:t>
      </w:r>
      <w:proofErr w:type="gramEnd"/>
      <w:r w:rsidRPr="00180AC3">
        <w:rPr>
          <w:rFonts w:cstheme="minorHAnsi"/>
        </w:rPr>
        <w:t xml:space="preserve"> and mitigation by institutions of IRRBB either if they implement internal systems or use the standardised methodology or the simplified standardised methodology for the evaluation of IRRBB; </w:t>
      </w:r>
    </w:p>
    <w:p w14:paraId="6ABD043C" w14:textId="092D9A75" w:rsidR="00CC3F6A" w:rsidRPr="00180AC3" w:rsidRDefault="00CC3F6A" w:rsidP="00A40857">
      <w:pPr>
        <w:pStyle w:val="ListParagraph"/>
        <w:numPr>
          <w:ilvl w:val="0"/>
          <w:numId w:val="28"/>
        </w:numPr>
        <w:spacing w:before="120" w:line="360" w:lineRule="auto"/>
        <w:jc w:val="both"/>
        <w:rPr>
          <w:rFonts w:cstheme="minorHAnsi"/>
        </w:rPr>
      </w:pPr>
      <w:r w:rsidRPr="00180AC3">
        <w:rPr>
          <w:rFonts w:cstheme="minorHAnsi"/>
        </w:rPr>
        <w:t xml:space="preserve">The criteria for the evaluation </w:t>
      </w:r>
      <w:r w:rsidR="000526D8" w:rsidRPr="00180AC3">
        <w:rPr>
          <w:rFonts w:cstheme="minorHAnsi"/>
        </w:rPr>
        <w:t>and</w:t>
      </w:r>
      <w:r w:rsidRPr="00180AC3">
        <w:rPr>
          <w:rFonts w:cstheme="minorHAnsi"/>
        </w:rPr>
        <w:t xml:space="preserve"> measurement of IRRBB if an institution implements internal systems for it. </w:t>
      </w:r>
    </w:p>
    <w:p w14:paraId="33710C73" w14:textId="77777777" w:rsidR="00CC3F6A" w:rsidRPr="00180AC3" w:rsidRDefault="00CC3F6A" w:rsidP="00A40857">
      <w:pPr>
        <w:pStyle w:val="ListParagraph"/>
        <w:numPr>
          <w:ilvl w:val="0"/>
          <w:numId w:val="28"/>
        </w:numPr>
        <w:spacing w:before="120" w:line="360" w:lineRule="auto"/>
        <w:jc w:val="both"/>
        <w:rPr>
          <w:rFonts w:cstheme="minorHAnsi"/>
        </w:rPr>
      </w:pPr>
      <w:r w:rsidRPr="00180AC3">
        <w:rPr>
          <w:rFonts w:cstheme="minorHAnsi"/>
        </w:rPr>
        <w:t xml:space="preserve">The criteria for the assessment and monitoring by institutions’ internal systems of CSRBB. </w:t>
      </w:r>
    </w:p>
    <w:p w14:paraId="491C3AFA" w14:textId="60E7B0A8" w:rsidR="00CC3F6A" w:rsidRPr="00180AC3" w:rsidRDefault="00CC3F6A" w:rsidP="00A40857">
      <w:pPr>
        <w:pStyle w:val="ListParagraph"/>
        <w:numPr>
          <w:ilvl w:val="0"/>
          <w:numId w:val="28"/>
        </w:numPr>
        <w:spacing w:before="120" w:line="360" w:lineRule="auto"/>
        <w:jc w:val="both"/>
        <w:rPr>
          <w:rFonts w:cstheme="minorHAnsi"/>
        </w:rPr>
      </w:pPr>
      <w:r w:rsidRPr="00180AC3">
        <w:rPr>
          <w:rFonts w:cstheme="minorHAnsi"/>
        </w:rPr>
        <w:t>The criteria for determining which of the IRRBB internal systems implemented by institutions are not satisfactory for the purposes of paragraph 3 of Article 84 of Directive 2013/36/EU.</w:t>
      </w:r>
    </w:p>
    <w:p w14:paraId="3CD01BC3" w14:textId="5EB045F9"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 xml:space="preserve">Among other provisions, the </w:t>
      </w:r>
      <w:r w:rsidR="00F21353" w:rsidRPr="00180AC3">
        <w:rPr>
          <w:rFonts w:cstheme="minorHAnsi"/>
        </w:rPr>
        <w:t>EBA/GL/2022/14</w:t>
      </w:r>
      <w:r w:rsidR="00CC3F6A" w:rsidRPr="00180AC3">
        <w:rPr>
          <w:rFonts w:cstheme="minorHAnsi"/>
        </w:rPr>
        <w:t xml:space="preserve"> </w:t>
      </w:r>
      <w:r w:rsidRPr="00180AC3">
        <w:rPr>
          <w:rFonts w:cstheme="minorHAnsi"/>
        </w:rPr>
        <w:t>state that when managing their IRRBB</w:t>
      </w:r>
      <w:r w:rsidR="00B94C63" w:rsidRPr="00180AC3">
        <w:rPr>
          <w:rFonts w:cstheme="minorHAnsi"/>
        </w:rPr>
        <w:t xml:space="preserve"> and CSRBB</w:t>
      </w:r>
      <w:r w:rsidRPr="00180AC3">
        <w:rPr>
          <w:rFonts w:cstheme="minorHAnsi"/>
        </w:rPr>
        <w:t>:</w:t>
      </w:r>
    </w:p>
    <w:p w14:paraId="47979783" w14:textId="6F8903F0" w:rsidR="00CC3F6A" w:rsidRPr="00180AC3" w:rsidRDefault="000526D8" w:rsidP="00A40857">
      <w:pPr>
        <w:pStyle w:val="ListParagraph"/>
        <w:numPr>
          <w:ilvl w:val="0"/>
          <w:numId w:val="3"/>
        </w:numPr>
        <w:spacing w:before="120" w:line="360" w:lineRule="auto"/>
        <w:ind w:left="993"/>
        <w:jc w:val="both"/>
        <w:rPr>
          <w:rFonts w:cstheme="minorHAnsi"/>
          <w:i/>
        </w:rPr>
      </w:pPr>
      <w:r w:rsidRPr="00180AC3">
        <w:rPr>
          <w:rFonts w:cstheme="minorHAnsi"/>
          <w:i/>
        </w:rPr>
        <w:t xml:space="preserve">Institutions should </w:t>
      </w:r>
      <w:r w:rsidR="00271777" w:rsidRPr="00180AC3">
        <w:rPr>
          <w:rFonts w:cstheme="minorHAnsi"/>
          <w:i/>
        </w:rPr>
        <w:t xml:space="preserve">measure their exposure to IRRBB in terms of potential changes to both the economic value (EV) and </w:t>
      </w:r>
      <w:r w:rsidR="00CC3F6A" w:rsidRPr="00180AC3">
        <w:rPr>
          <w:rFonts w:cstheme="minorHAnsi"/>
          <w:i/>
        </w:rPr>
        <w:t>net interest income measures</w:t>
      </w:r>
      <w:r w:rsidR="00271777" w:rsidRPr="00180AC3">
        <w:rPr>
          <w:rFonts w:cstheme="minorHAnsi"/>
          <w:i/>
        </w:rPr>
        <w:t xml:space="preserve"> </w:t>
      </w:r>
      <w:r w:rsidR="00271777" w:rsidRPr="00180AC3">
        <w:rPr>
          <w:rFonts w:cstheme="minorHAnsi"/>
        </w:rPr>
        <w:t>(paragraph 8</w:t>
      </w:r>
      <w:r w:rsidR="00F21353" w:rsidRPr="00180AC3">
        <w:rPr>
          <w:rFonts w:cstheme="minorHAnsi"/>
        </w:rPr>
        <w:t>0</w:t>
      </w:r>
      <w:r w:rsidR="00271777" w:rsidRPr="00180AC3">
        <w:rPr>
          <w:rFonts w:cstheme="minorHAnsi"/>
        </w:rPr>
        <w:t>)</w:t>
      </w:r>
      <w:r w:rsidR="00271777" w:rsidRPr="00180AC3">
        <w:rPr>
          <w:rFonts w:cstheme="minorHAnsi"/>
          <w:i/>
        </w:rPr>
        <w:t>;</w:t>
      </w:r>
    </w:p>
    <w:p w14:paraId="2F10644D" w14:textId="6D1F826A" w:rsidR="00724037" w:rsidRPr="00180AC3" w:rsidRDefault="00190CE2" w:rsidP="00A40857">
      <w:pPr>
        <w:pStyle w:val="ListParagraph"/>
        <w:numPr>
          <w:ilvl w:val="0"/>
          <w:numId w:val="3"/>
        </w:numPr>
        <w:spacing w:before="120" w:line="360" w:lineRule="auto"/>
        <w:ind w:left="993"/>
        <w:jc w:val="both"/>
        <w:rPr>
          <w:rFonts w:cstheme="minorHAnsi"/>
          <w:i/>
        </w:rPr>
      </w:pPr>
      <w:r w:rsidRPr="00180AC3">
        <w:rPr>
          <w:rFonts w:cstheme="minorHAnsi"/>
          <w:i/>
        </w:rPr>
        <w:t xml:space="preserve">Institutions should regularly, </w:t>
      </w:r>
      <w:r w:rsidR="00724037" w:rsidRPr="00180AC3">
        <w:rPr>
          <w:rFonts w:cstheme="minorHAnsi"/>
          <w:i/>
        </w:rPr>
        <w:t>at least quarterly and more frequently in times of increased interest rate volatility or increased IRRBB levels, measure their exposure to IRRBB in the context of the different IRRBB measures under various interest rate shock scenarios for potential changes in the level and shape of the interest rate yield curves, and to changes in the relationship between different interest rates (i.e., basis risk)</w:t>
      </w:r>
      <w:r w:rsidR="00CC3F6A" w:rsidRPr="00180AC3">
        <w:rPr>
          <w:rFonts w:cstheme="minorHAnsi"/>
          <w:i/>
        </w:rPr>
        <w:t xml:space="preserve"> </w:t>
      </w:r>
      <w:r w:rsidR="00CC3F6A" w:rsidRPr="00180AC3">
        <w:rPr>
          <w:rFonts w:cstheme="minorHAnsi"/>
        </w:rPr>
        <w:t>(paragraph 89)</w:t>
      </w:r>
      <w:r w:rsidR="00CC3F6A" w:rsidRPr="00180AC3">
        <w:rPr>
          <w:rFonts w:cstheme="minorHAnsi"/>
          <w:i/>
        </w:rPr>
        <w:t>;</w:t>
      </w:r>
    </w:p>
    <w:p w14:paraId="06E06E44" w14:textId="6CDB0DF2" w:rsidR="00CC3F6A" w:rsidRPr="00180AC3" w:rsidRDefault="00CC3F6A" w:rsidP="00A40857">
      <w:pPr>
        <w:pStyle w:val="ListParagraph"/>
        <w:numPr>
          <w:ilvl w:val="0"/>
          <w:numId w:val="3"/>
        </w:numPr>
        <w:spacing w:before="120" w:line="360" w:lineRule="auto"/>
        <w:ind w:left="993"/>
        <w:jc w:val="both"/>
        <w:rPr>
          <w:rFonts w:cstheme="minorHAnsi"/>
          <w:i/>
        </w:rPr>
      </w:pPr>
      <w:r w:rsidRPr="00180AC3">
        <w:rPr>
          <w:rFonts w:cstheme="minorHAnsi"/>
          <w:i/>
        </w:rPr>
        <w:t xml:space="preserve">Institutions should monitor their exposure to CSRBB in terms of potential changes to the different CSRBB measures. Institutions should use complementary features of the different approaches to capture the complex nature of CSRBB over the short-term and long-term time horizons </w:t>
      </w:r>
      <w:r w:rsidRPr="00180AC3">
        <w:rPr>
          <w:rFonts w:cstheme="minorHAnsi"/>
        </w:rPr>
        <w:t>(paragraph 153)</w:t>
      </w:r>
      <w:r w:rsidR="000526D8" w:rsidRPr="00180AC3">
        <w:rPr>
          <w:rFonts w:cstheme="minorHAnsi"/>
          <w:i/>
        </w:rPr>
        <w:t>.</w:t>
      </w:r>
    </w:p>
    <w:p w14:paraId="0BF5E61D" w14:textId="77777777" w:rsidR="00CC3F6A" w:rsidRPr="00180AC3" w:rsidRDefault="00CC3F6A" w:rsidP="00A40857">
      <w:pPr>
        <w:pStyle w:val="ListParagraph"/>
        <w:spacing w:before="120" w:line="360" w:lineRule="auto"/>
        <w:ind w:left="993"/>
        <w:jc w:val="both"/>
        <w:rPr>
          <w:rFonts w:cstheme="minorHAnsi"/>
          <w:i/>
        </w:rPr>
      </w:pPr>
    </w:p>
    <w:p w14:paraId="541EE908" w14:textId="77777777"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The GL also state that “</w:t>
      </w:r>
      <w:r w:rsidRPr="00180AC3">
        <w:rPr>
          <w:rFonts w:cstheme="minorHAnsi"/>
          <w:i/>
        </w:rPr>
        <w:t>Institutions should demonstrate that their internal capital is commensurate with the level of the interest rate risk in their banking book</w:t>
      </w:r>
      <w:r w:rsidRPr="00180AC3">
        <w:rPr>
          <w:rFonts w:cstheme="minorHAnsi"/>
        </w:rPr>
        <w:t>” (paragraph 23).</w:t>
      </w:r>
    </w:p>
    <w:p w14:paraId="40DEABAD" w14:textId="50FAD90C"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 xml:space="preserve">Hence the current IRRBB </w:t>
      </w:r>
      <w:r w:rsidR="00CC3F6A" w:rsidRPr="00180AC3">
        <w:rPr>
          <w:rFonts w:cstheme="minorHAnsi"/>
        </w:rPr>
        <w:t xml:space="preserve">and CSRBB </w:t>
      </w:r>
      <w:r w:rsidRPr="00180AC3">
        <w:rPr>
          <w:rFonts w:cstheme="minorHAnsi"/>
        </w:rPr>
        <w:t>templates are designed for gathering information which institutions should routinely prepare, measure and/or mandatorily report to the competent authority.</w:t>
      </w:r>
    </w:p>
    <w:p w14:paraId="396CE889" w14:textId="18729B1B"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The data points included in the STE for SREP data collection may arise from direct application of provisions included in the EBA/GL/</w:t>
      </w:r>
      <w:r w:rsidR="00724037" w:rsidRPr="00180AC3">
        <w:rPr>
          <w:rFonts w:cstheme="minorHAnsi"/>
        </w:rPr>
        <w:t>2022</w:t>
      </w:r>
      <w:r w:rsidRPr="00180AC3">
        <w:rPr>
          <w:rFonts w:cstheme="minorHAnsi"/>
        </w:rPr>
        <w:t>/</w:t>
      </w:r>
      <w:r w:rsidR="00724037" w:rsidRPr="00180AC3">
        <w:rPr>
          <w:rFonts w:cstheme="minorHAnsi"/>
        </w:rPr>
        <w:t xml:space="preserve">14 </w:t>
      </w:r>
      <w:r w:rsidRPr="00180AC3">
        <w:rPr>
          <w:rFonts w:cstheme="minorHAnsi"/>
        </w:rPr>
        <w:t>or from institutions’ own internal methodologies, e.g. for the impact in net in earnings.</w:t>
      </w:r>
    </w:p>
    <w:p w14:paraId="22219DB2" w14:textId="77777777" w:rsidR="00271777" w:rsidRPr="00180AC3" w:rsidRDefault="00271777" w:rsidP="006A6D67">
      <w:pPr>
        <w:pStyle w:val="Heading2"/>
        <w:spacing w:before="120" w:after="240" w:line="360" w:lineRule="auto"/>
        <w:ind w:left="66"/>
        <w:jc w:val="both"/>
        <w:rPr>
          <w:rFonts w:asciiTheme="minorHAnsi" w:hAnsiTheme="minorHAnsi" w:cstheme="minorHAnsi"/>
          <w:color w:val="auto"/>
          <w:sz w:val="22"/>
          <w:szCs w:val="22"/>
        </w:rPr>
      </w:pPr>
      <w:bookmarkStart w:id="4" w:name="_Toc518916487"/>
      <w:bookmarkStart w:id="5" w:name="_Toc146804978"/>
      <w:r w:rsidRPr="00180AC3">
        <w:rPr>
          <w:rFonts w:asciiTheme="minorHAnsi" w:hAnsiTheme="minorHAnsi" w:cstheme="minorHAnsi"/>
          <w:color w:val="auto"/>
          <w:sz w:val="22"/>
          <w:szCs w:val="22"/>
        </w:rPr>
        <w:lastRenderedPageBreak/>
        <w:t>Reference date</w:t>
      </w:r>
      <w:bookmarkEnd w:id="4"/>
      <w:bookmarkEnd w:id="5"/>
    </w:p>
    <w:p w14:paraId="7EAB8BE7" w14:textId="7FB5152D"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 xml:space="preserve">Data is requested with respect to the selected reference date in the </w:t>
      </w:r>
      <w:r w:rsidR="000526D8" w:rsidRPr="00180AC3">
        <w:rPr>
          <w:rFonts w:cstheme="minorHAnsi"/>
        </w:rPr>
        <w:t>drop-down</w:t>
      </w:r>
      <w:r w:rsidRPr="00180AC3">
        <w:rPr>
          <w:rFonts w:cstheme="minorHAnsi"/>
        </w:rPr>
        <w:t xml:space="preserve"> menu in cell C14 of template “0_Identification”.</w:t>
      </w:r>
    </w:p>
    <w:p w14:paraId="16231FBF" w14:textId="77777777" w:rsidR="00271777" w:rsidRPr="00180AC3" w:rsidRDefault="00271777" w:rsidP="006A6D67">
      <w:pPr>
        <w:pStyle w:val="Heading2"/>
        <w:spacing w:before="120" w:after="240" w:line="360" w:lineRule="auto"/>
        <w:ind w:left="66"/>
        <w:jc w:val="both"/>
        <w:rPr>
          <w:rFonts w:asciiTheme="minorHAnsi" w:hAnsiTheme="minorHAnsi" w:cstheme="minorHAnsi"/>
          <w:color w:val="auto"/>
          <w:sz w:val="22"/>
          <w:szCs w:val="22"/>
        </w:rPr>
      </w:pPr>
      <w:bookmarkStart w:id="6" w:name="_Toc518916488"/>
      <w:bookmarkStart w:id="7" w:name="_Toc146804979"/>
      <w:r w:rsidRPr="00180AC3">
        <w:rPr>
          <w:rFonts w:asciiTheme="minorHAnsi" w:hAnsiTheme="minorHAnsi" w:cstheme="minorHAnsi"/>
          <w:color w:val="auto"/>
          <w:sz w:val="22"/>
          <w:szCs w:val="22"/>
        </w:rPr>
        <w:t>Reporting units</w:t>
      </w:r>
      <w:bookmarkEnd w:id="6"/>
      <w:bookmarkEnd w:id="7"/>
    </w:p>
    <w:p w14:paraId="5C859B68" w14:textId="77777777"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The required data points may be qualitative or quantitative.</w:t>
      </w:r>
    </w:p>
    <w:p w14:paraId="0CA7C764" w14:textId="77777777"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Unless mentioned otherwise, the reporting units for quantitative data are thousands of euros. In these cases, a data point with the value 1000 is 1 million euros.</w:t>
      </w:r>
    </w:p>
    <w:p w14:paraId="1B98FC4E" w14:textId="77777777"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 xml:space="preserve">Other data points may be reported in basis points or in percentage as an outcome of a formula. </w:t>
      </w:r>
    </w:p>
    <w:p w14:paraId="5713FFEC" w14:textId="77777777" w:rsidR="00271777" w:rsidRPr="00180AC3" w:rsidRDefault="00271777" w:rsidP="006A6D67">
      <w:pPr>
        <w:pStyle w:val="Heading2"/>
        <w:spacing w:before="120" w:after="240" w:line="360" w:lineRule="auto"/>
        <w:ind w:left="66"/>
        <w:jc w:val="both"/>
        <w:rPr>
          <w:rFonts w:asciiTheme="minorHAnsi" w:hAnsiTheme="minorHAnsi" w:cstheme="minorHAnsi"/>
          <w:color w:val="auto"/>
          <w:sz w:val="22"/>
          <w:szCs w:val="22"/>
        </w:rPr>
      </w:pPr>
      <w:bookmarkStart w:id="8" w:name="_Toc518916489"/>
      <w:bookmarkStart w:id="9" w:name="_Toc146804980"/>
      <w:r w:rsidRPr="00180AC3">
        <w:rPr>
          <w:rFonts w:asciiTheme="minorHAnsi" w:hAnsiTheme="minorHAnsi" w:cstheme="minorHAnsi"/>
          <w:color w:val="auto"/>
          <w:sz w:val="22"/>
          <w:szCs w:val="22"/>
        </w:rPr>
        <w:t>Data</w:t>
      </w:r>
      <w:bookmarkEnd w:id="8"/>
      <w:bookmarkEnd w:id="9"/>
    </w:p>
    <w:p w14:paraId="354DD46E" w14:textId="77777777"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 xml:space="preserve">This data request addresses all institutions on a ‘best effort </w:t>
      </w:r>
      <w:proofErr w:type="spellStart"/>
      <w:r w:rsidRPr="00180AC3">
        <w:rPr>
          <w:rFonts w:cstheme="minorHAnsi"/>
        </w:rPr>
        <w:t>basis’</w:t>
      </w:r>
      <w:proofErr w:type="spellEnd"/>
      <w:r w:rsidRPr="00180AC3">
        <w:rPr>
          <w:rFonts w:cstheme="minorHAnsi"/>
        </w:rPr>
        <w:t xml:space="preserve"> but as a general rule, all cells should be filled taking into account the rules applicable to each template.</w:t>
      </w:r>
    </w:p>
    <w:p w14:paraId="05DB55AF" w14:textId="046F5076" w:rsidR="00271777" w:rsidRPr="00180AC3" w:rsidRDefault="00271777" w:rsidP="00A40857">
      <w:pPr>
        <w:pStyle w:val="ListParagraph"/>
        <w:numPr>
          <w:ilvl w:val="0"/>
          <w:numId w:val="2"/>
        </w:numPr>
        <w:spacing w:before="120" w:line="360" w:lineRule="auto"/>
        <w:ind w:left="426"/>
        <w:jc w:val="both"/>
        <w:rPr>
          <w:rFonts w:cstheme="minorHAnsi"/>
          <w:b/>
          <w:color w:val="2038EC"/>
        </w:rPr>
      </w:pPr>
      <w:r w:rsidRPr="00180AC3">
        <w:rPr>
          <w:rFonts w:cstheme="minorHAnsi"/>
        </w:rPr>
        <w:t xml:space="preserve">The data should be reported in the templates within the Excel file </w:t>
      </w:r>
      <w:r w:rsidRPr="007D43C0">
        <w:rPr>
          <w:rFonts w:cstheme="minorHAnsi"/>
          <w:b/>
          <w:color w:val="1F497D" w:themeColor="text2"/>
          <w:highlight w:val="yellow"/>
        </w:rPr>
        <w:t>05 – YYYY QX SREP IRRBB</w:t>
      </w:r>
      <w:r w:rsidR="00CC3F6A" w:rsidRPr="007D43C0">
        <w:rPr>
          <w:rFonts w:cstheme="minorHAnsi"/>
          <w:b/>
          <w:color w:val="1F497D" w:themeColor="text2"/>
          <w:highlight w:val="yellow"/>
        </w:rPr>
        <w:t>_CSRBB</w:t>
      </w:r>
      <w:r w:rsidRPr="007D43C0">
        <w:rPr>
          <w:rFonts w:cstheme="minorHAnsi"/>
          <w:b/>
          <w:color w:val="1F497D" w:themeColor="text2"/>
          <w:highlight w:val="yellow"/>
        </w:rPr>
        <w:t>.xlsx</w:t>
      </w:r>
      <w:r w:rsidRPr="007D43C0">
        <w:rPr>
          <w:rFonts w:cstheme="minorHAnsi"/>
          <w:b/>
          <w:color w:val="2038EC"/>
          <w:highlight w:val="yellow"/>
        </w:rPr>
        <w:t>.</w:t>
      </w:r>
    </w:p>
    <w:p w14:paraId="4A72C642" w14:textId="77777777"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Only the cells marked in yellow should be filled. It is highly recommended that:</w:t>
      </w:r>
    </w:p>
    <w:p w14:paraId="302CA7D8" w14:textId="77777777" w:rsidR="00271777" w:rsidRPr="00180AC3" w:rsidRDefault="00271777" w:rsidP="00A40857">
      <w:pPr>
        <w:pStyle w:val="ListParagraph"/>
        <w:numPr>
          <w:ilvl w:val="1"/>
          <w:numId w:val="2"/>
        </w:numPr>
        <w:spacing w:before="120" w:line="360" w:lineRule="auto"/>
        <w:jc w:val="both"/>
        <w:rPr>
          <w:rFonts w:cstheme="minorHAnsi"/>
        </w:rPr>
      </w:pPr>
      <w:r w:rsidRPr="00180AC3">
        <w:rPr>
          <w:rFonts w:cstheme="minorHAnsi"/>
        </w:rPr>
        <w:t>none of the yellow cells be left blank;</w:t>
      </w:r>
    </w:p>
    <w:p w14:paraId="3C2FE974" w14:textId="60FA4C4B" w:rsidR="00271777" w:rsidRPr="00180AC3" w:rsidRDefault="00271777" w:rsidP="00A40857">
      <w:pPr>
        <w:pStyle w:val="ListParagraph"/>
        <w:numPr>
          <w:ilvl w:val="1"/>
          <w:numId w:val="2"/>
        </w:numPr>
        <w:spacing w:before="120" w:line="360" w:lineRule="auto"/>
        <w:jc w:val="both"/>
        <w:rPr>
          <w:rFonts w:cstheme="minorHAnsi"/>
        </w:rPr>
      </w:pPr>
      <w:r w:rsidRPr="00180AC3">
        <w:rPr>
          <w:rFonts w:cstheme="minorHAnsi"/>
        </w:rPr>
        <w:t xml:space="preserve">zeros (“0”) are reported only when the underlying value is </w:t>
      </w:r>
      <w:r w:rsidR="00CC3F6A" w:rsidRPr="00180AC3">
        <w:rPr>
          <w:rFonts w:cstheme="minorHAnsi"/>
        </w:rPr>
        <w:t xml:space="preserve">actually </w:t>
      </w:r>
      <w:r w:rsidRPr="00180AC3">
        <w:rPr>
          <w:rFonts w:cstheme="minorHAnsi"/>
        </w:rPr>
        <w:t>zero.</w:t>
      </w:r>
    </w:p>
    <w:p w14:paraId="67BE43EF" w14:textId="317FDCD3"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Therefore</w:t>
      </w:r>
      <w:r w:rsidR="000526D8" w:rsidRPr="00180AC3">
        <w:rPr>
          <w:rFonts w:cstheme="minorHAnsi"/>
        </w:rPr>
        <w:t>,</w:t>
      </w:r>
      <w:r w:rsidRPr="00180AC3">
        <w:rPr>
          <w:rFonts w:cstheme="minorHAnsi"/>
        </w:rPr>
        <w:t xml:space="preserve"> whenever a certain phenomenon or data point:</w:t>
      </w:r>
    </w:p>
    <w:p w14:paraId="094114C6" w14:textId="58743620" w:rsidR="00271777" w:rsidRPr="00180AC3" w:rsidRDefault="00271777" w:rsidP="00A40857">
      <w:pPr>
        <w:pStyle w:val="ListParagraph"/>
        <w:numPr>
          <w:ilvl w:val="1"/>
          <w:numId w:val="2"/>
        </w:numPr>
        <w:spacing w:before="120" w:line="360" w:lineRule="auto"/>
        <w:ind w:left="993"/>
        <w:jc w:val="both"/>
        <w:rPr>
          <w:rFonts w:cstheme="minorHAnsi"/>
        </w:rPr>
      </w:pPr>
      <w:r w:rsidRPr="00180AC3">
        <w:rPr>
          <w:rFonts w:cstheme="minorHAnsi"/>
          <w:u w:val="single"/>
        </w:rPr>
        <w:t>is not applicable to the institution</w:t>
      </w:r>
      <w:r w:rsidRPr="00180AC3">
        <w:rPr>
          <w:rFonts w:cstheme="minorHAnsi"/>
        </w:rPr>
        <w:t xml:space="preserve">, it should </w:t>
      </w:r>
      <w:r w:rsidR="00553F7F" w:rsidRPr="00180AC3">
        <w:rPr>
          <w:rFonts w:cstheme="minorHAnsi"/>
        </w:rPr>
        <w:t>leave</w:t>
      </w:r>
      <w:r w:rsidRPr="00180AC3">
        <w:rPr>
          <w:rFonts w:cstheme="minorHAnsi"/>
        </w:rPr>
        <w:t xml:space="preserve"> the respective data point </w:t>
      </w:r>
      <w:r w:rsidR="003C026E" w:rsidRPr="00180AC3">
        <w:rPr>
          <w:rFonts w:cstheme="minorHAnsi"/>
        </w:rPr>
        <w:t>blank</w:t>
      </w:r>
      <w:r w:rsidR="006B5D5E" w:rsidRPr="00180AC3">
        <w:rPr>
          <w:rFonts w:cstheme="minorHAnsi"/>
        </w:rPr>
        <w:t xml:space="preserve"> and provide a comment in Template “01_Identification” in the box </w:t>
      </w:r>
      <w:r w:rsidR="000526D8" w:rsidRPr="00180AC3">
        <w:rPr>
          <w:rFonts w:cstheme="minorHAnsi"/>
        </w:rPr>
        <w:t>“A</w:t>
      </w:r>
      <w:r w:rsidR="006B5D5E" w:rsidRPr="00180AC3">
        <w:rPr>
          <w:rFonts w:cstheme="minorHAnsi"/>
        </w:rPr>
        <w:t xml:space="preserve">dditional </w:t>
      </w:r>
      <w:r w:rsidR="000526D8" w:rsidRPr="00180AC3">
        <w:rPr>
          <w:rFonts w:cstheme="minorHAnsi"/>
        </w:rPr>
        <w:t>C</w:t>
      </w:r>
      <w:r w:rsidR="006B5D5E" w:rsidRPr="00180AC3">
        <w:rPr>
          <w:rFonts w:cstheme="minorHAnsi"/>
        </w:rPr>
        <w:t>omments</w:t>
      </w:r>
      <w:r w:rsidR="000526D8" w:rsidRPr="00180AC3">
        <w:rPr>
          <w:rFonts w:cstheme="minorHAnsi"/>
        </w:rPr>
        <w:t>”</w:t>
      </w:r>
      <w:r w:rsidRPr="00180AC3">
        <w:rPr>
          <w:rFonts w:cstheme="minorHAnsi"/>
        </w:rPr>
        <w:t>;</w:t>
      </w:r>
    </w:p>
    <w:p w14:paraId="20C6A774" w14:textId="19BA2B8A" w:rsidR="00271777" w:rsidRPr="00180AC3" w:rsidRDefault="00271777" w:rsidP="00A40857">
      <w:pPr>
        <w:pStyle w:val="ListParagraph"/>
        <w:numPr>
          <w:ilvl w:val="1"/>
          <w:numId w:val="2"/>
        </w:numPr>
        <w:spacing w:before="120" w:line="360" w:lineRule="auto"/>
        <w:ind w:left="993"/>
        <w:jc w:val="both"/>
        <w:rPr>
          <w:rFonts w:cstheme="minorHAnsi"/>
        </w:rPr>
      </w:pPr>
      <w:r w:rsidRPr="00180AC3">
        <w:rPr>
          <w:rFonts w:cstheme="minorHAnsi"/>
          <w:u w:val="single"/>
        </w:rPr>
        <w:t>is applicable to the institution but not reported in the current template</w:t>
      </w:r>
      <w:r w:rsidRPr="00180AC3">
        <w:rPr>
          <w:rFonts w:cstheme="minorHAnsi"/>
        </w:rPr>
        <w:t xml:space="preserve">, it should </w:t>
      </w:r>
      <w:r w:rsidR="007E15BD" w:rsidRPr="00180AC3">
        <w:rPr>
          <w:rFonts w:cstheme="minorHAnsi"/>
        </w:rPr>
        <w:t xml:space="preserve">leave the respective data point </w:t>
      </w:r>
      <w:r w:rsidR="003C026E" w:rsidRPr="00180AC3">
        <w:rPr>
          <w:rFonts w:cstheme="minorHAnsi"/>
        </w:rPr>
        <w:t>blank</w:t>
      </w:r>
      <w:r w:rsidRPr="00180AC3">
        <w:rPr>
          <w:rFonts w:cstheme="minorHAnsi"/>
        </w:rPr>
        <w:t xml:space="preserve"> and include a justification in Template “0_Identification” in the box </w:t>
      </w:r>
      <w:r w:rsidR="000526D8" w:rsidRPr="00180AC3">
        <w:rPr>
          <w:rFonts w:cstheme="minorHAnsi"/>
        </w:rPr>
        <w:t>“A</w:t>
      </w:r>
      <w:r w:rsidRPr="00180AC3">
        <w:rPr>
          <w:rFonts w:cstheme="minorHAnsi"/>
        </w:rPr>
        <w:t xml:space="preserve">dditional </w:t>
      </w:r>
      <w:r w:rsidR="000526D8" w:rsidRPr="00180AC3">
        <w:rPr>
          <w:rFonts w:cstheme="minorHAnsi"/>
        </w:rPr>
        <w:t>C</w:t>
      </w:r>
      <w:r w:rsidRPr="00180AC3">
        <w:rPr>
          <w:rFonts w:cstheme="minorHAnsi"/>
        </w:rPr>
        <w:t>omments</w:t>
      </w:r>
      <w:r w:rsidR="000526D8" w:rsidRPr="00180AC3">
        <w:rPr>
          <w:rFonts w:cstheme="minorHAnsi"/>
        </w:rPr>
        <w:t>”</w:t>
      </w:r>
      <w:r w:rsidRPr="00180AC3">
        <w:rPr>
          <w:rFonts w:cstheme="minorHAnsi"/>
        </w:rPr>
        <w:t>.</w:t>
      </w:r>
    </w:p>
    <w:p w14:paraId="0012D779" w14:textId="77777777" w:rsidR="00271777" w:rsidRPr="00180AC3" w:rsidRDefault="00271777" w:rsidP="006A6D67">
      <w:pPr>
        <w:pStyle w:val="Heading2"/>
        <w:spacing w:before="120" w:after="240" w:line="360" w:lineRule="auto"/>
        <w:ind w:left="66"/>
        <w:jc w:val="both"/>
        <w:rPr>
          <w:rFonts w:asciiTheme="minorHAnsi" w:hAnsiTheme="minorHAnsi" w:cstheme="minorHAnsi"/>
          <w:color w:val="auto"/>
          <w:sz w:val="22"/>
          <w:szCs w:val="22"/>
        </w:rPr>
      </w:pPr>
      <w:bookmarkStart w:id="10" w:name="_Toc518916490"/>
      <w:bookmarkStart w:id="11" w:name="_Toc146804981"/>
      <w:r w:rsidRPr="00180AC3">
        <w:rPr>
          <w:rFonts w:asciiTheme="minorHAnsi" w:hAnsiTheme="minorHAnsi" w:cstheme="minorHAnsi"/>
          <w:color w:val="auto"/>
          <w:sz w:val="22"/>
          <w:szCs w:val="22"/>
        </w:rPr>
        <w:t>Validation rules</w:t>
      </w:r>
      <w:bookmarkEnd w:id="10"/>
      <w:bookmarkEnd w:id="11"/>
    </w:p>
    <w:p w14:paraId="6DE0F7A0" w14:textId="77777777"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The templates are embedded with validation rules which institutions have to fulfil when preparing the data.</w:t>
      </w:r>
    </w:p>
    <w:p w14:paraId="65754DD7" w14:textId="16251CC9"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 xml:space="preserve">Not fulfilling the validation rules means that institutions will be requested to resubmit the </w:t>
      </w:r>
      <w:r w:rsidR="00335FB6" w:rsidRPr="00180AC3">
        <w:rPr>
          <w:rFonts w:cstheme="minorHAnsi"/>
        </w:rPr>
        <w:t xml:space="preserve">affected </w:t>
      </w:r>
      <w:r w:rsidRPr="00180AC3">
        <w:rPr>
          <w:rFonts w:cstheme="minorHAnsi"/>
        </w:rPr>
        <w:t>STE template</w:t>
      </w:r>
      <w:r w:rsidR="00335FB6" w:rsidRPr="00180AC3">
        <w:rPr>
          <w:rFonts w:cstheme="minorHAnsi"/>
        </w:rPr>
        <w:t>s</w:t>
      </w:r>
      <w:r w:rsidRPr="00180AC3">
        <w:rPr>
          <w:rFonts w:cstheme="minorHAnsi"/>
        </w:rPr>
        <w:t>.</w:t>
      </w:r>
    </w:p>
    <w:p w14:paraId="60382BB0" w14:textId="77777777" w:rsidR="00271777" w:rsidRPr="00180AC3" w:rsidRDefault="00271777" w:rsidP="00A40857">
      <w:pPr>
        <w:jc w:val="both"/>
        <w:rPr>
          <w:rFonts w:cstheme="minorHAnsi"/>
        </w:rPr>
      </w:pPr>
    </w:p>
    <w:p w14:paraId="1BFE8D53" w14:textId="77777777" w:rsidR="00931815" w:rsidRPr="00180AC3" w:rsidRDefault="00931815" w:rsidP="00A40857">
      <w:pPr>
        <w:jc w:val="both"/>
        <w:rPr>
          <w:rFonts w:eastAsia="Times New Roman" w:cstheme="minorHAnsi"/>
          <w:b/>
          <w:bCs/>
          <w:kern w:val="28"/>
          <w:lang w:eastAsia="en-GB"/>
        </w:rPr>
      </w:pPr>
      <w:bookmarkStart w:id="12" w:name="_Toc518916491"/>
      <w:r w:rsidRPr="00180AC3">
        <w:rPr>
          <w:rFonts w:eastAsia="Times New Roman" w:cstheme="minorHAnsi"/>
          <w:kern w:val="28"/>
          <w:lang w:eastAsia="en-GB"/>
        </w:rPr>
        <w:br w:type="page"/>
      </w:r>
    </w:p>
    <w:p w14:paraId="65F0DF12" w14:textId="26C62ECF" w:rsidR="00271777" w:rsidRPr="00180AC3" w:rsidRDefault="00271777" w:rsidP="00A40857">
      <w:pPr>
        <w:pStyle w:val="Heading1"/>
        <w:keepLines w:val="0"/>
        <w:numPr>
          <w:ilvl w:val="0"/>
          <w:numId w:val="1"/>
        </w:numPr>
        <w:tabs>
          <w:tab w:val="num" w:pos="567"/>
          <w:tab w:val="left" w:pos="851"/>
          <w:tab w:val="right" w:pos="9356"/>
        </w:tabs>
        <w:spacing w:before="120" w:after="120" w:line="360" w:lineRule="auto"/>
        <w:ind w:left="567" w:hanging="567"/>
        <w:jc w:val="both"/>
        <w:rPr>
          <w:rFonts w:asciiTheme="minorHAnsi" w:eastAsia="Times New Roman" w:hAnsiTheme="minorHAnsi" w:cstheme="minorHAnsi"/>
          <w:color w:val="auto"/>
          <w:kern w:val="28"/>
          <w:sz w:val="22"/>
          <w:szCs w:val="22"/>
          <w:lang w:eastAsia="en-GB"/>
        </w:rPr>
      </w:pPr>
      <w:bookmarkStart w:id="13" w:name="_Toc146804982"/>
      <w:r w:rsidRPr="00180AC3">
        <w:rPr>
          <w:rFonts w:asciiTheme="minorHAnsi" w:eastAsia="Times New Roman" w:hAnsiTheme="minorHAnsi" w:cstheme="minorHAnsi"/>
          <w:color w:val="auto"/>
          <w:kern w:val="28"/>
          <w:sz w:val="22"/>
          <w:szCs w:val="22"/>
          <w:lang w:eastAsia="en-GB"/>
        </w:rPr>
        <w:lastRenderedPageBreak/>
        <w:t>Specific instructions</w:t>
      </w:r>
      <w:bookmarkEnd w:id="12"/>
      <w:bookmarkEnd w:id="13"/>
    </w:p>
    <w:p w14:paraId="64AA9119" w14:textId="77777777" w:rsidR="00271777" w:rsidRPr="00180AC3" w:rsidRDefault="00271777" w:rsidP="005233A2">
      <w:pPr>
        <w:pStyle w:val="Heading2"/>
        <w:spacing w:before="120" w:line="360" w:lineRule="auto"/>
        <w:ind w:left="66"/>
        <w:jc w:val="both"/>
        <w:rPr>
          <w:rFonts w:asciiTheme="minorHAnsi" w:hAnsiTheme="minorHAnsi" w:cstheme="minorHAnsi"/>
          <w:color w:val="auto"/>
          <w:sz w:val="22"/>
          <w:szCs w:val="22"/>
        </w:rPr>
      </w:pPr>
      <w:bookmarkStart w:id="14" w:name="_Toc518916492"/>
      <w:bookmarkStart w:id="15" w:name="_Toc146804983"/>
      <w:r w:rsidRPr="00180AC3">
        <w:rPr>
          <w:rFonts w:asciiTheme="minorHAnsi" w:hAnsiTheme="minorHAnsi" w:cstheme="minorHAnsi"/>
          <w:color w:val="auto"/>
          <w:sz w:val="22"/>
          <w:szCs w:val="22"/>
        </w:rPr>
        <w:t>Template “0_Identification”</w:t>
      </w:r>
      <w:bookmarkEnd w:id="14"/>
      <w:bookmarkEnd w:id="15"/>
    </w:p>
    <w:p w14:paraId="7E8D6AEF" w14:textId="77777777"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This template is used for identification of the institution. All fields should be populated with the relevant data.</w:t>
      </w:r>
    </w:p>
    <w:p w14:paraId="6E5A6DDA" w14:textId="681B0775"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This template also includes an overview on the material currencies for which the institution has interest-rate sensitive banking book items. EBA/GL/20</w:t>
      </w:r>
      <w:r w:rsidR="00724037" w:rsidRPr="00180AC3">
        <w:rPr>
          <w:rFonts w:cstheme="minorHAnsi"/>
        </w:rPr>
        <w:t xml:space="preserve">22/14 </w:t>
      </w:r>
      <w:r w:rsidRPr="00180AC3">
        <w:rPr>
          <w:rFonts w:cstheme="minorHAnsi"/>
        </w:rPr>
        <w:t>refers in paragraph 9</w:t>
      </w:r>
      <w:r w:rsidR="00724037" w:rsidRPr="00180AC3">
        <w:rPr>
          <w:rFonts w:cstheme="minorHAnsi"/>
        </w:rPr>
        <w:t>1</w:t>
      </w:r>
      <w:r w:rsidRPr="00180AC3">
        <w:rPr>
          <w:rFonts w:cstheme="minorHAnsi"/>
        </w:rPr>
        <w:t xml:space="preserve"> that “</w:t>
      </w:r>
      <w:r w:rsidRPr="00180AC3">
        <w:rPr>
          <w:rFonts w:cstheme="minorHAnsi"/>
          <w:i/>
        </w:rPr>
        <w:t>Institutions should assess exposures in each currency in which they have positions</w:t>
      </w:r>
      <w:r w:rsidRPr="00180AC3">
        <w:rPr>
          <w:rFonts w:cstheme="minorHAnsi"/>
        </w:rPr>
        <w:t xml:space="preserve">”. Regarding the computation of the supervisory outlier test in paragraph 113 and 114, in paragraph 115(l), </w:t>
      </w:r>
      <w:r w:rsidR="00724037" w:rsidRPr="00180AC3">
        <w:rPr>
          <w:rFonts w:cstheme="minorHAnsi"/>
        </w:rPr>
        <w:t>EBA/RTS/2022/10</w:t>
      </w:r>
      <w:r w:rsidR="00724037" w:rsidRPr="00180AC3" w:rsidDel="00724037">
        <w:rPr>
          <w:rFonts w:cstheme="minorHAnsi"/>
        </w:rPr>
        <w:t xml:space="preserve"> </w:t>
      </w:r>
      <w:r w:rsidRPr="00180AC3">
        <w:rPr>
          <w:rFonts w:cstheme="minorHAnsi"/>
        </w:rPr>
        <w:t>states, that</w:t>
      </w:r>
      <w:r w:rsidR="003E09B7" w:rsidRPr="00180AC3">
        <w:rPr>
          <w:rFonts w:cstheme="minorHAnsi"/>
        </w:rPr>
        <w:t xml:space="preserve"> "</w:t>
      </w:r>
      <w:proofErr w:type="spellStart"/>
      <w:r w:rsidR="00724037" w:rsidRPr="00180AC3">
        <w:rPr>
          <w:rFonts w:cstheme="minorHAnsi"/>
          <w:i/>
        </w:rPr>
        <w:t>Τhe</w:t>
      </w:r>
      <w:proofErr w:type="spellEnd"/>
      <w:r w:rsidR="00724037" w:rsidRPr="00180AC3">
        <w:rPr>
          <w:rFonts w:cstheme="minorHAnsi"/>
          <w:i/>
        </w:rPr>
        <w:t xml:space="preserve"> supervisory shock scenarios […]</w:t>
      </w:r>
      <w:r w:rsidR="001527C1" w:rsidRPr="00180AC3">
        <w:rPr>
          <w:rFonts w:cstheme="minorHAnsi"/>
          <w:i/>
        </w:rPr>
        <w:t xml:space="preserve"> </w:t>
      </w:r>
      <w:r w:rsidR="00724037" w:rsidRPr="00180AC3">
        <w:rPr>
          <w:rFonts w:cstheme="minorHAnsi"/>
          <w:i/>
        </w:rPr>
        <w:t>shall apply at least to the exposure of institutions to the interest rate risk arising from non-trading book activities denominated in each currency separately for which the institution has positions where the accounting value of financial assets or liabilities denominated in a currency amounts to 5% or more of the total non-trading book financial assets or liabilities, or less than 5% if the sum of financial assets or liabilities included in the calculation is lower than 90% of total non-trading book financial assets (excluding tangible assets) or liabilities.</w:t>
      </w:r>
      <w:r w:rsidRPr="00180AC3">
        <w:rPr>
          <w:rFonts w:cstheme="minorHAnsi"/>
        </w:rPr>
        <w:t xml:space="preserve">” For the purpose of the STE, a currency is thus considered material if an institution </w:t>
      </w:r>
      <w:r w:rsidR="00B570BE" w:rsidRPr="00180AC3">
        <w:rPr>
          <w:rFonts w:cstheme="minorHAnsi"/>
        </w:rPr>
        <w:t>applies the supervisory shock scenarios for</w:t>
      </w:r>
      <w:r w:rsidRPr="00180AC3">
        <w:rPr>
          <w:rFonts w:cstheme="minorHAnsi"/>
        </w:rPr>
        <w:t xml:space="preserve"> the exposures denominated in that currency according to </w:t>
      </w:r>
      <w:r w:rsidR="00B570BE" w:rsidRPr="00180AC3">
        <w:rPr>
          <w:rFonts w:cstheme="minorHAnsi"/>
        </w:rPr>
        <w:t>Article 1(3)</w:t>
      </w:r>
      <w:r w:rsidRPr="00180AC3">
        <w:rPr>
          <w:rFonts w:cstheme="minorHAnsi"/>
        </w:rPr>
        <w:t xml:space="preserve"> of the </w:t>
      </w:r>
      <w:r w:rsidR="00B570BE" w:rsidRPr="00180AC3">
        <w:rPr>
          <w:rFonts w:cstheme="minorHAnsi"/>
        </w:rPr>
        <w:t>EBA/RTS/2022/10</w:t>
      </w:r>
      <w:r w:rsidRPr="00180AC3">
        <w:rPr>
          <w:rFonts w:cstheme="minorHAnsi"/>
        </w:rPr>
        <w:t>.</w:t>
      </w:r>
    </w:p>
    <w:p w14:paraId="281C4EA3" w14:textId="77777777" w:rsidR="00E77DEA" w:rsidRPr="00180AC3" w:rsidRDefault="00E77DEA" w:rsidP="00A40857">
      <w:pPr>
        <w:pStyle w:val="ListParagraph"/>
        <w:numPr>
          <w:ilvl w:val="0"/>
          <w:numId w:val="2"/>
        </w:numPr>
        <w:spacing w:before="120" w:line="360" w:lineRule="auto"/>
        <w:ind w:left="426"/>
        <w:jc w:val="both"/>
        <w:rPr>
          <w:rFonts w:cstheme="minorHAnsi"/>
        </w:rPr>
      </w:pPr>
      <w:r w:rsidRPr="00180AC3">
        <w:rPr>
          <w:rFonts w:cstheme="minorHAnsi"/>
        </w:rPr>
        <w:t>This template also includes a text box “Additional Comments” which institutions should use to include comments on the following:</w:t>
      </w:r>
    </w:p>
    <w:p w14:paraId="6101927D" w14:textId="77777777" w:rsidR="00E77DEA" w:rsidRPr="00180AC3" w:rsidRDefault="00E77DEA" w:rsidP="00A40857">
      <w:pPr>
        <w:pStyle w:val="ListParagraph"/>
        <w:numPr>
          <w:ilvl w:val="0"/>
          <w:numId w:val="54"/>
        </w:numPr>
        <w:spacing w:before="120" w:line="360" w:lineRule="auto"/>
        <w:jc w:val="both"/>
        <w:rPr>
          <w:rFonts w:cstheme="minorHAnsi"/>
        </w:rPr>
      </w:pPr>
      <w:r w:rsidRPr="00180AC3">
        <w:rPr>
          <w:rFonts w:cstheme="minorHAnsi"/>
        </w:rPr>
        <w:t xml:space="preserve">Scope issue: Institutions should report the percentage of Banking Book coverage, the currency </w:t>
      </w:r>
      <w:proofErr w:type="gramStart"/>
      <w:r w:rsidRPr="00180AC3">
        <w:rPr>
          <w:rFonts w:cstheme="minorHAnsi"/>
        </w:rPr>
        <w:t>code</w:t>
      </w:r>
      <w:proofErr w:type="gramEnd"/>
      <w:r w:rsidRPr="00180AC3">
        <w:rPr>
          <w:rFonts w:cstheme="minorHAnsi"/>
        </w:rPr>
        <w:t xml:space="preserve"> and the impact on EVE and NII (including Market Value Changes (MVC)) from all material on- and off- balance sheet interest-rate sensitive positions and credit spread changes sensitive positions of the banking book denominated in material currencies. If this is not the case, institutions should explain in this box what is missing and why;</w:t>
      </w:r>
    </w:p>
    <w:p w14:paraId="145DA5FF" w14:textId="77777777" w:rsidR="00E77DEA" w:rsidRPr="00180AC3" w:rsidRDefault="00E77DEA" w:rsidP="00A40857">
      <w:pPr>
        <w:pStyle w:val="ListParagraph"/>
        <w:numPr>
          <w:ilvl w:val="0"/>
          <w:numId w:val="54"/>
        </w:numPr>
        <w:spacing w:before="120" w:line="360" w:lineRule="auto"/>
        <w:jc w:val="both"/>
        <w:rPr>
          <w:rFonts w:cstheme="minorHAnsi"/>
        </w:rPr>
      </w:pPr>
      <w:r w:rsidRPr="00180AC3">
        <w:rPr>
          <w:rFonts w:cstheme="minorHAnsi"/>
        </w:rPr>
        <w:t>Clarifications on processes: briefly outlining which kind of quality assurance processes have been performed to prepare the STE for SREP data collection templates, mentioning the responsible organisational unit and including any material findings or shortcoming of the validation process;</w:t>
      </w:r>
    </w:p>
    <w:p w14:paraId="67B5E048" w14:textId="77777777" w:rsidR="00E77DEA" w:rsidRPr="00180AC3" w:rsidRDefault="00E77DEA" w:rsidP="00A40857">
      <w:pPr>
        <w:pStyle w:val="ListParagraph"/>
        <w:numPr>
          <w:ilvl w:val="0"/>
          <w:numId w:val="54"/>
        </w:numPr>
        <w:spacing w:before="120" w:line="360" w:lineRule="auto"/>
        <w:jc w:val="both"/>
        <w:rPr>
          <w:rFonts w:cstheme="minorHAnsi"/>
        </w:rPr>
      </w:pPr>
      <w:r w:rsidRPr="00180AC3">
        <w:rPr>
          <w:rFonts w:cstheme="minorHAnsi"/>
        </w:rPr>
        <w:t>Applicable but not reported data: explain why any data point in the IRRBB / CSRBB template has been left blank (meaning that a phenomenon or data point is applicable, but the institution chose not to report it);</w:t>
      </w:r>
    </w:p>
    <w:p w14:paraId="476A1049" w14:textId="1FCA8158" w:rsidR="00E77DEA" w:rsidRPr="00180AC3" w:rsidRDefault="00E77DEA" w:rsidP="00A40857">
      <w:pPr>
        <w:pStyle w:val="ListParagraph"/>
        <w:numPr>
          <w:ilvl w:val="0"/>
          <w:numId w:val="54"/>
        </w:numPr>
        <w:spacing w:before="120" w:line="360" w:lineRule="auto"/>
        <w:jc w:val="both"/>
        <w:rPr>
          <w:rFonts w:cstheme="minorHAnsi"/>
        </w:rPr>
      </w:pPr>
      <w:r w:rsidRPr="00180AC3">
        <w:rPr>
          <w:rFonts w:cstheme="minorHAnsi"/>
        </w:rPr>
        <w:t>When any section of the instructions requires the institutions to provide additional comments;</w:t>
      </w:r>
    </w:p>
    <w:p w14:paraId="36D0D474" w14:textId="77777777" w:rsidR="00E77DEA" w:rsidRPr="00180AC3" w:rsidRDefault="00E77DEA" w:rsidP="00A40857">
      <w:pPr>
        <w:pStyle w:val="ListParagraph"/>
        <w:spacing w:before="120" w:line="360" w:lineRule="auto"/>
        <w:ind w:left="2094"/>
        <w:jc w:val="both"/>
        <w:rPr>
          <w:rFonts w:cstheme="minorHAnsi"/>
        </w:rPr>
      </w:pPr>
    </w:p>
    <w:p w14:paraId="1AD4B5A2" w14:textId="6FFA0697" w:rsidR="00E77DEA" w:rsidRPr="00180AC3" w:rsidRDefault="00E77DEA" w:rsidP="00A40857">
      <w:pPr>
        <w:pStyle w:val="ListParagraph"/>
        <w:numPr>
          <w:ilvl w:val="0"/>
          <w:numId w:val="2"/>
        </w:numPr>
        <w:spacing w:before="120" w:line="360" w:lineRule="auto"/>
        <w:ind w:left="426"/>
        <w:jc w:val="both"/>
        <w:rPr>
          <w:rFonts w:cstheme="minorHAnsi"/>
        </w:rPr>
      </w:pPr>
      <w:r w:rsidRPr="00180AC3">
        <w:rPr>
          <w:rFonts w:cstheme="minorHAnsi"/>
        </w:rPr>
        <w:t>For institutions to provide any additional material remarks regarding Interest Rate Risk in the Banking Book (IRRBB) and Credit Spread Risk in the Banking Book (CSRBB) which have not been captured/included by the current templates.</w:t>
      </w:r>
    </w:p>
    <w:p w14:paraId="1E352DD9" w14:textId="3CA34432" w:rsidR="00271777" w:rsidRPr="00180AC3" w:rsidRDefault="00271777" w:rsidP="00A40857">
      <w:pPr>
        <w:pStyle w:val="ListParagraph"/>
        <w:spacing w:before="120" w:line="360" w:lineRule="auto"/>
        <w:ind w:left="426"/>
        <w:jc w:val="both"/>
        <w:rPr>
          <w:rFonts w:cstheme="minorHAnsi"/>
        </w:rPr>
      </w:pPr>
      <w:r w:rsidRPr="00180AC3">
        <w:rPr>
          <w:rFonts w:cstheme="minorHAnsi"/>
        </w:rPr>
        <w:t>Consequently, institutions should first identify their respective four most material currencies in cells C19 to C22 (using the drop</w:t>
      </w:r>
      <w:r w:rsidR="001527C1" w:rsidRPr="00180AC3">
        <w:rPr>
          <w:rFonts w:cstheme="minorHAnsi"/>
        </w:rPr>
        <w:t>-</w:t>
      </w:r>
      <w:r w:rsidRPr="00180AC3">
        <w:rPr>
          <w:rFonts w:cstheme="minorHAnsi"/>
        </w:rPr>
        <w:t xml:space="preserve">down list), ranked in accordance with the formula set out in the next paragraph; the respective shares of those currencies in the banking book should be reported in cells D19 to D22. If an institution has more than four material currencies, it should report the aggregate share of the banking book in cell D23 by summing the outcome of the formula set out in the next paragraph for the material currencies that were not already included in cells C19 to C22. Importantly, the formula in the next paragraph </w:t>
      </w:r>
      <w:r w:rsidRPr="00180AC3">
        <w:rPr>
          <w:rFonts w:cstheme="minorHAnsi"/>
          <w:u w:val="single"/>
        </w:rPr>
        <w:t>does not replace</w:t>
      </w:r>
      <w:r w:rsidRPr="00180AC3">
        <w:rPr>
          <w:rFonts w:cstheme="minorHAnsi"/>
        </w:rPr>
        <w:t xml:space="preserve"> the need for institutions to compute the threshold to identify material currencies according to </w:t>
      </w:r>
      <w:r w:rsidR="00B570BE" w:rsidRPr="00180AC3">
        <w:rPr>
          <w:rFonts w:cstheme="minorHAnsi"/>
        </w:rPr>
        <w:t>Article 1(3) of the EBA/RTS/2022/10</w:t>
      </w:r>
      <w:r w:rsidRPr="00180AC3">
        <w:rPr>
          <w:rFonts w:cstheme="minorHAnsi"/>
        </w:rPr>
        <w:t xml:space="preserve"> (since, for example, the threshold under paragraph 115(l) applies separately to assets and to liabilities). If institutions have less than four material currencies, they should apply the “-” option, which is the first item in the drop-down list. As an example, if an institution only has one material currency (e.g. EUR), it should fill EUR in the Material Currency 1 and its respective share of the banking </w:t>
      </w:r>
      <w:proofErr w:type="gramStart"/>
      <w:r w:rsidRPr="00180AC3">
        <w:rPr>
          <w:rFonts w:cstheme="minorHAnsi"/>
        </w:rPr>
        <w:t>book, and</w:t>
      </w:r>
      <w:proofErr w:type="gramEnd"/>
      <w:r w:rsidRPr="00180AC3">
        <w:rPr>
          <w:rFonts w:cstheme="minorHAnsi"/>
        </w:rPr>
        <w:t xml:space="preserve"> fill in “-” in the remaining cells.</w:t>
      </w:r>
    </w:p>
    <w:p w14:paraId="792C95A7" w14:textId="56FDF7CC" w:rsidR="00271777" w:rsidRPr="00180AC3" w:rsidRDefault="00271777" w:rsidP="00A40857">
      <w:pPr>
        <w:pStyle w:val="ListParagraph"/>
        <w:numPr>
          <w:ilvl w:val="0"/>
          <w:numId w:val="2"/>
        </w:numPr>
        <w:spacing w:before="120" w:line="360" w:lineRule="auto"/>
        <w:ind w:left="426"/>
        <w:jc w:val="both"/>
        <w:rPr>
          <w:rFonts w:cstheme="minorHAnsi"/>
        </w:rPr>
      </w:pPr>
      <w:r w:rsidRPr="00180AC3">
        <w:rPr>
          <w:rFonts w:cstheme="minorHAnsi"/>
        </w:rPr>
        <w:t>In order to compute the share of banking book covered under the specific currency, the formula below must be applied (where BB=interest-rate sensitive banking book elements and where the EUR exchange rate to be used is the euro foreign exchange reference rates available in the ECB website as of the reference date if available, or if not available, by using available market information on FX rates as of reference date):</w:t>
      </w:r>
    </w:p>
    <w:p w14:paraId="3E760DDF" w14:textId="77777777" w:rsidR="00271777" w:rsidRPr="00756F68" w:rsidRDefault="00000000" w:rsidP="00A40857">
      <w:pPr>
        <w:spacing w:before="120" w:line="360" w:lineRule="auto"/>
        <w:jc w:val="both"/>
        <w:rPr>
          <w:rFonts w:cstheme="minorHAnsi"/>
          <w:sz w:val="20"/>
          <w:szCs w:val="20"/>
        </w:rPr>
      </w:pPr>
      <m:oMathPara>
        <m:oMath>
          <m:f>
            <m:fPr>
              <m:ctrlPr>
                <w:rPr>
                  <w:rFonts w:ascii="Cambria Math" w:hAnsi="Cambria Math" w:cstheme="minorHAnsi"/>
                  <w:i/>
                  <w:sz w:val="20"/>
                  <w:szCs w:val="20"/>
                </w:rPr>
              </m:ctrlPr>
            </m:fPr>
            <m:num>
              <m:r>
                <w:rPr>
                  <w:rFonts w:ascii="Cambria Math" w:hAnsi="Cambria Math" w:cstheme="minorHAnsi"/>
                  <w:sz w:val="20"/>
                  <w:szCs w:val="20"/>
                </w:rPr>
                <m:t xml:space="preserve">BB  assets and liabilities denominated in material currency converted to EUR </m:t>
              </m:r>
              <m:r>
                <w:rPr>
                  <w:rStyle w:val="FootnoteReference"/>
                  <w:rFonts w:ascii="Cambria Math" w:hAnsi="Cambria Math" w:cstheme="minorHAnsi"/>
                  <w:i/>
                  <w:sz w:val="20"/>
                  <w:szCs w:val="20"/>
                </w:rPr>
                <w:footnoteReference w:id="2"/>
              </m:r>
              <m:r>
                <w:rPr>
                  <w:rFonts w:ascii="Cambria Math" w:hAnsi="Cambria Math" w:cstheme="minorHAnsi"/>
                  <w:sz w:val="20"/>
                  <w:szCs w:val="20"/>
                </w:rPr>
                <m:t xml:space="preserve"> </m:t>
              </m:r>
            </m:num>
            <m:den>
              <m:r>
                <w:rPr>
                  <w:rFonts w:ascii="Cambria Math" w:hAnsi="Cambria Math" w:cstheme="minorHAnsi"/>
                  <w:sz w:val="20"/>
                  <w:szCs w:val="20"/>
                </w:rPr>
                <m:t xml:space="preserve">Total BB assets and liabilites converted to EUR </m:t>
              </m:r>
            </m:den>
          </m:f>
        </m:oMath>
      </m:oMathPara>
    </w:p>
    <w:p w14:paraId="1E7B05AC" w14:textId="77777777" w:rsidR="00271777" w:rsidRPr="00756F68" w:rsidRDefault="00271777" w:rsidP="00A40857">
      <w:pPr>
        <w:jc w:val="both"/>
        <w:rPr>
          <w:rFonts w:cstheme="minorHAnsi"/>
          <w:sz w:val="20"/>
          <w:szCs w:val="20"/>
        </w:rPr>
      </w:pPr>
    </w:p>
    <w:p w14:paraId="40FF18E2" w14:textId="77777777" w:rsidR="00931815" w:rsidRPr="00756F68" w:rsidRDefault="00931815" w:rsidP="00A40857">
      <w:pPr>
        <w:jc w:val="both"/>
        <w:rPr>
          <w:rFonts w:eastAsiaTheme="majorEastAsia" w:cstheme="minorHAnsi"/>
          <w:b/>
          <w:bCs/>
          <w:sz w:val="20"/>
          <w:szCs w:val="20"/>
        </w:rPr>
      </w:pPr>
      <w:r w:rsidRPr="00756F68">
        <w:rPr>
          <w:rFonts w:cstheme="minorHAnsi"/>
          <w:sz w:val="20"/>
          <w:szCs w:val="20"/>
        </w:rPr>
        <w:br w:type="page"/>
      </w:r>
    </w:p>
    <w:p w14:paraId="546BDBCC" w14:textId="087B16F5" w:rsidR="00E77DEA" w:rsidRPr="005233A2" w:rsidRDefault="00247703" w:rsidP="005233A2">
      <w:pPr>
        <w:pStyle w:val="Heading2"/>
        <w:spacing w:before="120" w:line="360" w:lineRule="auto"/>
        <w:rPr>
          <w:rFonts w:asciiTheme="minorHAnsi" w:hAnsiTheme="minorHAnsi" w:cstheme="minorHAnsi"/>
          <w:color w:val="auto"/>
          <w:sz w:val="22"/>
          <w:szCs w:val="22"/>
        </w:rPr>
      </w:pPr>
      <w:bookmarkStart w:id="16" w:name="_Toc146804984"/>
      <w:r w:rsidRPr="005233A2">
        <w:rPr>
          <w:rFonts w:asciiTheme="minorHAnsi" w:hAnsiTheme="minorHAnsi" w:cstheme="minorHAnsi"/>
          <w:color w:val="auto"/>
          <w:sz w:val="22"/>
          <w:szCs w:val="22"/>
        </w:rPr>
        <w:lastRenderedPageBreak/>
        <w:t>Template “</w:t>
      </w:r>
      <w:r w:rsidR="00180C55" w:rsidRPr="005233A2">
        <w:rPr>
          <w:rFonts w:asciiTheme="minorHAnsi" w:hAnsiTheme="minorHAnsi" w:cstheme="minorHAnsi"/>
          <w:color w:val="auto"/>
          <w:sz w:val="22"/>
          <w:szCs w:val="22"/>
        </w:rPr>
        <w:t>1</w:t>
      </w:r>
      <w:r w:rsidRPr="005233A2">
        <w:rPr>
          <w:rFonts w:asciiTheme="minorHAnsi" w:hAnsiTheme="minorHAnsi" w:cstheme="minorHAnsi"/>
          <w:color w:val="auto"/>
          <w:sz w:val="22"/>
          <w:szCs w:val="22"/>
        </w:rPr>
        <w:t>_IRRBB and CSRBB mapping”</w:t>
      </w:r>
      <w:bookmarkEnd w:id="16"/>
    </w:p>
    <w:p w14:paraId="3A20F8A0" w14:textId="58AFD9B8" w:rsidR="006B640E" w:rsidRPr="00756F68" w:rsidRDefault="006B640E" w:rsidP="00A40857">
      <w:pPr>
        <w:pStyle w:val="ListParagraph"/>
        <w:numPr>
          <w:ilvl w:val="0"/>
          <w:numId w:val="2"/>
        </w:numPr>
        <w:spacing w:before="120"/>
        <w:ind w:left="360"/>
        <w:jc w:val="both"/>
        <w:rPr>
          <w:rFonts w:cstheme="minorHAnsi"/>
        </w:rPr>
      </w:pPr>
      <w:r w:rsidRPr="00756F68">
        <w:rPr>
          <w:rFonts w:cstheme="minorHAnsi"/>
        </w:rPr>
        <w:t>This template provides an overview of institutions’ balance sheet items sensitive to interest rate and credit spreads changes</w:t>
      </w:r>
      <w:r w:rsidR="00CB1A60" w:rsidRPr="00756F68">
        <w:rPr>
          <w:rFonts w:cstheme="minorHAnsi"/>
        </w:rPr>
        <w:t>.</w:t>
      </w:r>
    </w:p>
    <w:p w14:paraId="1DEED9AF" w14:textId="286C0517" w:rsidR="006B640E" w:rsidRPr="00756F68" w:rsidRDefault="006B640E" w:rsidP="00A40857">
      <w:pPr>
        <w:pStyle w:val="ListParagraph"/>
        <w:numPr>
          <w:ilvl w:val="1"/>
          <w:numId w:val="2"/>
        </w:numPr>
        <w:spacing w:before="120"/>
        <w:ind w:left="818"/>
        <w:jc w:val="both"/>
        <w:rPr>
          <w:rFonts w:cstheme="minorHAnsi"/>
        </w:rPr>
      </w:pPr>
      <w:r w:rsidRPr="00756F68">
        <w:rPr>
          <w:rFonts w:cstheme="minorHAnsi"/>
        </w:rPr>
        <w:t xml:space="preserve">assets, which are not deducted from Common Equity Tier 1 (CET1) </w:t>
      </w:r>
      <w:proofErr w:type="gramStart"/>
      <w:r w:rsidRPr="00756F68">
        <w:rPr>
          <w:rFonts w:cstheme="minorHAnsi"/>
        </w:rPr>
        <w:t>capital</w:t>
      </w:r>
      <w:proofErr w:type="gramEnd"/>
      <w:r w:rsidRPr="00756F68">
        <w:rPr>
          <w:rFonts w:cstheme="minorHAnsi"/>
        </w:rPr>
        <w:t xml:space="preserve"> and which exclude (</w:t>
      </w:r>
      <w:proofErr w:type="spellStart"/>
      <w:r w:rsidRPr="00756F68">
        <w:rPr>
          <w:rFonts w:cstheme="minorHAnsi"/>
        </w:rPr>
        <w:t>i</w:t>
      </w:r>
      <w:proofErr w:type="spellEnd"/>
      <w:r w:rsidRPr="00756F68">
        <w:rPr>
          <w:rFonts w:cstheme="minorHAnsi"/>
        </w:rPr>
        <w:t xml:space="preserve">) fixed </w:t>
      </w:r>
      <w:r w:rsidR="00B94C63" w:rsidRPr="00756F68">
        <w:rPr>
          <w:rFonts w:cstheme="minorHAnsi"/>
        </w:rPr>
        <w:t xml:space="preserve">rate </w:t>
      </w:r>
      <w:r w:rsidRPr="00756F68">
        <w:rPr>
          <w:rFonts w:cstheme="minorHAnsi"/>
        </w:rPr>
        <w:t xml:space="preserve">assets such as real estate or intangible assets and (ii) equity exposures in the banking book; </w:t>
      </w:r>
    </w:p>
    <w:p w14:paraId="6F21D3F5" w14:textId="77777777" w:rsidR="006B640E" w:rsidRPr="00756F68" w:rsidRDefault="006B640E" w:rsidP="00A40857">
      <w:pPr>
        <w:pStyle w:val="ListParagraph"/>
        <w:numPr>
          <w:ilvl w:val="1"/>
          <w:numId w:val="2"/>
        </w:numPr>
        <w:spacing w:before="120"/>
        <w:ind w:left="818"/>
        <w:jc w:val="both"/>
        <w:rPr>
          <w:rFonts w:cstheme="minorHAnsi"/>
        </w:rPr>
      </w:pPr>
      <w:r w:rsidRPr="00756F68">
        <w:rPr>
          <w:rFonts w:cstheme="minorHAnsi"/>
        </w:rPr>
        <w:t>liabilities (including all non-remunerated deposits), other than CET1 instruments and other than perpetual own funds without any call dates</w:t>
      </w:r>
    </w:p>
    <w:p w14:paraId="45A6CAF2" w14:textId="3C9616EA" w:rsidR="006B640E" w:rsidRPr="00756F68" w:rsidRDefault="00B94C63" w:rsidP="00A40857">
      <w:pPr>
        <w:pStyle w:val="numberedparagraph"/>
        <w:numPr>
          <w:ilvl w:val="0"/>
          <w:numId w:val="2"/>
        </w:numPr>
        <w:ind w:left="360"/>
        <w:rPr>
          <w:rFonts w:cstheme="minorHAnsi"/>
        </w:rPr>
      </w:pPr>
      <w:r w:rsidRPr="00756F68">
        <w:rPr>
          <w:rFonts w:cstheme="minorHAnsi"/>
        </w:rPr>
        <w:t>As only covering the banking book on</w:t>
      </w:r>
      <w:r w:rsidR="009864E7" w:rsidRPr="00756F68">
        <w:rPr>
          <w:rFonts w:cstheme="minorHAnsi"/>
        </w:rPr>
        <w:t xml:space="preserve"> </w:t>
      </w:r>
      <w:r w:rsidRPr="00756F68">
        <w:rPr>
          <w:rFonts w:cstheme="minorHAnsi"/>
        </w:rPr>
        <w:t>balance sheet items,</w:t>
      </w:r>
      <w:r w:rsidR="00A45217" w:rsidRPr="00756F68">
        <w:rPr>
          <w:rFonts w:cstheme="minorHAnsi"/>
        </w:rPr>
        <w:t xml:space="preserve"> </w:t>
      </w:r>
      <w:r w:rsidR="006B640E" w:rsidRPr="00756F68">
        <w:rPr>
          <w:rFonts w:cstheme="minorHAnsi"/>
        </w:rPr>
        <w:t>trading book exposures shall be excluded when populating th</w:t>
      </w:r>
      <w:r w:rsidR="009864E7" w:rsidRPr="00756F68">
        <w:rPr>
          <w:rFonts w:cstheme="minorHAnsi"/>
        </w:rPr>
        <w:t xml:space="preserve">is template but </w:t>
      </w:r>
      <w:r w:rsidR="006B640E" w:rsidRPr="00756F68">
        <w:rPr>
          <w:rFonts w:cstheme="minorHAnsi"/>
        </w:rPr>
        <w:t xml:space="preserve">small trading book positions (i.e. covered by Article 94 CRR) shall also be included. </w:t>
      </w:r>
    </w:p>
    <w:p w14:paraId="7B653FFE" w14:textId="582CF057" w:rsidR="00247703" w:rsidRPr="00756F68" w:rsidRDefault="006B640E" w:rsidP="00A40857">
      <w:pPr>
        <w:pStyle w:val="numberedparagraph"/>
        <w:numPr>
          <w:ilvl w:val="0"/>
          <w:numId w:val="2"/>
        </w:numPr>
        <w:ind w:left="360"/>
        <w:rPr>
          <w:rFonts w:cstheme="minorHAnsi"/>
        </w:rPr>
      </w:pPr>
      <w:r w:rsidRPr="00756F68">
        <w:rPr>
          <w:rFonts w:cstheme="minorHAnsi"/>
        </w:rPr>
        <w:t xml:space="preserve">Non-performing exposures should be excluded </w:t>
      </w:r>
      <w:r w:rsidR="00CB1A60" w:rsidRPr="00756F68">
        <w:rPr>
          <w:rFonts w:cstheme="minorHAnsi"/>
        </w:rPr>
        <w:t>for CSRBB related data points</w:t>
      </w:r>
      <w:r w:rsidR="009864E7" w:rsidRPr="00756F68">
        <w:rPr>
          <w:rFonts w:cstheme="minorHAnsi"/>
        </w:rPr>
        <w:t xml:space="preserve"> </w:t>
      </w:r>
      <w:r w:rsidR="00B94C63" w:rsidRPr="00756F68">
        <w:rPr>
          <w:rFonts w:cstheme="minorHAnsi"/>
        </w:rPr>
        <w:t>as being outside the CSRBB perimeter</w:t>
      </w:r>
      <w:r w:rsidR="009864E7" w:rsidRPr="00756F68">
        <w:rPr>
          <w:rStyle w:val="FootnoteReference"/>
          <w:rFonts w:cstheme="minorHAnsi"/>
        </w:rPr>
        <w:footnoteReference w:id="3"/>
      </w:r>
      <w:r w:rsidR="00B94C63" w:rsidRPr="00756F68">
        <w:rPr>
          <w:rFonts w:cstheme="minorHAnsi"/>
        </w:rPr>
        <w:t>.</w:t>
      </w:r>
    </w:p>
    <w:p w14:paraId="5B0E3D83" w14:textId="70D86DAB" w:rsidR="006B640E" w:rsidRPr="00756F68" w:rsidRDefault="006B640E" w:rsidP="00A40857">
      <w:pPr>
        <w:pStyle w:val="numberedparagraph"/>
        <w:numPr>
          <w:ilvl w:val="0"/>
          <w:numId w:val="2"/>
        </w:numPr>
        <w:ind w:left="360"/>
        <w:rPr>
          <w:rFonts w:cstheme="minorHAnsi"/>
        </w:rPr>
      </w:pPr>
      <w:r w:rsidRPr="00756F68">
        <w:rPr>
          <w:rFonts w:cstheme="minorHAnsi"/>
        </w:rPr>
        <w:t xml:space="preserve">Exposures shall be reported under the fair value accounting section or under the </w:t>
      </w:r>
      <w:r w:rsidR="008806B0" w:rsidRPr="00756F68">
        <w:rPr>
          <w:rFonts w:cstheme="minorHAnsi"/>
        </w:rPr>
        <w:t>amortised</w:t>
      </w:r>
      <w:r w:rsidRPr="00756F68">
        <w:rPr>
          <w:rFonts w:cstheme="minorHAnsi"/>
        </w:rPr>
        <w:t xml:space="preserve"> cost accounting section, considering their current applicable accounting standard (IFRS or national GAAP).</w:t>
      </w:r>
    </w:p>
    <w:p w14:paraId="4C5AA52D" w14:textId="77777777" w:rsidR="006B640E" w:rsidRPr="00756F68" w:rsidRDefault="006B640E" w:rsidP="00A40857">
      <w:pPr>
        <w:pStyle w:val="numberedparagraph"/>
        <w:numPr>
          <w:ilvl w:val="0"/>
          <w:numId w:val="2"/>
        </w:numPr>
        <w:ind w:left="360"/>
        <w:rPr>
          <w:rFonts w:cstheme="minorHAnsi"/>
        </w:rPr>
      </w:pPr>
      <w:r w:rsidRPr="00756F68">
        <w:rPr>
          <w:rFonts w:cstheme="minorHAnsi"/>
        </w:rPr>
        <w:t>The effect of accounting hedges (on CSRBB) should be reported separately for the derivative and the non-derivative leg, i.e. the impact on assets such as bonds should be reported without the accounting hedge and the corresponding derivatives (the “hedge”) should be reported under derivatives.</w:t>
      </w:r>
    </w:p>
    <w:p w14:paraId="646BB251" w14:textId="77777777" w:rsidR="009864E7" w:rsidRPr="00756F68" w:rsidRDefault="009864E7" w:rsidP="00A40857">
      <w:pPr>
        <w:pStyle w:val="body"/>
        <w:spacing w:before="0" w:after="0"/>
        <w:rPr>
          <w:rFonts w:cstheme="minorHAnsi"/>
          <w:lang w:val="en-GB"/>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6"/>
        <w:gridCol w:w="2437"/>
        <w:gridCol w:w="5351"/>
      </w:tblGrid>
      <w:tr w:rsidR="009864E7" w:rsidRPr="00756F68" w14:paraId="57CD06D7" w14:textId="77777777" w:rsidTr="004B29A3">
        <w:trPr>
          <w:cantSplit/>
          <w:trHeight w:val="325"/>
          <w:tblHeader/>
        </w:trPr>
        <w:tc>
          <w:tcPr>
            <w:tcW w:w="996" w:type="dxa"/>
            <w:hideMark/>
          </w:tcPr>
          <w:p w14:paraId="12A4AFBC" w14:textId="77777777" w:rsidR="009864E7" w:rsidRPr="00756F68" w:rsidRDefault="009864E7" w:rsidP="00A40857">
            <w:pPr>
              <w:pStyle w:val="body"/>
              <w:spacing w:before="120" w:line="240" w:lineRule="auto"/>
              <w:rPr>
                <w:rFonts w:cstheme="minorHAnsi"/>
                <w:b/>
                <w:bCs/>
                <w:lang w:val="en-GB"/>
              </w:rPr>
            </w:pPr>
            <w:r w:rsidRPr="00756F68">
              <w:rPr>
                <w:rFonts w:cstheme="minorHAnsi"/>
                <w:b/>
                <w:bCs/>
                <w:lang w:val="en-GB"/>
              </w:rPr>
              <w:t>Column</w:t>
            </w:r>
          </w:p>
        </w:tc>
        <w:tc>
          <w:tcPr>
            <w:tcW w:w="2437" w:type="dxa"/>
            <w:hideMark/>
          </w:tcPr>
          <w:p w14:paraId="52F67EC3" w14:textId="777C3683" w:rsidR="009864E7" w:rsidRPr="00756F68" w:rsidRDefault="00616D33" w:rsidP="00A40857">
            <w:pPr>
              <w:pStyle w:val="body"/>
              <w:spacing w:before="120" w:line="240" w:lineRule="auto"/>
              <w:rPr>
                <w:rFonts w:cstheme="minorHAnsi"/>
                <w:b/>
                <w:bCs/>
                <w:lang w:val="en-GB"/>
              </w:rPr>
            </w:pPr>
            <w:r w:rsidRPr="00756F68">
              <w:rPr>
                <w:rFonts w:cstheme="minorHAnsi"/>
                <w:b/>
                <w:bCs/>
                <w:lang w:val="en-GB"/>
              </w:rPr>
              <w:t>Heading</w:t>
            </w:r>
          </w:p>
        </w:tc>
        <w:tc>
          <w:tcPr>
            <w:tcW w:w="5351" w:type="dxa"/>
            <w:hideMark/>
          </w:tcPr>
          <w:p w14:paraId="5569D2E9" w14:textId="77777777" w:rsidR="009864E7" w:rsidRPr="00756F68" w:rsidRDefault="009864E7" w:rsidP="00A40857">
            <w:pPr>
              <w:pStyle w:val="body"/>
              <w:spacing w:before="120" w:line="240" w:lineRule="auto"/>
              <w:rPr>
                <w:rFonts w:cstheme="minorHAnsi"/>
                <w:b/>
                <w:bCs/>
                <w:lang w:val="en-GB"/>
              </w:rPr>
            </w:pPr>
            <w:r w:rsidRPr="00756F68">
              <w:rPr>
                <w:rFonts w:cstheme="minorHAnsi"/>
                <w:b/>
                <w:bCs/>
                <w:lang w:val="en-GB"/>
              </w:rPr>
              <w:t>Description</w:t>
            </w:r>
          </w:p>
        </w:tc>
      </w:tr>
      <w:tr w:rsidR="009864E7" w:rsidRPr="00756F68" w14:paraId="189A6C94" w14:textId="77777777" w:rsidTr="004B29A3">
        <w:trPr>
          <w:cantSplit/>
        </w:trPr>
        <w:tc>
          <w:tcPr>
            <w:tcW w:w="996" w:type="dxa"/>
          </w:tcPr>
          <w:p w14:paraId="2C3C3117" w14:textId="0B26CF29" w:rsidR="009864E7" w:rsidRPr="00756F68" w:rsidRDefault="009864E7" w:rsidP="00A40857">
            <w:pPr>
              <w:pStyle w:val="body"/>
              <w:spacing w:before="120" w:line="240" w:lineRule="auto"/>
              <w:rPr>
                <w:rFonts w:cstheme="minorHAnsi"/>
                <w:lang w:val="en-GB"/>
              </w:rPr>
            </w:pPr>
            <w:r w:rsidRPr="00756F68">
              <w:rPr>
                <w:rFonts w:cstheme="minorHAnsi"/>
                <w:lang w:val="en-GB"/>
              </w:rPr>
              <w:t>0010</w:t>
            </w:r>
          </w:p>
        </w:tc>
        <w:tc>
          <w:tcPr>
            <w:tcW w:w="2437" w:type="dxa"/>
          </w:tcPr>
          <w:p w14:paraId="1C340664" w14:textId="4FE1A988" w:rsidR="009864E7" w:rsidRPr="00756F68" w:rsidRDefault="009864E7" w:rsidP="00A40857">
            <w:pPr>
              <w:pStyle w:val="body"/>
              <w:spacing w:before="120" w:line="240" w:lineRule="auto"/>
              <w:rPr>
                <w:rFonts w:cstheme="minorHAnsi"/>
                <w:bCs/>
                <w:lang w:val="en-GB"/>
              </w:rPr>
            </w:pPr>
            <w:r w:rsidRPr="00756F68">
              <w:rPr>
                <w:rFonts w:cstheme="minorHAnsi"/>
                <w:lang w:val="en-GB"/>
              </w:rPr>
              <w:t>Notional Amount</w:t>
            </w:r>
          </w:p>
        </w:tc>
        <w:tc>
          <w:tcPr>
            <w:tcW w:w="5351" w:type="dxa"/>
          </w:tcPr>
          <w:p w14:paraId="12E5E54D" w14:textId="47B1E4AB" w:rsidR="009864E7" w:rsidRPr="00756F68" w:rsidRDefault="009864E7" w:rsidP="00A40857">
            <w:pPr>
              <w:pStyle w:val="body"/>
              <w:spacing w:before="120" w:line="240" w:lineRule="auto"/>
              <w:rPr>
                <w:rFonts w:cstheme="minorHAnsi"/>
                <w:lang w:val="en-GB"/>
              </w:rPr>
            </w:pPr>
            <w:r w:rsidRPr="00756F68">
              <w:rPr>
                <w:rFonts w:cstheme="minorHAnsi"/>
                <w:lang w:val="en-GB"/>
              </w:rPr>
              <w:t xml:space="preserve">The principal amount of instruments accounted at fair value or </w:t>
            </w:r>
            <w:r w:rsidR="008806B0" w:rsidRPr="00756F68">
              <w:rPr>
                <w:rFonts w:cstheme="minorHAnsi"/>
                <w:lang w:val="en-GB"/>
              </w:rPr>
              <w:t>amortised</w:t>
            </w:r>
            <w:r w:rsidRPr="00756F68">
              <w:rPr>
                <w:rFonts w:cstheme="minorHAnsi"/>
                <w:lang w:val="en-GB"/>
              </w:rPr>
              <w:t xml:space="preserve"> cost must be reported.</w:t>
            </w:r>
          </w:p>
        </w:tc>
      </w:tr>
      <w:tr w:rsidR="009864E7" w:rsidRPr="00756F68" w14:paraId="63D7C279" w14:textId="77777777" w:rsidTr="004B29A3">
        <w:trPr>
          <w:cantSplit/>
        </w:trPr>
        <w:tc>
          <w:tcPr>
            <w:tcW w:w="996" w:type="dxa"/>
          </w:tcPr>
          <w:p w14:paraId="3927DADC" w14:textId="519AF397" w:rsidR="009864E7" w:rsidRPr="00756F68" w:rsidRDefault="009864E7" w:rsidP="00A40857">
            <w:pPr>
              <w:pStyle w:val="body"/>
              <w:spacing w:before="120" w:line="240" w:lineRule="auto"/>
              <w:rPr>
                <w:rFonts w:cstheme="minorHAnsi"/>
                <w:lang w:val="en-GB"/>
              </w:rPr>
            </w:pPr>
            <w:r w:rsidRPr="00756F68">
              <w:rPr>
                <w:rFonts w:cstheme="minorHAnsi"/>
                <w:lang w:val="en-GB"/>
              </w:rPr>
              <w:t>0020</w:t>
            </w:r>
          </w:p>
        </w:tc>
        <w:tc>
          <w:tcPr>
            <w:tcW w:w="2437" w:type="dxa"/>
          </w:tcPr>
          <w:p w14:paraId="4903FC91" w14:textId="0EF3167E" w:rsidR="009864E7" w:rsidRPr="00756F68" w:rsidRDefault="009864E7" w:rsidP="00A40857">
            <w:pPr>
              <w:pStyle w:val="body"/>
              <w:spacing w:before="120" w:line="240" w:lineRule="auto"/>
              <w:rPr>
                <w:rFonts w:cstheme="minorHAnsi"/>
                <w:bCs/>
                <w:lang w:val="en-GB"/>
              </w:rPr>
            </w:pPr>
            <w:r w:rsidRPr="00756F68">
              <w:rPr>
                <w:rFonts w:cstheme="minorHAnsi"/>
                <w:bCs/>
                <w:lang w:val="en-GB"/>
              </w:rPr>
              <w:t xml:space="preserve">Of which: subject to IMS for Credit Spread (CS) </w:t>
            </w:r>
          </w:p>
        </w:tc>
        <w:tc>
          <w:tcPr>
            <w:tcW w:w="5351" w:type="dxa"/>
          </w:tcPr>
          <w:p w14:paraId="38FD2DED" w14:textId="5507D3BE" w:rsidR="009864E7" w:rsidRPr="00756F68" w:rsidRDefault="009864E7" w:rsidP="00A40857">
            <w:pPr>
              <w:pStyle w:val="body"/>
              <w:spacing w:before="120" w:line="240" w:lineRule="auto"/>
              <w:rPr>
                <w:rFonts w:cstheme="minorHAnsi"/>
                <w:lang w:val="en-GB"/>
              </w:rPr>
            </w:pPr>
            <w:r w:rsidRPr="00756F68">
              <w:rPr>
                <w:rFonts w:cstheme="minorHAnsi"/>
                <w:lang w:val="en-GB"/>
              </w:rPr>
              <w:t>Please use the drop down to indicate whether you have assessed the items’ exposure to CSRBB for inclusion in IMS (irrespective of the outcome) for EVE, NII, MVC or all the metrics (EVE, NII and MVC).</w:t>
            </w:r>
          </w:p>
        </w:tc>
      </w:tr>
      <w:tr w:rsidR="009864E7" w:rsidRPr="00756F68" w14:paraId="40A2B5D5" w14:textId="77777777" w:rsidTr="004B29A3">
        <w:trPr>
          <w:cantSplit/>
        </w:trPr>
        <w:tc>
          <w:tcPr>
            <w:tcW w:w="996" w:type="dxa"/>
          </w:tcPr>
          <w:p w14:paraId="540EC1E9" w14:textId="7E46CF57" w:rsidR="009864E7" w:rsidRPr="00756F68" w:rsidRDefault="009864E7" w:rsidP="00A40857">
            <w:pPr>
              <w:pStyle w:val="body"/>
              <w:spacing w:before="120" w:line="240" w:lineRule="auto"/>
              <w:rPr>
                <w:rFonts w:cstheme="minorHAnsi"/>
                <w:lang w:val="en-GB"/>
              </w:rPr>
            </w:pPr>
            <w:r w:rsidRPr="00756F68">
              <w:rPr>
                <w:rFonts w:cstheme="minorHAnsi"/>
                <w:lang w:val="en-GB"/>
              </w:rPr>
              <w:t>0030</w:t>
            </w:r>
          </w:p>
        </w:tc>
        <w:tc>
          <w:tcPr>
            <w:tcW w:w="2437" w:type="dxa"/>
          </w:tcPr>
          <w:p w14:paraId="5531E7ED" w14:textId="5FFC9A4F" w:rsidR="009864E7" w:rsidRPr="00756F68" w:rsidRDefault="009864E7" w:rsidP="00A40857">
            <w:pPr>
              <w:pStyle w:val="body"/>
              <w:spacing w:before="120" w:line="240" w:lineRule="auto"/>
              <w:rPr>
                <w:rFonts w:cstheme="minorHAnsi"/>
                <w:bCs/>
                <w:lang w:val="en-GB"/>
              </w:rPr>
            </w:pPr>
            <w:r w:rsidRPr="00756F68">
              <w:rPr>
                <w:rFonts w:cstheme="minorHAnsi"/>
                <w:bCs/>
                <w:lang w:val="en-GB"/>
              </w:rPr>
              <w:t>Of which: subject to IRRBB (SA)</w:t>
            </w:r>
          </w:p>
        </w:tc>
        <w:tc>
          <w:tcPr>
            <w:tcW w:w="5351" w:type="dxa"/>
          </w:tcPr>
          <w:p w14:paraId="769B5898" w14:textId="6B95D699" w:rsidR="009864E7" w:rsidRPr="00756F68" w:rsidRDefault="00F767BF" w:rsidP="00A40857">
            <w:pPr>
              <w:pStyle w:val="body"/>
              <w:spacing w:before="120" w:line="240" w:lineRule="auto"/>
              <w:rPr>
                <w:rFonts w:cstheme="minorHAnsi"/>
                <w:lang w:val="en-GB"/>
              </w:rPr>
            </w:pPr>
            <w:r w:rsidRPr="00756F68">
              <w:rPr>
                <w:rFonts w:cstheme="minorHAnsi"/>
                <w:lang w:val="en-GB"/>
              </w:rPr>
              <w:t xml:space="preserve">The principal </w:t>
            </w:r>
            <w:proofErr w:type="gramStart"/>
            <w:r w:rsidRPr="00756F68">
              <w:rPr>
                <w:rFonts w:cstheme="minorHAnsi"/>
                <w:lang w:val="en-GB"/>
              </w:rPr>
              <w:t>amount</w:t>
            </w:r>
            <w:proofErr w:type="gramEnd"/>
            <w:r w:rsidRPr="00756F68">
              <w:rPr>
                <w:rFonts w:cstheme="minorHAnsi"/>
                <w:lang w:val="en-GB"/>
              </w:rPr>
              <w:t xml:space="preserve"> of </w:t>
            </w:r>
            <w:r w:rsidR="00B16A74" w:rsidRPr="00756F68">
              <w:rPr>
                <w:rFonts w:cstheme="minorHAnsi"/>
                <w:lang w:val="en-GB"/>
              </w:rPr>
              <w:t>instruments, irrespective of their accounting standard /regime, subject to IRRBB standardised approach or simplified standardised approach, according to Paragraph 1 of Article 84 of Directive 2013/36/EU and paragraph 3 of EBA</w:t>
            </w:r>
            <w:r w:rsidR="00A45217" w:rsidRPr="00756F68">
              <w:rPr>
                <w:rFonts w:cstheme="minorHAnsi"/>
                <w:lang w:val="en-GB"/>
              </w:rPr>
              <w:t>/</w:t>
            </w:r>
            <w:r w:rsidR="00B16A74" w:rsidRPr="00756F68">
              <w:rPr>
                <w:rFonts w:cstheme="minorHAnsi"/>
                <w:lang w:val="en-GB"/>
              </w:rPr>
              <w:t>GL</w:t>
            </w:r>
            <w:r w:rsidR="00A45217" w:rsidRPr="00756F68">
              <w:rPr>
                <w:rFonts w:cstheme="minorHAnsi"/>
                <w:lang w:val="en-GB"/>
              </w:rPr>
              <w:t>/</w:t>
            </w:r>
            <w:r w:rsidR="00B16A74" w:rsidRPr="00756F68">
              <w:rPr>
                <w:rFonts w:cstheme="minorHAnsi"/>
                <w:lang w:val="en-GB"/>
              </w:rPr>
              <w:t>2022/14.</w:t>
            </w:r>
          </w:p>
        </w:tc>
      </w:tr>
      <w:tr w:rsidR="009864E7" w:rsidRPr="00756F68" w14:paraId="5697AAD7" w14:textId="77777777" w:rsidTr="004B29A3">
        <w:trPr>
          <w:cantSplit/>
        </w:trPr>
        <w:tc>
          <w:tcPr>
            <w:tcW w:w="996" w:type="dxa"/>
          </w:tcPr>
          <w:p w14:paraId="3D267489" w14:textId="7B69EA21" w:rsidR="009864E7" w:rsidRPr="00756F68" w:rsidRDefault="009864E7" w:rsidP="00A40857">
            <w:pPr>
              <w:pStyle w:val="body"/>
              <w:spacing w:before="120" w:line="240" w:lineRule="auto"/>
              <w:rPr>
                <w:rFonts w:cstheme="minorHAnsi"/>
                <w:lang w:val="en-GB"/>
              </w:rPr>
            </w:pPr>
            <w:r w:rsidRPr="00756F68">
              <w:rPr>
                <w:rFonts w:cstheme="minorHAnsi"/>
                <w:lang w:val="en-GB"/>
              </w:rPr>
              <w:lastRenderedPageBreak/>
              <w:t>0040</w:t>
            </w:r>
          </w:p>
        </w:tc>
        <w:tc>
          <w:tcPr>
            <w:tcW w:w="2437" w:type="dxa"/>
          </w:tcPr>
          <w:p w14:paraId="0751828A" w14:textId="6E5690E2" w:rsidR="009864E7" w:rsidRPr="00756F68" w:rsidRDefault="009864E7" w:rsidP="00A40857">
            <w:pPr>
              <w:pStyle w:val="body"/>
              <w:spacing w:before="120" w:line="240" w:lineRule="auto"/>
              <w:rPr>
                <w:rFonts w:cstheme="minorHAnsi"/>
                <w:bCs/>
                <w:lang w:val="en-GB"/>
              </w:rPr>
            </w:pPr>
            <w:r w:rsidRPr="00756F68">
              <w:rPr>
                <w:rFonts w:cstheme="minorHAnsi"/>
                <w:bCs/>
                <w:lang w:val="en-GB"/>
              </w:rPr>
              <w:t>Of which: subject to IRRBB (IMS)</w:t>
            </w:r>
          </w:p>
        </w:tc>
        <w:tc>
          <w:tcPr>
            <w:tcW w:w="5351" w:type="dxa"/>
          </w:tcPr>
          <w:p w14:paraId="5D09A8A5" w14:textId="6C8CD137" w:rsidR="009864E7" w:rsidRPr="00756F68" w:rsidRDefault="00B16A74" w:rsidP="00A40857">
            <w:pPr>
              <w:pStyle w:val="body"/>
              <w:spacing w:before="120" w:line="240" w:lineRule="auto"/>
              <w:rPr>
                <w:rFonts w:cstheme="minorHAnsi"/>
                <w:lang w:val="en-GB"/>
              </w:rPr>
            </w:pPr>
            <w:r w:rsidRPr="00756F68">
              <w:rPr>
                <w:rFonts w:cstheme="minorHAnsi"/>
                <w:lang w:val="en-GB"/>
              </w:rPr>
              <w:t xml:space="preserve">The principal </w:t>
            </w:r>
            <w:proofErr w:type="gramStart"/>
            <w:r w:rsidRPr="00756F68">
              <w:rPr>
                <w:rFonts w:cstheme="minorHAnsi"/>
                <w:lang w:val="en-GB"/>
              </w:rPr>
              <w:t>amount</w:t>
            </w:r>
            <w:proofErr w:type="gramEnd"/>
            <w:r w:rsidRPr="00756F68">
              <w:rPr>
                <w:rFonts w:cstheme="minorHAnsi"/>
                <w:lang w:val="en-GB"/>
              </w:rPr>
              <w:t xml:space="preserve"> of instruments, irrespective of their accounting standard/regime, subject to IRRBB Internal Measurement Systems (IMS), according to Paragraph 1 of Article 84 of Directive 2013/36/EU and paragraph 3 of EBA</w:t>
            </w:r>
            <w:r w:rsidR="00A45217" w:rsidRPr="00756F68">
              <w:rPr>
                <w:rFonts w:cstheme="minorHAnsi"/>
                <w:lang w:val="en-GB"/>
              </w:rPr>
              <w:t>/</w:t>
            </w:r>
            <w:r w:rsidRPr="00756F68">
              <w:rPr>
                <w:rFonts w:cstheme="minorHAnsi"/>
                <w:lang w:val="en-GB"/>
              </w:rPr>
              <w:t>GLS</w:t>
            </w:r>
            <w:r w:rsidR="00A45217" w:rsidRPr="00756F68">
              <w:rPr>
                <w:rFonts w:cstheme="minorHAnsi"/>
                <w:lang w:val="en-GB"/>
              </w:rPr>
              <w:t>/</w:t>
            </w:r>
            <w:r w:rsidRPr="00756F68">
              <w:rPr>
                <w:rFonts w:cstheme="minorHAnsi"/>
                <w:lang w:val="en-GB"/>
              </w:rPr>
              <w:t>2022/14.</w:t>
            </w:r>
          </w:p>
        </w:tc>
      </w:tr>
      <w:tr w:rsidR="009864E7" w:rsidRPr="00756F68" w14:paraId="58FE163D" w14:textId="77777777" w:rsidTr="004B29A3">
        <w:trPr>
          <w:cantSplit/>
        </w:trPr>
        <w:tc>
          <w:tcPr>
            <w:tcW w:w="996" w:type="dxa"/>
            <w:hideMark/>
          </w:tcPr>
          <w:p w14:paraId="6F8C49E8" w14:textId="62F97E67" w:rsidR="009864E7" w:rsidRPr="00756F68" w:rsidRDefault="009864E7" w:rsidP="00A40857">
            <w:pPr>
              <w:pStyle w:val="body"/>
              <w:spacing w:before="120" w:line="240" w:lineRule="auto"/>
              <w:rPr>
                <w:rFonts w:cstheme="minorHAnsi"/>
                <w:lang w:val="en-GB"/>
              </w:rPr>
            </w:pPr>
            <w:r w:rsidRPr="00756F68">
              <w:rPr>
                <w:rFonts w:cstheme="minorHAnsi"/>
                <w:lang w:val="en-GB"/>
              </w:rPr>
              <w:t>00</w:t>
            </w:r>
            <w:r w:rsidR="00B2756C" w:rsidRPr="00756F68">
              <w:rPr>
                <w:rFonts w:cstheme="minorHAnsi"/>
                <w:lang w:val="en-GB"/>
              </w:rPr>
              <w:t>60</w:t>
            </w:r>
            <w:r w:rsidRPr="00756F68">
              <w:rPr>
                <w:rFonts w:cstheme="minorHAnsi"/>
                <w:lang w:val="en-GB"/>
              </w:rPr>
              <w:t xml:space="preserve"> – 0090</w:t>
            </w:r>
          </w:p>
        </w:tc>
        <w:tc>
          <w:tcPr>
            <w:tcW w:w="2437" w:type="dxa"/>
            <w:hideMark/>
          </w:tcPr>
          <w:p w14:paraId="73FC4762" w14:textId="77777777" w:rsidR="009864E7" w:rsidRPr="00756F68" w:rsidRDefault="009864E7" w:rsidP="00A40857">
            <w:pPr>
              <w:pStyle w:val="body"/>
              <w:spacing w:before="120" w:line="240" w:lineRule="auto"/>
              <w:rPr>
                <w:rFonts w:cstheme="minorHAnsi"/>
                <w:bCs/>
                <w:lang w:val="en-GB"/>
              </w:rPr>
            </w:pPr>
            <w:r w:rsidRPr="00756F68">
              <w:rPr>
                <w:rFonts w:cstheme="minorHAnsi"/>
                <w:bCs/>
                <w:lang w:val="en-GB"/>
              </w:rPr>
              <w:t>Fair Value</w:t>
            </w:r>
          </w:p>
        </w:tc>
        <w:tc>
          <w:tcPr>
            <w:tcW w:w="5351" w:type="dxa"/>
            <w:hideMark/>
          </w:tcPr>
          <w:p w14:paraId="304B6F6B" w14:textId="6DECE5F6" w:rsidR="009864E7" w:rsidRPr="00756F68" w:rsidRDefault="009864E7" w:rsidP="00A40857">
            <w:pPr>
              <w:pStyle w:val="body"/>
              <w:spacing w:before="120" w:line="240" w:lineRule="auto"/>
              <w:rPr>
                <w:rFonts w:cstheme="minorHAnsi"/>
                <w:highlight w:val="yellow"/>
                <w:lang w:val="en-GB"/>
              </w:rPr>
            </w:pPr>
            <w:r w:rsidRPr="00756F68">
              <w:rPr>
                <w:rFonts w:cstheme="minorHAnsi"/>
                <w:lang w:val="en-GB"/>
              </w:rPr>
              <w:t>Instruments subject to fair value accounting under the current applicable accounting standard of the institution shall be reported in this section.</w:t>
            </w:r>
            <w:r w:rsidR="00B16A74" w:rsidRPr="00756F68">
              <w:rPr>
                <w:rFonts w:cstheme="minorHAnsi"/>
                <w:lang w:val="en-GB"/>
              </w:rPr>
              <w:t xml:space="preserve"> </w:t>
            </w:r>
          </w:p>
        </w:tc>
      </w:tr>
      <w:tr w:rsidR="009864E7" w:rsidRPr="00756F68" w14:paraId="51590B4E" w14:textId="77777777" w:rsidTr="004B29A3">
        <w:trPr>
          <w:cantSplit/>
        </w:trPr>
        <w:tc>
          <w:tcPr>
            <w:tcW w:w="996" w:type="dxa"/>
            <w:hideMark/>
          </w:tcPr>
          <w:p w14:paraId="26A80F1C" w14:textId="4608C0EB" w:rsidR="009864E7" w:rsidRPr="00756F68" w:rsidRDefault="009864E7" w:rsidP="00A40857">
            <w:pPr>
              <w:pStyle w:val="body"/>
              <w:spacing w:before="120" w:line="240" w:lineRule="auto"/>
              <w:rPr>
                <w:rFonts w:cstheme="minorHAnsi"/>
                <w:lang w:val="en-GB"/>
              </w:rPr>
            </w:pPr>
            <w:r w:rsidRPr="00756F68">
              <w:rPr>
                <w:rFonts w:cstheme="minorHAnsi"/>
                <w:lang w:val="en-GB"/>
              </w:rPr>
              <w:t>01</w:t>
            </w:r>
            <w:r w:rsidR="00B2756C" w:rsidRPr="00756F68">
              <w:rPr>
                <w:rFonts w:cstheme="minorHAnsi"/>
                <w:lang w:val="en-GB"/>
              </w:rPr>
              <w:t>1</w:t>
            </w:r>
            <w:r w:rsidRPr="00756F68">
              <w:rPr>
                <w:rFonts w:cstheme="minorHAnsi"/>
                <w:lang w:val="en-GB"/>
              </w:rPr>
              <w:t xml:space="preserve">0 - 0130 </w:t>
            </w:r>
          </w:p>
        </w:tc>
        <w:tc>
          <w:tcPr>
            <w:tcW w:w="2437" w:type="dxa"/>
            <w:hideMark/>
          </w:tcPr>
          <w:p w14:paraId="18585CB2" w14:textId="6BC27549" w:rsidR="009864E7" w:rsidRPr="00756F68" w:rsidRDefault="008806B0" w:rsidP="00A40857">
            <w:pPr>
              <w:pStyle w:val="body"/>
              <w:spacing w:before="120" w:line="240" w:lineRule="auto"/>
              <w:rPr>
                <w:rFonts w:cstheme="minorHAnsi"/>
                <w:bCs/>
                <w:lang w:val="en-GB"/>
              </w:rPr>
            </w:pPr>
            <w:r w:rsidRPr="00756F68">
              <w:rPr>
                <w:rFonts w:cstheme="minorHAnsi"/>
                <w:bCs/>
                <w:lang w:val="en-GB"/>
              </w:rPr>
              <w:t>Amortised</w:t>
            </w:r>
            <w:r w:rsidR="009864E7" w:rsidRPr="00756F68">
              <w:rPr>
                <w:rFonts w:cstheme="minorHAnsi"/>
                <w:bCs/>
                <w:lang w:val="en-GB"/>
              </w:rPr>
              <w:t xml:space="preserve"> Cost</w:t>
            </w:r>
          </w:p>
        </w:tc>
        <w:tc>
          <w:tcPr>
            <w:tcW w:w="5351" w:type="dxa"/>
            <w:hideMark/>
          </w:tcPr>
          <w:p w14:paraId="10E8E2FF" w14:textId="77777777" w:rsidR="009864E7" w:rsidRPr="00756F68" w:rsidRDefault="009864E7" w:rsidP="00A40857">
            <w:pPr>
              <w:pStyle w:val="body"/>
              <w:spacing w:before="120" w:line="240" w:lineRule="auto"/>
              <w:rPr>
                <w:rFonts w:cstheme="minorHAnsi"/>
                <w:highlight w:val="yellow"/>
                <w:lang w:val="en-GB"/>
              </w:rPr>
            </w:pPr>
            <w:r w:rsidRPr="00756F68">
              <w:rPr>
                <w:rFonts w:cstheme="minorHAnsi"/>
                <w:lang w:val="en-GB"/>
              </w:rPr>
              <w:t>Instruments subject to amortised cost accounting under the current applicable accounting standard of the institution shall be reported in this section.</w:t>
            </w:r>
          </w:p>
        </w:tc>
      </w:tr>
      <w:tr w:rsidR="00205C84" w:rsidRPr="00756F68" w14:paraId="0CA672E1" w14:textId="77777777" w:rsidTr="004B29A3">
        <w:trPr>
          <w:cantSplit/>
        </w:trPr>
        <w:tc>
          <w:tcPr>
            <w:tcW w:w="996" w:type="dxa"/>
          </w:tcPr>
          <w:p w14:paraId="29EC0369" w14:textId="48FAFF8D" w:rsidR="00205C84" w:rsidRPr="00756F68" w:rsidRDefault="00205C84" w:rsidP="00A40857">
            <w:pPr>
              <w:pStyle w:val="body"/>
              <w:spacing w:before="120" w:line="240" w:lineRule="auto"/>
              <w:rPr>
                <w:rFonts w:cstheme="minorHAnsi"/>
                <w:lang w:val="en-GB"/>
              </w:rPr>
            </w:pPr>
            <w:r w:rsidRPr="00756F68">
              <w:rPr>
                <w:rFonts w:cstheme="minorHAnsi"/>
                <w:lang w:val="en-GB"/>
              </w:rPr>
              <w:t>0050, 0100</w:t>
            </w:r>
          </w:p>
        </w:tc>
        <w:tc>
          <w:tcPr>
            <w:tcW w:w="2437" w:type="dxa"/>
          </w:tcPr>
          <w:p w14:paraId="5E4BAE41" w14:textId="62265D43" w:rsidR="00205C84" w:rsidRPr="00756F68" w:rsidRDefault="00205C84" w:rsidP="00A40857">
            <w:pPr>
              <w:pStyle w:val="body"/>
              <w:spacing w:before="120" w:line="240" w:lineRule="auto"/>
              <w:rPr>
                <w:rFonts w:cstheme="minorHAnsi"/>
                <w:bCs/>
                <w:lang w:val="en-GB"/>
              </w:rPr>
            </w:pPr>
            <w:r w:rsidRPr="00756F68">
              <w:rPr>
                <w:rFonts w:cstheme="minorHAnsi"/>
                <w:bCs/>
                <w:lang w:val="en-GB"/>
              </w:rPr>
              <w:t xml:space="preserve">Carrying amount </w:t>
            </w:r>
          </w:p>
        </w:tc>
        <w:tc>
          <w:tcPr>
            <w:tcW w:w="5351" w:type="dxa"/>
          </w:tcPr>
          <w:p w14:paraId="1868EF06" w14:textId="01F22F0A" w:rsidR="00205C84" w:rsidRPr="00756F68" w:rsidRDefault="00205C84" w:rsidP="00A40857">
            <w:pPr>
              <w:pStyle w:val="body"/>
              <w:spacing w:before="120" w:line="240" w:lineRule="auto"/>
              <w:rPr>
                <w:rFonts w:cstheme="minorHAnsi"/>
                <w:lang w:val="en-GB"/>
              </w:rPr>
            </w:pPr>
            <w:r w:rsidRPr="00756F68">
              <w:rPr>
                <w:rFonts w:cstheme="minorHAnsi"/>
                <w:lang w:val="en-GB"/>
              </w:rPr>
              <w:t>Refer to section 5 of Part 1, Annex V of the ITS on Supervisory Reporting</w:t>
            </w:r>
          </w:p>
        </w:tc>
      </w:tr>
      <w:tr w:rsidR="00205C84" w:rsidRPr="00756F68" w14:paraId="211918CD" w14:textId="77777777" w:rsidTr="004B29A3">
        <w:trPr>
          <w:cantSplit/>
        </w:trPr>
        <w:tc>
          <w:tcPr>
            <w:tcW w:w="996" w:type="dxa"/>
          </w:tcPr>
          <w:p w14:paraId="601391CA" w14:textId="0CB86023" w:rsidR="00205C84" w:rsidRPr="00756F68" w:rsidRDefault="00205C84" w:rsidP="00A40857">
            <w:pPr>
              <w:pStyle w:val="body"/>
              <w:spacing w:before="120" w:line="240" w:lineRule="auto"/>
              <w:rPr>
                <w:rFonts w:cstheme="minorHAnsi"/>
                <w:lang w:val="en-GB"/>
              </w:rPr>
            </w:pPr>
            <w:r w:rsidRPr="00756F68">
              <w:rPr>
                <w:rFonts w:cstheme="minorHAnsi"/>
                <w:lang w:val="en-GB"/>
              </w:rPr>
              <w:t>0060, 0070, 0080, 0110, 0120</w:t>
            </w:r>
          </w:p>
        </w:tc>
        <w:tc>
          <w:tcPr>
            <w:tcW w:w="2437" w:type="dxa"/>
          </w:tcPr>
          <w:p w14:paraId="69CCE625" w14:textId="182AEAB9" w:rsidR="00205C84" w:rsidRPr="00756F68" w:rsidRDefault="00205C84" w:rsidP="00A40857">
            <w:pPr>
              <w:pStyle w:val="body"/>
              <w:spacing w:before="120" w:line="240" w:lineRule="auto"/>
              <w:rPr>
                <w:rFonts w:cstheme="minorHAnsi"/>
                <w:lang w:val="en-GB"/>
              </w:rPr>
            </w:pPr>
            <w:r w:rsidRPr="00756F68">
              <w:rPr>
                <w:rFonts w:cstheme="minorHAnsi"/>
                <w:bCs/>
                <w:lang w:val="en-GB"/>
              </w:rPr>
              <w:t xml:space="preserve">Notional amount subject to CSRBB in IMS (NII, MVC and EVE) </w:t>
            </w:r>
          </w:p>
        </w:tc>
        <w:tc>
          <w:tcPr>
            <w:tcW w:w="5351" w:type="dxa"/>
          </w:tcPr>
          <w:p w14:paraId="74A60BA1" w14:textId="21FB9F2B" w:rsidR="00205C84" w:rsidRPr="00756F68" w:rsidRDefault="00205C84" w:rsidP="00A40857">
            <w:pPr>
              <w:pStyle w:val="body"/>
              <w:spacing w:before="120" w:line="240" w:lineRule="auto"/>
              <w:rPr>
                <w:rFonts w:cstheme="minorHAnsi"/>
                <w:lang w:val="en-GB"/>
              </w:rPr>
            </w:pPr>
            <w:r w:rsidRPr="00756F68">
              <w:rPr>
                <w:rFonts w:cstheme="minorHAnsi"/>
                <w:lang w:val="en-GB"/>
              </w:rPr>
              <w:t>Instruments (subject to fair value accounting or amortised cost under the current applicable accounting standard) included in IMS (irrespective of the outcome) for the computation of the impact of CSRBB on EVE, NII and MVC.</w:t>
            </w:r>
          </w:p>
        </w:tc>
      </w:tr>
      <w:tr w:rsidR="00205C84" w:rsidRPr="00756F68" w14:paraId="4A9253E6" w14:textId="77777777" w:rsidTr="004B29A3">
        <w:trPr>
          <w:cantSplit/>
        </w:trPr>
        <w:tc>
          <w:tcPr>
            <w:tcW w:w="996" w:type="dxa"/>
          </w:tcPr>
          <w:p w14:paraId="07616F8C" w14:textId="7B52DDB0" w:rsidR="00205C84" w:rsidRPr="00756F68" w:rsidRDefault="00205C84" w:rsidP="00A40857">
            <w:pPr>
              <w:pStyle w:val="body"/>
              <w:spacing w:before="120" w:line="240" w:lineRule="auto"/>
              <w:rPr>
                <w:rFonts w:cstheme="minorHAnsi"/>
                <w:lang w:val="en-GB"/>
              </w:rPr>
            </w:pPr>
            <w:r w:rsidRPr="00756F68">
              <w:rPr>
                <w:rFonts w:cstheme="minorHAnsi"/>
                <w:lang w:val="en-GB"/>
              </w:rPr>
              <w:t>0090, 0130</w:t>
            </w:r>
          </w:p>
        </w:tc>
        <w:tc>
          <w:tcPr>
            <w:tcW w:w="2437" w:type="dxa"/>
          </w:tcPr>
          <w:p w14:paraId="400103BC" w14:textId="5A31297E" w:rsidR="00205C84" w:rsidRPr="00756F68" w:rsidRDefault="00205C84" w:rsidP="00A40857">
            <w:pPr>
              <w:pStyle w:val="body"/>
              <w:spacing w:before="120" w:line="240" w:lineRule="auto"/>
              <w:rPr>
                <w:rFonts w:cstheme="minorHAnsi"/>
                <w:lang w:val="en-GB"/>
              </w:rPr>
            </w:pPr>
            <w:r w:rsidRPr="00756F68">
              <w:rPr>
                <w:rFonts w:cstheme="minorHAnsi"/>
                <w:bCs/>
                <w:lang w:val="en-GB"/>
              </w:rPr>
              <w:t>Notional amount subject to IRRBB in IMS</w:t>
            </w:r>
          </w:p>
        </w:tc>
        <w:tc>
          <w:tcPr>
            <w:tcW w:w="5351" w:type="dxa"/>
          </w:tcPr>
          <w:p w14:paraId="01F90DC8" w14:textId="174CECD8" w:rsidR="00205C84" w:rsidRPr="00756F68" w:rsidRDefault="00205C84" w:rsidP="00A40857">
            <w:pPr>
              <w:pStyle w:val="body"/>
              <w:spacing w:before="120" w:line="240" w:lineRule="auto"/>
              <w:rPr>
                <w:rFonts w:cstheme="minorHAnsi"/>
                <w:lang w:val="en-GB"/>
              </w:rPr>
            </w:pPr>
            <w:r w:rsidRPr="00756F68">
              <w:rPr>
                <w:rFonts w:cstheme="minorHAnsi"/>
                <w:lang w:val="en-GB"/>
              </w:rPr>
              <w:t>Instruments (subject to fair value accounting or amortised cost under the current applicable accounting standard) included in IMS (irrespective of the outcome) for the computation of the impact of IRRBB on EVE, NII and MVC.</w:t>
            </w:r>
          </w:p>
        </w:tc>
      </w:tr>
    </w:tbl>
    <w:p w14:paraId="42160F3B" w14:textId="77777777" w:rsidR="009864E7" w:rsidRPr="00756F68" w:rsidRDefault="009864E7" w:rsidP="00A40857">
      <w:pPr>
        <w:pStyle w:val="body"/>
        <w:spacing w:before="360" w:after="360"/>
        <w:rPr>
          <w:rFonts w:cstheme="minorHAnsi"/>
          <w:lang w:val="en-GB"/>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6"/>
        <w:gridCol w:w="2437"/>
        <w:gridCol w:w="5351"/>
      </w:tblGrid>
      <w:tr w:rsidR="009864E7" w:rsidRPr="00756F68" w14:paraId="3B497609" w14:textId="77777777" w:rsidTr="004B29A3">
        <w:trPr>
          <w:cantSplit/>
          <w:trHeight w:val="325"/>
          <w:tblHeader/>
        </w:trPr>
        <w:tc>
          <w:tcPr>
            <w:tcW w:w="996" w:type="dxa"/>
            <w:hideMark/>
          </w:tcPr>
          <w:p w14:paraId="63532625" w14:textId="77777777" w:rsidR="009864E7" w:rsidRPr="00756F68" w:rsidRDefault="009864E7" w:rsidP="00A40857">
            <w:pPr>
              <w:pStyle w:val="body"/>
              <w:spacing w:before="120" w:line="240" w:lineRule="auto"/>
              <w:rPr>
                <w:rFonts w:cstheme="minorHAnsi"/>
                <w:b/>
                <w:bCs/>
                <w:lang w:val="en-GB"/>
              </w:rPr>
            </w:pPr>
            <w:r w:rsidRPr="00756F68">
              <w:rPr>
                <w:rFonts w:cstheme="minorHAnsi"/>
                <w:b/>
                <w:bCs/>
                <w:lang w:val="en-GB"/>
              </w:rPr>
              <w:lastRenderedPageBreak/>
              <w:t>Row</w:t>
            </w:r>
          </w:p>
        </w:tc>
        <w:tc>
          <w:tcPr>
            <w:tcW w:w="2437" w:type="dxa"/>
            <w:hideMark/>
          </w:tcPr>
          <w:p w14:paraId="07EB3FDF" w14:textId="77777777" w:rsidR="009864E7" w:rsidRPr="00756F68" w:rsidRDefault="009864E7" w:rsidP="00A40857">
            <w:pPr>
              <w:pStyle w:val="body"/>
              <w:spacing w:before="120" w:line="240" w:lineRule="auto"/>
              <w:rPr>
                <w:rFonts w:cstheme="minorHAnsi"/>
                <w:b/>
                <w:bCs/>
                <w:lang w:val="en-GB"/>
              </w:rPr>
            </w:pPr>
            <w:r w:rsidRPr="00756F68">
              <w:rPr>
                <w:rFonts w:cstheme="minorHAnsi"/>
                <w:b/>
                <w:bCs/>
                <w:lang w:val="en-GB"/>
              </w:rPr>
              <w:t>Heading</w:t>
            </w:r>
          </w:p>
        </w:tc>
        <w:tc>
          <w:tcPr>
            <w:tcW w:w="5351" w:type="dxa"/>
            <w:hideMark/>
          </w:tcPr>
          <w:p w14:paraId="66FE0D19" w14:textId="77777777" w:rsidR="009864E7" w:rsidRPr="00756F68" w:rsidRDefault="009864E7" w:rsidP="00A40857">
            <w:pPr>
              <w:pStyle w:val="body"/>
              <w:spacing w:before="120" w:line="240" w:lineRule="auto"/>
              <w:rPr>
                <w:rFonts w:cstheme="minorHAnsi"/>
                <w:b/>
                <w:bCs/>
                <w:lang w:val="en-GB"/>
              </w:rPr>
            </w:pPr>
            <w:r w:rsidRPr="00756F68">
              <w:rPr>
                <w:rFonts w:cstheme="minorHAnsi"/>
                <w:b/>
                <w:bCs/>
                <w:lang w:val="en-GB"/>
              </w:rPr>
              <w:t>Description</w:t>
            </w:r>
          </w:p>
        </w:tc>
      </w:tr>
      <w:tr w:rsidR="0077491F" w:rsidRPr="00756F68" w14:paraId="72B1B364" w14:textId="77777777" w:rsidTr="004B29A3">
        <w:trPr>
          <w:cantSplit/>
        </w:trPr>
        <w:tc>
          <w:tcPr>
            <w:tcW w:w="996" w:type="dxa"/>
          </w:tcPr>
          <w:p w14:paraId="20AA62BB" w14:textId="3DFF4FFD" w:rsidR="0077491F" w:rsidRPr="00756F68" w:rsidRDefault="0077491F" w:rsidP="00A40857">
            <w:pPr>
              <w:pStyle w:val="body"/>
              <w:spacing w:before="120" w:line="240" w:lineRule="auto"/>
              <w:rPr>
                <w:rFonts w:cstheme="minorHAnsi"/>
                <w:lang w:val="en-GB"/>
              </w:rPr>
            </w:pPr>
            <w:r w:rsidRPr="00756F68">
              <w:rPr>
                <w:rFonts w:cstheme="minorHAnsi"/>
                <w:lang w:val="en-GB"/>
              </w:rPr>
              <w:t>0010</w:t>
            </w:r>
          </w:p>
        </w:tc>
        <w:tc>
          <w:tcPr>
            <w:tcW w:w="2437" w:type="dxa"/>
          </w:tcPr>
          <w:p w14:paraId="439A51FC" w14:textId="343EF013" w:rsidR="0077491F" w:rsidRPr="00756F68" w:rsidRDefault="0077491F" w:rsidP="00A40857">
            <w:pPr>
              <w:pStyle w:val="body"/>
              <w:spacing w:before="120" w:line="240" w:lineRule="auto"/>
              <w:rPr>
                <w:rFonts w:cstheme="minorHAnsi"/>
                <w:lang w:val="en-GB"/>
              </w:rPr>
            </w:pPr>
            <w:r w:rsidRPr="00756F68">
              <w:rPr>
                <w:rFonts w:cstheme="minorHAnsi"/>
                <w:lang w:val="en-GB"/>
              </w:rPr>
              <w:t>Total Assets</w:t>
            </w:r>
          </w:p>
        </w:tc>
        <w:tc>
          <w:tcPr>
            <w:tcW w:w="5351" w:type="dxa"/>
          </w:tcPr>
          <w:p w14:paraId="0FAF6DB0" w14:textId="68BCEF2B" w:rsidR="00D255C3" w:rsidRPr="00756F68" w:rsidRDefault="00D255C3" w:rsidP="00A40857">
            <w:pPr>
              <w:pStyle w:val="InstructionsText"/>
              <w:rPr>
                <w:rStyle w:val="FormatvorlageInstructionsTabelleText"/>
                <w:rFonts w:asciiTheme="minorHAnsi" w:hAnsiTheme="minorHAnsi" w:cstheme="minorHAnsi"/>
                <w:sz w:val="22"/>
                <w:szCs w:val="22"/>
              </w:rPr>
            </w:pPr>
            <w:r w:rsidRPr="00756F68">
              <w:rPr>
                <w:rStyle w:val="FormatvorlageInstructionsTabelleText"/>
                <w:rFonts w:asciiTheme="minorHAnsi" w:hAnsiTheme="minorHAnsi" w:cstheme="minorHAnsi"/>
                <w:sz w:val="22"/>
                <w:szCs w:val="22"/>
              </w:rPr>
              <w:t>Total interest rate-sensitive assets (in the scope of the EBA RTS on SOT</w:t>
            </w:r>
            <w:r w:rsidR="00D62C01" w:rsidRPr="00756F68">
              <w:rPr>
                <w:rStyle w:val="FormatvorlageInstructionsTabelleText"/>
                <w:rFonts w:asciiTheme="minorHAnsi" w:hAnsiTheme="minorHAnsi" w:cstheme="minorHAnsi"/>
                <w:sz w:val="22"/>
                <w:szCs w:val="22"/>
              </w:rPr>
              <w:t>s</w:t>
            </w:r>
            <w:r w:rsidRPr="00756F68">
              <w:rPr>
                <w:rStyle w:val="FormatvorlageInstructionsTabelleText"/>
                <w:rFonts w:asciiTheme="minorHAnsi" w:hAnsiTheme="minorHAnsi" w:cstheme="minorHAnsi"/>
                <w:sz w:val="22"/>
                <w:szCs w:val="22"/>
              </w:rPr>
              <w:t xml:space="preserve">) and credit spread-sensitive assets, irrespective of their accounting treatment. </w:t>
            </w:r>
          </w:p>
          <w:p w14:paraId="5361F5FD" w14:textId="4D5D4F13" w:rsidR="00D255C3" w:rsidRPr="00756F68" w:rsidRDefault="00D255C3" w:rsidP="00A40857">
            <w:pPr>
              <w:pStyle w:val="InstructionsText"/>
              <w:rPr>
                <w:rStyle w:val="FormatvorlageInstructionsTabelleText"/>
                <w:rFonts w:asciiTheme="minorHAnsi" w:hAnsiTheme="minorHAnsi" w:cstheme="minorHAnsi"/>
                <w:sz w:val="22"/>
                <w:szCs w:val="22"/>
              </w:rPr>
            </w:pPr>
            <w:r w:rsidRPr="00756F68">
              <w:rPr>
                <w:rStyle w:val="FormatvorlageInstructionsTabelleText"/>
                <w:rFonts w:asciiTheme="minorHAnsi" w:hAnsiTheme="minorHAnsi" w:cstheme="minorHAnsi"/>
                <w:sz w:val="22"/>
                <w:szCs w:val="22"/>
              </w:rPr>
              <w:t xml:space="preserve">This row shall include: </w:t>
            </w:r>
          </w:p>
          <w:p w14:paraId="7026D8E7" w14:textId="6D8CDD58" w:rsidR="00D255C3" w:rsidRPr="002B06E9" w:rsidRDefault="00D255C3" w:rsidP="00A40857">
            <w:pPr>
              <w:pStyle w:val="InstructionsText"/>
              <w:rPr>
                <w:rStyle w:val="FormatvorlageInstructionsTabelleText"/>
                <w:rFonts w:asciiTheme="minorHAnsi" w:hAnsiTheme="minorHAnsi" w:cstheme="minorHAnsi"/>
                <w:sz w:val="22"/>
                <w:szCs w:val="22"/>
              </w:rPr>
            </w:pPr>
            <w:r w:rsidRPr="002B06E9">
              <w:rPr>
                <w:rStyle w:val="FormatvorlageInstructionsTabelleText"/>
                <w:rFonts w:asciiTheme="minorHAnsi" w:hAnsiTheme="minorHAnsi" w:cstheme="minorHAnsi"/>
                <w:sz w:val="22"/>
                <w:szCs w:val="22"/>
              </w:rPr>
              <w:t>- Assets vis a vis Central Banks;</w:t>
            </w:r>
          </w:p>
          <w:p w14:paraId="1D5C08A3" w14:textId="50146E02" w:rsidR="00D255C3" w:rsidRPr="00756F68" w:rsidRDefault="00D255C3" w:rsidP="00A40857">
            <w:pPr>
              <w:pStyle w:val="InstructionsText"/>
              <w:rPr>
                <w:rStyle w:val="FormatvorlageInstructionsTabelleText"/>
                <w:rFonts w:asciiTheme="minorHAnsi" w:hAnsiTheme="minorHAnsi" w:cstheme="minorHAnsi"/>
                <w:sz w:val="22"/>
                <w:szCs w:val="22"/>
                <w:lang w:val="en-US"/>
              </w:rPr>
            </w:pPr>
            <w:r w:rsidRPr="00756F68">
              <w:rPr>
                <w:rStyle w:val="FormatvorlageInstructionsTabelleText"/>
                <w:rFonts w:asciiTheme="minorHAnsi" w:hAnsiTheme="minorHAnsi" w:cstheme="minorHAnsi"/>
                <w:sz w:val="22"/>
                <w:szCs w:val="22"/>
                <w:lang w:val="en-US"/>
              </w:rPr>
              <w:t xml:space="preserve">- Interbank </w:t>
            </w:r>
            <w:proofErr w:type="gramStart"/>
            <w:r w:rsidRPr="00756F68">
              <w:rPr>
                <w:rStyle w:val="FormatvorlageInstructionsTabelleText"/>
                <w:rFonts w:asciiTheme="minorHAnsi" w:hAnsiTheme="minorHAnsi" w:cstheme="minorHAnsi"/>
                <w:sz w:val="22"/>
                <w:szCs w:val="22"/>
                <w:lang w:val="en-US"/>
              </w:rPr>
              <w:t>assets;</w:t>
            </w:r>
            <w:proofErr w:type="gramEnd"/>
          </w:p>
          <w:p w14:paraId="6EC40C49" w14:textId="77777777"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Loans and advances;</w:t>
            </w:r>
          </w:p>
          <w:p w14:paraId="721839C3" w14:textId="0A137323"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Debt securities;</w:t>
            </w:r>
          </w:p>
          <w:p w14:paraId="2734B66C" w14:textId="6EDEF37F"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covered bonds</w:t>
            </w:r>
            <w:r w:rsidR="00A45217" w:rsidRPr="00756F68">
              <w:rPr>
                <w:rStyle w:val="InstructionsTabelleberschrift"/>
                <w:rFonts w:asciiTheme="minorHAnsi" w:hAnsiTheme="minorHAnsi" w:cstheme="minorHAnsi"/>
                <w:b w:val="0"/>
                <w:sz w:val="22"/>
                <w:szCs w:val="22"/>
                <w:u w:val="none"/>
              </w:rPr>
              <w:t>;</w:t>
            </w:r>
          </w:p>
          <w:p w14:paraId="0888029A" w14:textId="50C715D6"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securitisation exposures</w:t>
            </w:r>
            <w:r w:rsidR="00A45217" w:rsidRPr="00756F68">
              <w:rPr>
                <w:rStyle w:val="InstructionsTabelleberschrift"/>
                <w:rFonts w:asciiTheme="minorHAnsi" w:hAnsiTheme="minorHAnsi" w:cstheme="minorHAnsi"/>
                <w:b w:val="0"/>
                <w:sz w:val="22"/>
                <w:szCs w:val="22"/>
                <w:u w:val="none"/>
              </w:rPr>
              <w:t>;</w:t>
            </w:r>
          </w:p>
          <w:p w14:paraId="266CE7C0" w14:textId="25BA46C2"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Derivatives;</w:t>
            </w:r>
          </w:p>
          <w:p w14:paraId="3B03789B" w14:textId="4E374F5D"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Other assets</w:t>
            </w:r>
            <w:r w:rsidR="00A45217" w:rsidRPr="00756F68">
              <w:rPr>
                <w:rStyle w:val="InstructionsTabelleberschrift"/>
                <w:rFonts w:asciiTheme="minorHAnsi" w:hAnsiTheme="minorHAnsi" w:cstheme="minorHAnsi"/>
                <w:b w:val="0"/>
                <w:sz w:val="22"/>
                <w:szCs w:val="22"/>
                <w:u w:val="none"/>
              </w:rPr>
              <w:t>.</w:t>
            </w:r>
          </w:p>
          <w:p w14:paraId="12481747" w14:textId="0F36B392" w:rsidR="0077491F" w:rsidRPr="00756F68" w:rsidRDefault="00D255C3" w:rsidP="00A40857">
            <w:pPr>
              <w:pStyle w:val="body"/>
              <w:spacing w:before="120" w:line="240" w:lineRule="auto"/>
              <w:rPr>
                <w:rStyle w:val="InstructionsTabelleberschrift"/>
                <w:rFonts w:asciiTheme="minorHAnsi" w:hAnsiTheme="minorHAnsi" w:cstheme="minorHAnsi"/>
                <w:b w:val="0"/>
                <w:bCs w:val="0"/>
                <w:sz w:val="22"/>
                <w:szCs w:val="22"/>
                <w:u w:val="none"/>
              </w:rPr>
            </w:pPr>
            <w:r w:rsidRPr="00756F68">
              <w:rPr>
                <w:rStyle w:val="InstructionsTabelleberschrift"/>
                <w:rFonts w:asciiTheme="minorHAnsi" w:hAnsiTheme="minorHAnsi" w:cstheme="minorHAnsi"/>
                <w:b w:val="0"/>
                <w:sz w:val="22"/>
                <w:szCs w:val="22"/>
                <w:u w:val="none"/>
              </w:rPr>
              <w:t>Institutions shall report IRRBB exposures of assets which are not deducted from Common Equity Tier 1 (CET1) capital and excluding tangible assets such as real estate, as well as equity exposures in the banking book as defined in Article 133 CRR.</w:t>
            </w:r>
          </w:p>
        </w:tc>
      </w:tr>
      <w:tr w:rsidR="00616D33" w:rsidRPr="00756F68" w14:paraId="5700F4D0" w14:textId="77777777" w:rsidTr="004B29A3">
        <w:trPr>
          <w:cantSplit/>
        </w:trPr>
        <w:tc>
          <w:tcPr>
            <w:tcW w:w="996" w:type="dxa"/>
          </w:tcPr>
          <w:p w14:paraId="4A56B365" w14:textId="2C397839" w:rsidR="00616D33" w:rsidRPr="00756F68" w:rsidRDefault="00616D33" w:rsidP="00A40857">
            <w:pPr>
              <w:pStyle w:val="body"/>
              <w:spacing w:before="120" w:line="240" w:lineRule="auto"/>
              <w:rPr>
                <w:rFonts w:cstheme="minorHAnsi"/>
                <w:lang w:val="en-GB"/>
              </w:rPr>
            </w:pPr>
            <w:r w:rsidRPr="00756F68">
              <w:rPr>
                <w:rFonts w:cstheme="minorHAnsi"/>
                <w:lang w:val="en-GB"/>
              </w:rPr>
              <w:t>0020</w:t>
            </w:r>
          </w:p>
        </w:tc>
        <w:tc>
          <w:tcPr>
            <w:tcW w:w="2437" w:type="dxa"/>
          </w:tcPr>
          <w:p w14:paraId="7B2D0A45" w14:textId="3B365BA9" w:rsidR="00616D33" w:rsidRPr="00756F68" w:rsidRDefault="00616D33" w:rsidP="00A40857">
            <w:pPr>
              <w:pStyle w:val="body"/>
              <w:spacing w:before="120" w:line="240" w:lineRule="auto"/>
              <w:rPr>
                <w:rFonts w:cstheme="minorHAnsi"/>
                <w:lang w:val="en-GB"/>
              </w:rPr>
            </w:pPr>
            <w:r w:rsidRPr="00756F68">
              <w:rPr>
                <w:rFonts w:cstheme="minorHAnsi"/>
                <w:lang w:val="en-GB"/>
              </w:rPr>
              <w:t xml:space="preserve">Central bank </w:t>
            </w:r>
          </w:p>
        </w:tc>
        <w:tc>
          <w:tcPr>
            <w:tcW w:w="5351" w:type="dxa"/>
          </w:tcPr>
          <w:p w14:paraId="09EFFE71" w14:textId="04D76981" w:rsidR="00616D33" w:rsidRPr="00756F68" w:rsidRDefault="00616D33" w:rsidP="00A40857">
            <w:pPr>
              <w:pStyle w:val="body"/>
              <w:spacing w:before="120" w:line="240" w:lineRule="auto"/>
              <w:rPr>
                <w:rStyle w:val="InstructionsTabelleberschrift"/>
                <w:rFonts w:asciiTheme="minorHAnsi" w:hAnsiTheme="minorHAnsi" w:cstheme="minorHAnsi"/>
                <w:b w:val="0"/>
                <w:bCs w:val="0"/>
                <w:sz w:val="22"/>
                <w:szCs w:val="22"/>
                <w:u w:val="none"/>
                <w:lang w:val="en-GB" w:eastAsia="en-GB"/>
              </w:rPr>
            </w:pPr>
            <w:r w:rsidRPr="00756F68">
              <w:rPr>
                <w:rStyle w:val="InstructionsTabelleberschrift"/>
                <w:rFonts w:asciiTheme="minorHAnsi" w:hAnsiTheme="minorHAnsi" w:cstheme="minorHAnsi"/>
                <w:b w:val="0"/>
                <w:bCs w:val="0"/>
                <w:sz w:val="22"/>
                <w:szCs w:val="22"/>
                <w:u w:val="none"/>
              </w:rPr>
              <w:t xml:space="preserve">Cash balances at central banks </w:t>
            </w:r>
            <w:r w:rsidRPr="00756F68">
              <w:rPr>
                <w:rFonts w:cstheme="minorHAnsi"/>
                <w:szCs w:val="22"/>
              </w:rPr>
              <w:t xml:space="preserve">as defined in point 46 of Article 4(1) of the CRR </w:t>
            </w:r>
            <w:r w:rsidRPr="00756F68">
              <w:rPr>
                <w:rStyle w:val="InstructionsTabelleberschrift"/>
                <w:rFonts w:asciiTheme="minorHAnsi" w:hAnsiTheme="minorHAnsi" w:cstheme="minorHAnsi"/>
                <w:b w:val="0"/>
                <w:bCs w:val="0"/>
                <w:sz w:val="22"/>
                <w:szCs w:val="22"/>
                <w:u w:val="none"/>
              </w:rPr>
              <w:t>and demand deposits at central banks including Minimum Reserve Requirements (MRR).</w:t>
            </w:r>
          </w:p>
        </w:tc>
      </w:tr>
      <w:tr w:rsidR="009864E7" w:rsidRPr="00756F68" w14:paraId="557BA43A" w14:textId="77777777" w:rsidTr="004B29A3">
        <w:trPr>
          <w:cantSplit/>
        </w:trPr>
        <w:tc>
          <w:tcPr>
            <w:tcW w:w="996" w:type="dxa"/>
          </w:tcPr>
          <w:p w14:paraId="0C421E13" w14:textId="34A9937F" w:rsidR="009864E7" w:rsidRPr="00756F68" w:rsidRDefault="00616D33" w:rsidP="00A40857">
            <w:pPr>
              <w:pStyle w:val="body"/>
              <w:spacing w:before="120" w:line="240" w:lineRule="auto"/>
              <w:rPr>
                <w:rFonts w:cstheme="minorHAnsi"/>
                <w:lang w:val="en-GB"/>
              </w:rPr>
            </w:pPr>
            <w:r w:rsidRPr="00756F68">
              <w:rPr>
                <w:rFonts w:cstheme="minorHAnsi"/>
                <w:lang w:val="en-GB"/>
              </w:rPr>
              <w:t>0030</w:t>
            </w:r>
          </w:p>
        </w:tc>
        <w:tc>
          <w:tcPr>
            <w:tcW w:w="2437" w:type="dxa"/>
          </w:tcPr>
          <w:p w14:paraId="5F887A78" w14:textId="0F758FF4" w:rsidR="009864E7" w:rsidRPr="00756F68" w:rsidRDefault="009864E7" w:rsidP="00A40857">
            <w:pPr>
              <w:pStyle w:val="body"/>
              <w:spacing w:before="120" w:line="240" w:lineRule="auto"/>
              <w:rPr>
                <w:rFonts w:cstheme="minorHAnsi"/>
                <w:lang w:val="en-GB"/>
              </w:rPr>
            </w:pPr>
            <w:r w:rsidRPr="00756F68">
              <w:rPr>
                <w:rFonts w:cstheme="minorHAnsi"/>
                <w:lang w:val="en-GB"/>
              </w:rPr>
              <w:t xml:space="preserve">Interbank </w:t>
            </w:r>
          </w:p>
        </w:tc>
        <w:tc>
          <w:tcPr>
            <w:tcW w:w="5351" w:type="dxa"/>
          </w:tcPr>
          <w:p w14:paraId="11CF36F2" w14:textId="3ACD1214" w:rsidR="00616D33" w:rsidRPr="00756F68" w:rsidRDefault="00616D33" w:rsidP="00A40857">
            <w:pPr>
              <w:pStyle w:val="body"/>
              <w:spacing w:before="120" w:line="240" w:lineRule="auto"/>
              <w:rPr>
                <w:rFonts w:cstheme="minorHAnsi"/>
                <w:szCs w:val="22"/>
                <w:lang w:val="en-GB"/>
              </w:rPr>
            </w:pPr>
            <w:r w:rsidRPr="00756F68">
              <w:rPr>
                <w:rStyle w:val="InstructionsTabelleberschrift"/>
                <w:rFonts w:asciiTheme="minorHAnsi" w:hAnsiTheme="minorHAnsi" w:cstheme="minorHAnsi"/>
                <w:b w:val="0"/>
                <w:bCs w:val="0"/>
                <w:sz w:val="22"/>
                <w:szCs w:val="22"/>
                <w:u w:val="none"/>
              </w:rPr>
              <w:t>All assets whose counterparty is a credit institution as defined in paragraph 42(c) of Part 1 of Annex V of the Commission Implementing Regulation (EU) 2021/451</w:t>
            </w:r>
            <w:r w:rsidRPr="00756F68">
              <w:rPr>
                <w:rStyle w:val="InstructionsTabelleberschrift"/>
                <w:rFonts w:asciiTheme="minorHAnsi" w:hAnsiTheme="minorHAnsi" w:cstheme="minorHAnsi"/>
                <w:b w:val="0"/>
                <w:sz w:val="22"/>
                <w:szCs w:val="22"/>
                <w:u w:val="none"/>
                <w:vertAlign w:val="superscript"/>
              </w:rPr>
              <w:footnoteReference w:id="4"/>
            </w:r>
            <w:r w:rsidRPr="00756F68">
              <w:rPr>
                <w:rStyle w:val="InstructionsTabelleberschrift"/>
                <w:rFonts w:asciiTheme="minorHAnsi" w:hAnsiTheme="minorHAnsi" w:cstheme="minorHAnsi"/>
                <w:b w:val="0"/>
                <w:bCs w:val="0"/>
                <w:sz w:val="22"/>
                <w:szCs w:val="22"/>
                <w:u w:val="none"/>
              </w:rPr>
              <w:t xml:space="preserve"> (ITS on supervisory reporting) and excluding securities and derivatives</w:t>
            </w:r>
            <w:r w:rsidR="00A45217" w:rsidRPr="00756F68">
              <w:rPr>
                <w:rStyle w:val="InstructionsTabelleberschrift"/>
                <w:rFonts w:asciiTheme="minorHAnsi" w:hAnsiTheme="minorHAnsi" w:cstheme="minorHAnsi"/>
                <w:b w:val="0"/>
                <w:bCs w:val="0"/>
                <w:sz w:val="22"/>
                <w:szCs w:val="22"/>
                <w:u w:val="none"/>
              </w:rPr>
              <w:t>.</w:t>
            </w:r>
          </w:p>
        </w:tc>
      </w:tr>
      <w:tr w:rsidR="009864E7" w:rsidRPr="00756F68" w14:paraId="023B1467" w14:textId="77777777" w:rsidTr="004B29A3">
        <w:trPr>
          <w:cantSplit/>
        </w:trPr>
        <w:tc>
          <w:tcPr>
            <w:tcW w:w="996" w:type="dxa"/>
            <w:hideMark/>
          </w:tcPr>
          <w:p w14:paraId="03581566" w14:textId="34D7C88E" w:rsidR="009864E7" w:rsidRPr="00756F68" w:rsidRDefault="0072373A" w:rsidP="00A40857">
            <w:pPr>
              <w:pStyle w:val="body"/>
              <w:spacing w:before="120" w:line="240" w:lineRule="auto"/>
              <w:rPr>
                <w:rFonts w:cstheme="minorHAnsi"/>
                <w:lang w:val="en-GB"/>
              </w:rPr>
            </w:pPr>
            <w:r w:rsidRPr="00756F68">
              <w:rPr>
                <w:rFonts w:cstheme="minorHAnsi"/>
                <w:lang w:val="en-GB"/>
              </w:rPr>
              <w:t>0040</w:t>
            </w:r>
          </w:p>
        </w:tc>
        <w:tc>
          <w:tcPr>
            <w:tcW w:w="2437" w:type="dxa"/>
            <w:hideMark/>
          </w:tcPr>
          <w:p w14:paraId="653992BD" w14:textId="77777777" w:rsidR="009864E7" w:rsidRPr="00756F68" w:rsidRDefault="009864E7" w:rsidP="00A40857">
            <w:pPr>
              <w:pStyle w:val="body"/>
              <w:spacing w:before="120" w:line="240" w:lineRule="auto"/>
              <w:rPr>
                <w:rFonts w:cstheme="minorHAnsi"/>
                <w:lang w:val="en-GB"/>
              </w:rPr>
            </w:pPr>
            <w:r w:rsidRPr="00756F68">
              <w:rPr>
                <w:rFonts w:cstheme="minorHAnsi"/>
                <w:lang w:val="en-GB"/>
              </w:rPr>
              <w:t>Loans and advances</w:t>
            </w:r>
          </w:p>
        </w:tc>
        <w:tc>
          <w:tcPr>
            <w:tcW w:w="5351" w:type="dxa"/>
            <w:shd w:val="clear" w:color="auto" w:fill="auto"/>
            <w:hideMark/>
          </w:tcPr>
          <w:p w14:paraId="5FBC0430" w14:textId="77777777" w:rsidR="00616D33" w:rsidRPr="00756F68" w:rsidRDefault="00616D33" w:rsidP="00A40857">
            <w:pPr>
              <w:pStyle w:val="InstructionsText"/>
              <w:rPr>
                <w:rStyle w:val="InstructionsTabelleberschrift"/>
                <w:rFonts w:asciiTheme="minorHAnsi" w:hAnsiTheme="minorHAnsi" w:cstheme="minorHAnsi"/>
                <w:b w:val="0"/>
                <w:bCs w:val="0"/>
                <w:sz w:val="22"/>
                <w:szCs w:val="22"/>
                <w:u w:val="none"/>
              </w:rPr>
            </w:pPr>
            <w:r w:rsidRPr="00756F68">
              <w:rPr>
                <w:rStyle w:val="InstructionsTabelleberschrift"/>
                <w:rFonts w:asciiTheme="minorHAnsi" w:hAnsiTheme="minorHAnsi" w:cstheme="minorHAnsi"/>
                <w:b w:val="0"/>
                <w:bCs w:val="0"/>
                <w:sz w:val="22"/>
                <w:szCs w:val="22"/>
                <w:u w:val="none"/>
              </w:rPr>
              <w:t xml:space="preserve">Debt instruments held by the institutions that are not securities. This item includes demand deposits at credit institutions and deposits at central bank excluding demand deposits and MRR, irrespective of their classification in the applicable accounting framework, as well as advances that cannot be classified as ‘loans’ as defined in paragraph 85(g) of Part 2 of Annex V of the ITS on supervisory reporting. </w:t>
            </w:r>
          </w:p>
          <w:p w14:paraId="6CBF4EB3" w14:textId="645659B3" w:rsidR="009864E7" w:rsidRPr="00756F68" w:rsidRDefault="009864E7" w:rsidP="00A40857">
            <w:pPr>
              <w:pStyle w:val="body"/>
              <w:spacing w:before="120" w:line="240" w:lineRule="auto"/>
              <w:rPr>
                <w:rFonts w:cstheme="minorHAnsi"/>
                <w:szCs w:val="22"/>
                <w:highlight w:val="yellow"/>
                <w:lang w:val="en-GB"/>
              </w:rPr>
            </w:pPr>
          </w:p>
        </w:tc>
      </w:tr>
      <w:tr w:rsidR="009864E7" w:rsidRPr="00756F68" w14:paraId="612C9CEF" w14:textId="77777777" w:rsidTr="004B29A3">
        <w:trPr>
          <w:cantSplit/>
        </w:trPr>
        <w:tc>
          <w:tcPr>
            <w:tcW w:w="996" w:type="dxa"/>
          </w:tcPr>
          <w:p w14:paraId="2F8A7222" w14:textId="7EA7A7A9" w:rsidR="009864E7" w:rsidRPr="00756F68" w:rsidRDefault="0072373A" w:rsidP="00A40857">
            <w:pPr>
              <w:pStyle w:val="body"/>
              <w:spacing w:before="120" w:line="240" w:lineRule="auto"/>
              <w:rPr>
                <w:rFonts w:cstheme="minorHAnsi"/>
                <w:szCs w:val="22"/>
                <w:lang w:val="en-GB"/>
              </w:rPr>
            </w:pPr>
            <w:r w:rsidRPr="00756F68">
              <w:rPr>
                <w:rFonts w:cstheme="minorHAnsi"/>
                <w:szCs w:val="22"/>
                <w:lang w:val="en-GB"/>
              </w:rPr>
              <w:lastRenderedPageBreak/>
              <w:t>0050</w:t>
            </w:r>
          </w:p>
        </w:tc>
        <w:tc>
          <w:tcPr>
            <w:tcW w:w="2437" w:type="dxa"/>
          </w:tcPr>
          <w:p w14:paraId="6D495D77" w14:textId="77777777" w:rsidR="009864E7" w:rsidRPr="00756F68" w:rsidRDefault="009864E7" w:rsidP="00A40857">
            <w:pPr>
              <w:pStyle w:val="body"/>
              <w:spacing w:before="120" w:line="240" w:lineRule="auto"/>
              <w:rPr>
                <w:rFonts w:cstheme="minorHAnsi"/>
                <w:szCs w:val="22"/>
                <w:lang w:val="en-GB"/>
              </w:rPr>
            </w:pPr>
            <w:r w:rsidRPr="00756F68">
              <w:rPr>
                <w:rFonts w:cstheme="minorHAnsi"/>
                <w:szCs w:val="22"/>
                <w:lang w:val="en-GB"/>
              </w:rPr>
              <w:t xml:space="preserve">Of which: retail </w:t>
            </w:r>
          </w:p>
        </w:tc>
        <w:tc>
          <w:tcPr>
            <w:tcW w:w="5351" w:type="dxa"/>
          </w:tcPr>
          <w:p w14:paraId="42D274D6" w14:textId="58D62CDA" w:rsidR="0072373A" w:rsidRPr="00756F68" w:rsidRDefault="009864E7" w:rsidP="00A40857">
            <w:pPr>
              <w:pStyle w:val="InstructionsText"/>
              <w:rPr>
                <w:rFonts w:asciiTheme="minorHAnsi" w:hAnsiTheme="minorHAnsi" w:cstheme="minorHAnsi"/>
                <w:sz w:val="22"/>
                <w:szCs w:val="22"/>
              </w:rPr>
            </w:pPr>
            <w:r w:rsidRPr="00756F68">
              <w:rPr>
                <w:rFonts w:asciiTheme="minorHAnsi" w:hAnsiTheme="minorHAnsi" w:cstheme="minorHAnsi"/>
                <w:sz w:val="22"/>
                <w:szCs w:val="22"/>
              </w:rPr>
              <w:t>Report the subtotal of “Loans</w:t>
            </w:r>
            <w:r w:rsidR="00616D33" w:rsidRPr="00756F68">
              <w:rPr>
                <w:rFonts w:asciiTheme="minorHAnsi" w:hAnsiTheme="minorHAnsi" w:cstheme="minorHAnsi"/>
                <w:sz w:val="22"/>
                <w:szCs w:val="22"/>
              </w:rPr>
              <w:t xml:space="preserve"> </w:t>
            </w:r>
            <w:r w:rsidR="0072373A" w:rsidRPr="00756F68">
              <w:rPr>
                <w:rFonts w:asciiTheme="minorHAnsi" w:hAnsiTheme="minorHAnsi" w:cstheme="minorHAnsi"/>
                <w:sz w:val="22"/>
                <w:szCs w:val="22"/>
              </w:rPr>
              <w:t xml:space="preserve">and </w:t>
            </w:r>
            <w:r w:rsidR="00616D33" w:rsidRPr="00756F68">
              <w:rPr>
                <w:rFonts w:asciiTheme="minorHAnsi" w:hAnsiTheme="minorHAnsi" w:cstheme="minorHAnsi"/>
                <w:sz w:val="22"/>
                <w:szCs w:val="22"/>
              </w:rPr>
              <w:t>advances</w:t>
            </w:r>
            <w:r w:rsidRPr="00756F68">
              <w:rPr>
                <w:rFonts w:asciiTheme="minorHAnsi" w:hAnsiTheme="minorHAnsi" w:cstheme="minorHAnsi"/>
                <w:sz w:val="22"/>
                <w:szCs w:val="22"/>
              </w:rPr>
              <w:t xml:space="preserve">” </w:t>
            </w:r>
            <w:r w:rsidR="0072373A" w:rsidRPr="00756F68">
              <w:rPr>
                <w:rFonts w:asciiTheme="minorHAnsi" w:hAnsiTheme="minorHAnsi" w:cstheme="minorHAnsi"/>
                <w:sz w:val="22"/>
                <w:szCs w:val="22"/>
              </w:rPr>
              <w:t>given to natural person or a SME, where the exposure toward small and non-complex enterprises (‘SME’) as defined in point (145) of Article 4(1) of the CRR shall qualify for the retail exposure class under the Standardised or Internal Ratings Based (‘IRB’) approaches for credit risk as defined in Chapters 2 and 3 of the CRR, or a company which is eligible for the treatment set out in Article 153(4) of the CRR and where the aggregate deposits by that SME or company on a group basis do not exceed EUR 1 million.</w:t>
            </w:r>
          </w:p>
          <w:p w14:paraId="1ED906E4" w14:textId="77777777" w:rsidR="0072373A" w:rsidRPr="00756F68" w:rsidRDefault="0072373A" w:rsidP="00A40857">
            <w:pPr>
              <w:pStyle w:val="InstructionsText"/>
              <w:rPr>
                <w:rFonts w:asciiTheme="minorHAnsi" w:hAnsiTheme="minorHAnsi" w:cstheme="minorHAnsi"/>
                <w:sz w:val="22"/>
                <w:szCs w:val="22"/>
              </w:rPr>
            </w:pPr>
            <w:r w:rsidRPr="00756F68">
              <w:rPr>
                <w:rFonts w:asciiTheme="minorHAnsi" w:hAnsiTheme="minorHAnsi" w:cstheme="minorHAnsi"/>
                <w:sz w:val="22"/>
                <w:szCs w:val="22"/>
              </w:rPr>
              <w:t>These exposures shall be assigned to counterparty sectors according to the nature of the immediate counterparty.</w:t>
            </w:r>
          </w:p>
          <w:p w14:paraId="32938A47" w14:textId="06EA27CE" w:rsidR="009864E7" w:rsidRPr="00756F68" w:rsidRDefault="0072373A" w:rsidP="00A40857">
            <w:pPr>
              <w:pStyle w:val="body"/>
              <w:spacing w:before="120" w:line="240" w:lineRule="auto"/>
              <w:rPr>
                <w:rFonts w:cstheme="minorHAnsi"/>
                <w:szCs w:val="22"/>
                <w:lang w:val="en-GB"/>
              </w:rPr>
            </w:pPr>
            <w:r w:rsidRPr="00756F68">
              <w:rPr>
                <w:rFonts w:cstheme="minorHAnsi"/>
                <w:szCs w:val="22"/>
              </w:rPr>
              <w:t>Both performing and non-performing retail loans and advances shall be reported in this row.</w:t>
            </w:r>
          </w:p>
        </w:tc>
      </w:tr>
      <w:tr w:rsidR="009864E7" w:rsidRPr="00756F68" w14:paraId="709E86AB" w14:textId="77777777" w:rsidTr="004B29A3">
        <w:trPr>
          <w:cantSplit/>
        </w:trPr>
        <w:tc>
          <w:tcPr>
            <w:tcW w:w="996" w:type="dxa"/>
          </w:tcPr>
          <w:p w14:paraId="078D602F" w14:textId="373156B3" w:rsidR="009864E7" w:rsidRPr="00756F68" w:rsidRDefault="0072373A" w:rsidP="00A40857">
            <w:pPr>
              <w:pStyle w:val="body"/>
              <w:spacing w:before="120" w:line="240" w:lineRule="auto"/>
              <w:rPr>
                <w:rFonts w:cstheme="minorHAnsi"/>
                <w:lang w:val="en-GB"/>
              </w:rPr>
            </w:pPr>
            <w:r w:rsidRPr="00756F68">
              <w:rPr>
                <w:rFonts w:cstheme="minorHAnsi"/>
                <w:lang w:val="en-GB"/>
              </w:rPr>
              <w:t>0060</w:t>
            </w:r>
          </w:p>
        </w:tc>
        <w:tc>
          <w:tcPr>
            <w:tcW w:w="2437" w:type="dxa"/>
          </w:tcPr>
          <w:p w14:paraId="55AF9901" w14:textId="77777777" w:rsidR="009864E7" w:rsidRPr="00756F68" w:rsidRDefault="009864E7" w:rsidP="00A40857">
            <w:pPr>
              <w:pStyle w:val="body"/>
              <w:spacing w:before="120" w:line="240" w:lineRule="auto"/>
              <w:rPr>
                <w:rFonts w:cstheme="minorHAnsi"/>
                <w:lang w:val="en-GB"/>
              </w:rPr>
            </w:pPr>
            <w:r w:rsidRPr="00756F68">
              <w:rPr>
                <w:rFonts w:cstheme="minorHAnsi"/>
                <w:lang w:val="en-GB"/>
              </w:rPr>
              <w:t>Of which: wholesale</w:t>
            </w:r>
          </w:p>
        </w:tc>
        <w:tc>
          <w:tcPr>
            <w:tcW w:w="5351" w:type="dxa"/>
          </w:tcPr>
          <w:p w14:paraId="5CBFD7C4" w14:textId="0477FFB0" w:rsidR="0072373A" w:rsidRPr="00756F68" w:rsidRDefault="009864E7" w:rsidP="00A40857">
            <w:pPr>
              <w:pStyle w:val="body"/>
              <w:spacing w:before="120" w:line="240" w:lineRule="auto"/>
              <w:rPr>
                <w:rFonts w:cstheme="minorHAnsi"/>
                <w:lang w:val="en-GB"/>
              </w:rPr>
            </w:pPr>
            <w:r w:rsidRPr="00756F68">
              <w:rPr>
                <w:rFonts w:cstheme="minorHAnsi"/>
                <w:lang w:val="en-GB"/>
              </w:rPr>
              <w:t>Report the subtotal of “Loans</w:t>
            </w:r>
            <w:r w:rsidR="0072373A" w:rsidRPr="00756F68">
              <w:rPr>
                <w:rFonts w:cstheme="minorHAnsi"/>
                <w:lang w:val="en-GB"/>
              </w:rPr>
              <w:t xml:space="preserve"> and advances</w:t>
            </w:r>
            <w:r w:rsidRPr="00756F68">
              <w:rPr>
                <w:rFonts w:cstheme="minorHAnsi"/>
                <w:lang w:val="en-GB"/>
              </w:rPr>
              <w:t>”</w:t>
            </w:r>
            <w:r w:rsidR="0072373A" w:rsidRPr="00756F68">
              <w:rPr>
                <w:rFonts w:cstheme="minorHAnsi"/>
                <w:lang w:val="en-GB"/>
              </w:rPr>
              <w:t xml:space="preserve"> given </w:t>
            </w:r>
            <w:r w:rsidRPr="00756F68">
              <w:rPr>
                <w:rFonts w:cstheme="minorHAnsi"/>
                <w:lang w:val="en-GB"/>
              </w:rPr>
              <w:t xml:space="preserve">to wholesale </w:t>
            </w:r>
            <w:r w:rsidR="0072373A" w:rsidRPr="00756F68">
              <w:rPr>
                <w:rFonts w:cstheme="minorHAnsi"/>
                <w:lang w:val="en-GB"/>
              </w:rPr>
              <w:t xml:space="preserve">financial and non-financial corporations.  </w:t>
            </w:r>
          </w:p>
          <w:p w14:paraId="0E3A5E08" w14:textId="1DAB607A" w:rsidR="0072373A" w:rsidRPr="00756F68" w:rsidRDefault="0072373A" w:rsidP="00A40857">
            <w:pPr>
              <w:pStyle w:val="body"/>
              <w:spacing w:before="120" w:line="240" w:lineRule="auto"/>
              <w:rPr>
                <w:rFonts w:cstheme="minorHAnsi"/>
                <w:lang w:val="en-GB"/>
              </w:rPr>
            </w:pPr>
            <w:r w:rsidRPr="00756F68">
              <w:rPr>
                <w:rFonts w:cstheme="minorHAnsi"/>
                <w:lang w:val="en-GB"/>
              </w:rPr>
              <w:t>Wholesale financial corporations</w:t>
            </w:r>
            <w:r w:rsidRPr="00756F68">
              <w:rPr>
                <w:rFonts w:cstheme="minorHAnsi"/>
              </w:rPr>
              <w:t xml:space="preserve"> are credit institutions and other financial corporations in accordance with points (c) and (d) of paragraph 42 of Part 1, Annex V of the ITS on supervisory reporting.</w:t>
            </w:r>
          </w:p>
          <w:p w14:paraId="4C8DA277" w14:textId="683B4A73" w:rsidR="0072373A" w:rsidRPr="00756F68" w:rsidRDefault="0072373A" w:rsidP="00A40857">
            <w:pPr>
              <w:pStyle w:val="body"/>
              <w:spacing w:before="120" w:line="240" w:lineRule="auto"/>
              <w:rPr>
                <w:rFonts w:cstheme="minorHAnsi"/>
                <w:lang w:val="en-GB"/>
              </w:rPr>
            </w:pPr>
            <w:r w:rsidRPr="00756F68">
              <w:rPr>
                <w:rFonts w:cstheme="minorHAnsi"/>
                <w:lang w:val="en-GB"/>
              </w:rPr>
              <w:t xml:space="preserve">Wholesale non-financial corporations in accordance point </w:t>
            </w:r>
            <w:r w:rsidRPr="00756F68" w:rsidDel="00E21745">
              <w:rPr>
                <w:rFonts w:cstheme="minorHAnsi"/>
                <w:lang w:val="en-GB"/>
              </w:rPr>
              <w:t>(e)</w:t>
            </w:r>
            <w:r w:rsidRPr="00756F68">
              <w:rPr>
                <w:rFonts w:cstheme="minorHAnsi"/>
                <w:lang w:val="en-GB"/>
              </w:rPr>
              <w:t xml:space="preserve"> of paragraph 42 of Part 1 of Annex V of the ITS on supervisory reporting</w:t>
            </w:r>
            <w:r w:rsidR="00A45217" w:rsidRPr="00756F68">
              <w:rPr>
                <w:rFonts w:cstheme="minorHAnsi"/>
                <w:lang w:val="en-GB"/>
              </w:rPr>
              <w:t>.</w:t>
            </w:r>
          </w:p>
        </w:tc>
      </w:tr>
      <w:tr w:rsidR="009864E7" w:rsidRPr="00756F68" w14:paraId="3E9A5C5E" w14:textId="77777777" w:rsidTr="004B29A3">
        <w:trPr>
          <w:cantSplit/>
        </w:trPr>
        <w:tc>
          <w:tcPr>
            <w:tcW w:w="996" w:type="dxa"/>
            <w:hideMark/>
          </w:tcPr>
          <w:p w14:paraId="0CA14D5A" w14:textId="1C1F6E08" w:rsidR="009864E7" w:rsidRPr="00756F68" w:rsidRDefault="0072373A" w:rsidP="00A40857">
            <w:pPr>
              <w:pStyle w:val="body"/>
              <w:spacing w:before="120" w:line="240" w:lineRule="auto"/>
              <w:rPr>
                <w:rFonts w:cstheme="minorHAnsi"/>
                <w:lang w:val="en-GB"/>
              </w:rPr>
            </w:pPr>
            <w:r w:rsidRPr="00756F68">
              <w:rPr>
                <w:rFonts w:cstheme="minorHAnsi"/>
                <w:lang w:val="en-GB"/>
              </w:rPr>
              <w:t>0070</w:t>
            </w:r>
          </w:p>
        </w:tc>
        <w:tc>
          <w:tcPr>
            <w:tcW w:w="2437" w:type="dxa"/>
            <w:hideMark/>
          </w:tcPr>
          <w:p w14:paraId="232139A8" w14:textId="77777777" w:rsidR="009864E7" w:rsidRPr="00756F68" w:rsidRDefault="009864E7" w:rsidP="00A40857">
            <w:pPr>
              <w:pStyle w:val="body"/>
              <w:spacing w:before="120" w:line="240" w:lineRule="auto"/>
              <w:rPr>
                <w:rFonts w:cstheme="minorHAnsi"/>
                <w:highlight w:val="yellow"/>
                <w:lang w:val="en-GB"/>
              </w:rPr>
            </w:pPr>
            <w:r w:rsidRPr="00756F68">
              <w:rPr>
                <w:rFonts w:cstheme="minorHAnsi"/>
                <w:lang w:val="en-GB"/>
              </w:rPr>
              <w:t>Debt securities</w:t>
            </w:r>
          </w:p>
        </w:tc>
        <w:tc>
          <w:tcPr>
            <w:tcW w:w="5351" w:type="dxa"/>
            <w:vAlign w:val="center"/>
            <w:hideMark/>
          </w:tcPr>
          <w:p w14:paraId="4CADB234" w14:textId="6C7D3F71" w:rsidR="009864E7" w:rsidRPr="00756F68" w:rsidRDefault="009864E7" w:rsidP="00A40857">
            <w:pPr>
              <w:pStyle w:val="body"/>
              <w:spacing w:before="120" w:line="240" w:lineRule="auto"/>
              <w:rPr>
                <w:rFonts w:cstheme="minorHAnsi"/>
                <w:lang w:val="en-GB"/>
              </w:rPr>
            </w:pPr>
            <w:r w:rsidRPr="00756F68">
              <w:rPr>
                <w:rFonts w:cstheme="minorHAnsi"/>
              </w:rPr>
              <w:t xml:space="preserve">Report debt </w:t>
            </w:r>
            <w:r w:rsidRPr="00756F68">
              <w:rPr>
                <w:rFonts w:cstheme="minorHAnsi"/>
                <w:szCs w:val="22"/>
              </w:rPr>
              <w:t xml:space="preserve">instruments held by the institution that are not loans, as defined in </w:t>
            </w:r>
            <w:r w:rsidR="0077491F" w:rsidRPr="00756F68">
              <w:rPr>
                <w:rFonts w:cstheme="minorHAnsi"/>
                <w:szCs w:val="22"/>
              </w:rPr>
              <w:t xml:space="preserve">paragraph 31 of Part 1 of Annex V of the </w:t>
            </w:r>
            <w:r w:rsidR="0077491F" w:rsidRPr="00756F68">
              <w:rPr>
                <w:rStyle w:val="InstructionsTabelleberschrift"/>
                <w:rFonts w:asciiTheme="minorHAnsi" w:hAnsiTheme="minorHAnsi" w:cstheme="minorHAnsi"/>
                <w:b w:val="0"/>
                <w:bCs w:val="0"/>
                <w:sz w:val="22"/>
                <w:szCs w:val="22"/>
                <w:u w:val="none"/>
              </w:rPr>
              <w:t>ITS on supervisory reporting,</w:t>
            </w:r>
            <w:r w:rsidR="0077491F" w:rsidRPr="00756F68">
              <w:rPr>
                <w:rFonts w:cstheme="minorHAnsi"/>
                <w:szCs w:val="22"/>
              </w:rPr>
              <w:t xml:space="preserve"> including covered bonds and </w:t>
            </w:r>
            <w:r w:rsidR="00803BFD" w:rsidRPr="00756F68">
              <w:rPr>
                <w:rFonts w:cstheme="minorHAnsi"/>
                <w:szCs w:val="22"/>
              </w:rPr>
              <w:t>securitization</w:t>
            </w:r>
            <w:r w:rsidR="0077491F" w:rsidRPr="00756F68">
              <w:rPr>
                <w:rFonts w:cstheme="minorHAnsi"/>
                <w:szCs w:val="22"/>
              </w:rPr>
              <w:t xml:space="preserve"> exposures.</w:t>
            </w:r>
          </w:p>
        </w:tc>
      </w:tr>
      <w:tr w:rsidR="009864E7" w:rsidRPr="00756F68" w14:paraId="4534EF86" w14:textId="77777777" w:rsidTr="004B29A3">
        <w:trPr>
          <w:cantSplit/>
        </w:trPr>
        <w:tc>
          <w:tcPr>
            <w:tcW w:w="996" w:type="dxa"/>
            <w:hideMark/>
          </w:tcPr>
          <w:p w14:paraId="42D65611" w14:textId="7F30861E" w:rsidR="009864E7" w:rsidRPr="00756F68" w:rsidRDefault="0077491F" w:rsidP="00A40857">
            <w:pPr>
              <w:pStyle w:val="body"/>
              <w:spacing w:before="120" w:line="240" w:lineRule="auto"/>
              <w:rPr>
                <w:rFonts w:cstheme="minorHAnsi"/>
                <w:lang w:val="en-GB"/>
              </w:rPr>
            </w:pPr>
            <w:r w:rsidRPr="00756F68">
              <w:rPr>
                <w:rFonts w:cstheme="minorHAnsi"/>
                <w:lang w:val="en-GB"/>
              </w:rPr>
              <w:t>0080</w:t>
            </w:r>
          </w:p>
        </w:tc>
        <w:tc>
          <w:tcPr>
            <w:tcW w:w="2437" w:type="dxa"/>
            <w:hideMark/>
          </w:tcPr>
          <w:p w14:paraId="33B0B4CD" w14:textId="08047EBE" w:rsidR="009864E7" w:rsidRPr="00756F68" w:rsidRDefault="009864E7" w:rsidP="00A40857">
            <w:pPr>
              <w:pStyle w:val="body"/>
              <w:spacing w:before="120" w:line="240" w:lineRule="auto"/>
              <w:rPr>
                <w:rFonts w:cstheme="minorHAnsi"/>
                <w:highlight w:val="yellow"/>
                <w:lang w:val="en-GB"/>
              </w:rPr>
            </w:pPr>
            <w:r w:rsidRPr="00756F68">
              <w:rPr>
                <w:rFonts w:cstheme="minorHAnsi"/>
                <w:lang w:val="en-GB"/>
              </w:rPr>
              <w:t>Of which: sovereigns</w:t>
            </w:r>
            <w:r w:rsidR="0072373A" w:rsidRPr="00756F68">
              <w:rPr>
                <w:rFonts w:cstheme="minorHAnsi"/>
                <w:lang w:val="en-GB"/>
              </w:rPr>
              <w:t xml:space="preserve"> (general governments)</w:t>
            </w:r>
          </w:p>
        </w:tc>
        <w:tc>
          <w:tcPr>
            <w:tcW w:w="5351" w:type="dxa"/>
            <w:hideMark/>
          </w:tcPr>
          <w:p w14:paraId="1D14E229" w14:textId="45A41F07" w:rsidR="007854CD" w:rsidRPr="00756F68" w:rsidRDefault="009864E7" w:rsidP="00A40857">
            <w:pPr>
              <w:pStyle w:val="body"/>
              <w:spacing w:before="120" w:line="240" w:lineRule="auto"/>
              <w:rPr>
                <w:rFonts w:cstheme="minorHAnsi"/>
                <w:lang w:val="en-GB"/>
              </w:rPr>
            </w:pPr>
            <w:r w:rsidRPr="00756F68">
              <w:rPr>
                <w:rFonts w:cstheme="minorHAnsi"/>
                <w:lang w:val="en-GB"/>
              </w:rPr>
              <w:t>Report the subtotal of “debt securities” issued by sovereign counterparties</w:t>
            </w:r>
            <w:r w:rsidR="007854CD" w:rsidRPr="00756F68">
              <w:rPr>
                <w:rFonts w:cstheme="minorHAnsi"/>
                <w:lang w:val="en-GB"/>
              </w:rPr>
              <w:t xml:space="preserve"> (general governments) as </w:t>
            </w:r>
            <w:r w:rsidR="007854CD" w:rsidRPr="00756F68">
              <w:rPr>
                <w:rStyle w:val="InstructionsTabelleberschrift"/>
                <w:rFonts w:asciiTheme="minorHAnsi" w:hAnsiTheme="minorHAnsi" w:cstheme="minorHAnsi"/>
                <w:b w:val="0"/>
                <w:bCs w:val="0"/>
                <w:sz w:val="22"/>
                <w:szCs w:val="22"/>
                <w:u w:val="none"/>
              </w:rPr>
              <w:t>defined in paragraph 42(b) of Part 1 of the, Annex V of the ITS on Supervisory Reporting.</w:t>
            </w:r>
          </w:p>
        </w:tc>
      </w:tr>
      <w:tr w:rsidR="009864E7" w:rsidRPr="00756F68" w14:paraId="55926F3C" w14:textId="77777777" w:rsidTr="004B29A3">
        <w:trPr>
          <w:cantSplit/>
        </w:trPr>
        <w:tc>
          <w:tcPr>
            <w:tcW w:w="996" w:type="dxa"/>
            <w:hideMark/>
          </w:tcPr>
          <w:p w14:paraId="1AD5BD1A" w14:textId="772A9FFE" w:rsidR="009864E7" w:rsidRPr="00756F68" w:rsidRDefault="0077491F" w:rsidP="00A40857">
            <w:pPr>
              <w:pStyle w:val="body"/>
              <w:spacing w:before="120" w:line="240" w:lineRule="auto"/>
              <w:rPr>
                <w:rFonts w:cstheme="minorHAnsi"/>
                <w:lang w:val="en-GB"/>
              </w:rPr>
            </w:pPr>
            <w:r w:rsidRPr="00756F68">
              <w:rPr>
                <w:rFonts w:cstheme="minorHAnsi"/>
                <w:lang w:val="en-GB"/>
              </w:rPr>
              <w:t>0090</w:t>
            </w:r>
          </w:p>
        </w:tc>
        <w:tc>
          <w:tcPr>
            <w:tcW w:w="2437" w:type="dxa"/>
            <w:hideMark/>
          </w:tcPr>
          <w:p w14:paraId="14C4449F" w14:textId="77777777" w:rsidR="009864E7" w:rsidRPr="00756F68" w:rsidRDefault="009864E7" w:rsidP="00A40857">
            <w:pPr>
              <w:pStyle w:val="body"/>
              <w:spacing w:before="120" w:line="240" w:lineRule="auto"/>
              <w:rPr>
                <w:rFonts w:cstheme="minorHAnsi"/>
                <w:lang w:val="en-GB"/>
              </w:rPr>
            </w:pPr>
            <w:r w:rsidRPr="00756F68">
              <w:rPr>
                <w:rFonts w:cstheme="minorHAnsi"/>
                <w:lang w:val="en-GB"/>
              </w:rPr>
              <w:t>Of which: financials</w:t>
            </w:r>
          </w:p>
        </w:tc>
        <w:tc>
          <w:tcPr>
            <w:tcW w:w="5351" w:type="dxa"/>
            <w:hideMark/>
          </w:tcPr>
          <w:p w14:paraId="488947C0" w14:textId="1BB10310" w:rsidR="009864E7" w:rsidRPr="00756F68" w:rsidRDefault="009864E7" w:rsidP="00A40857">
            <w:pPr>
              <w:pStyle w:val="body"/>
              <w:spacing w:before="120" w:line="240" w:lineRule="auto"/>
              <w:rPr>
                <w:rFonts w:cstheme="minorHAnsi"/>
                <w:lang w:val="en-GB"/>
              </w:rPr>
            </w:pPr>
            <w:r w:rsidRPr="00756F68">
              <w:rPr>
                <w:rFonts w:cstheme="minorHAnsi"/>
                <w:lang w:val="en-GB"/>
              </w:rPr>
              <w:t>Report the subtotal of “debt securities” issued by financial counterparties</w:t>
            </w:r>
            <w:r w:rsidR="00903298" w:rsidRPr="00756F68">
              <w:rPr>
                <w:rFonts w:cstheme="minorHAnsi"/>
                <w:lang w:val="en-GB"/>
              </w:rPr>
              <w:t xml:space="preserve"> as defined in </w:t>
            </w:r>
            <w:r w:rsidR="00903298" w:rsidRPr="00756F68">
              <w:rPr>
                <w:rStyle w:val="InstructionsTabelleberschrift"/>
                <w:rFonts w:asciiTheme="minorHAnsi" w:hAnsiTheme="minorHAnsi" w:cstheme="minorHAnsi"/>
                <w:b w:val="0"/>
                <w:bCs w:val="0"/>
                <w:sz w:val="22"/>
                <w:szCs w:val="22"/>
                <w:u w:val="none"/>
              </w:rPr>
              <w:t>paragraph 42(c) and (d) of Part 1 of the, Annex V of the ITS on Supervisory Reporting.</w:t>
            </w:r>
          </w:p>
        </w:tc>
      </w:tr>
      <w:tr w:rsidR="009864E7" w:rsidRPr="00756F68" w14:paraId="47171DB9" w14:textId="77777777" w:rsidTr="004B29A3">
        <w:trPr>
          <w:cantSplit/>
        </w:trPr>
        <w:tc>
          <w:tcPr>
            <w:tcW w:w="996" w:type="dxa"/>
            <w:hideMark/>
          </w:tcPr>
          <w:p w14:paraId="6DC22C82" w14:textId="5CB63A26" w:rsidR="009864E7" w:rsidRPr="00756F68" w:rsidRDefault="0077491F" w:rsidP="00A40857">
            <w:pPr>
              <w:pStyle w:val="body"/>
              <w:spacing w:before="120" w:line="240" w:lineRule="auto"/>
              <w:rPr>
                <w:rFonts w:cstheme="minorHAnsi"/>
                <w:lang w:val="en-GB"/>
              </w:rPr>
            </w:pPr>
            <w:r w:rsidRPr="00756F68">
              <w:rPr>
                <w:rFonts w:cstheme="minorHAnsi"/>
                <w:lang w:val="en-GB"/>
              </w:rPr>
              <w:t>0100</w:t>
            </w:r>
          </w:p>
        </w:tc>
        <w:tc>
          <w:tcPr>
            <w:tcW w:w="2437" w:type="dxa"/>
            <w:hideMark/>
          </w:tcPr>
          <w:p w14:paraId="4D325DA7" w14:textId="77777777" w:rsidR="009864E7" w:rsidRPr="00756F68" w:rsidRDefault="009864E7" w:rsidP="00A40857">
            <w:pPr>
              <w:pStyle w:val="body"/>
              <w:spacing w:before="120" w:line="240" w:lineRule="auto"/>
              <w:rPr>
                <w:rFonts w:cstheme="minorHAnsi"/>
                <w:lang w:val="en-GB"/>
              </w:rPr>
            </w:pPr>
            <w:r w:rsidRPr="00756F68">
              <w:rPr>
                <w:rFonts w:cstheme="minorHAnsi"/>
                <w:lang w:val="en-GB"/>
              </w:rPr>
              <w:t xml:space="preserve">Of which: corporates </w:t>
            </w:r>
          </w:p>
        </w:tc>
        <w:tc>
          <w:tcPr>
            <w:tcW w:w="5351" w:type="dxa"/>
            <w:hideMark/>
          </w:tcPr>
          <w:p w14:paraId="203FB533" w14:textId="5ABAA036" w:rsidR="009864E7" w:rsidRPr="00756F68" w:rsidRDefault="009864E7" w:rsidP="00A40857">
            <w:pPr>
              <w:pStyle w:val="body"/>
              <w:spacing w:before="120" w:line="240" w:lineRule="auto"/>
              <w:rPr>
                <w:rFonts w:cstheme="minorHAnsi"/>
                <w:lang w:val="en-GB"/>
              </w:rPr>
            </w:pPr>
            <w:r w:rsidRPr="00756F68">
              <w:rPr>
                <w:rFonts w:cstheme="minorHAnsi"/>
                <w:lang w:val="en-GB"/>
              </w:rPr>
              <w:t>Report the subtotal of “debt securities” issued by corporate counterparties</w:t>
            </w:r>
            <w:r w:rsidR="00903298" w:rsidRPr="00756F68">
              <w:rPr>
                <w:rFonts w:cstheme="minorHAnsi"/>
                <w:lang w:val="en-GB"/>
              </w:rPr>
              <w:t xml:space="preserve"> as defined in </w:t>
            </w:r>
            <w:r w:rsidR="00903298" w:rsidRPr="00756F68">
              <w:rPr>
                <w:rStyle w:val="InstructionsTabelleberschrift"/>
                <w:rFonts w:asciiTheme="minorHAnsi" w:hAnsiTheme="minorHAnsi" w:cstheme="minorHAnsi"/>
                <w:b w:val="0"/>
                <w:bCs w:val="0"/>
                <w:sz w:val="22"/>
                <w:szCs w:val="22"/>
                <w:u w:val="none"/>
              </w:rPr>
              <w:t>paragraph 42(e) of Part 1 of the, Annex V of the ITS on Supervisory Reporting.</w:t>
            </w:r>
          </w:p>
        </w:tc>
      </w:tr>
      <w:tr w:rsidR="009864E7" w:rsidRPr="00756F68" w14:paraId="4F741FC3" w14:textId="77777777" w:rsidTr="004B29A3">
        <w:trPr>
          <w:cantSplit/>
        </w:trPr>
        <w:tc>
          <w:tcPr>
            <w:tcW w:w="996" w:type="dxa"/>
            <w:hideMark/>
          </w:tcPr>
          <w:p w14:paraId="5CDC24E3" w14:textId="461D8252" w:rsidR="009864E7" w:rsidRPr="00756F68" w:rsidRDefault="0077491F" w:rsidP="00A40857">
            <w:pPr>
              <w:pStyle w:val="body"/>
              <w:spacing w:before="120" w:line="240" w:lineRule="auto"/>
              <w:rPr>
                <w:rFonts w:cstheme="minorHAnsi"/>
                <w:lang w:val="en-GB"/>
              </w:rPr>
            </w:pPr>
            <w:r w:rsidRPr="00756F68">
              <w:rPr>
                <w:rFonts w:cstheme="minorHAnsi"/>
                <w:lang w:val="en-GB"/>
              </w:rPr>
              <w:lastRenderedPageBreak/>
              <w:t>0110</w:t>
            </w:r>
          </w:p>
        </w:tc>
        <w:tc>
          <w:tcPr>
            <w:tcW w:w="2437" w:type="dxa"/>
            <w:hideMark/>
          </w:tcPr>
          <w:p w14:paraId="047FFAC6" w14:textId="77777777" w:rsidR="009864E7" w:rsidRPr="00756F68" w:rsidRDefault="009864E7" w:rsidP="00A40857">
            <w:pPr>
              <w:pStyle w:val="body"/>
              <w:spacing w:before="120" w:line="240" w:lineRule="auto"/>
              <w:rPr>
                <w:rFonts w:cstheme="minorHAnsi"/>
                <w:lang w:val="en-GB"/>
              </w:rPr>
            </w:pPr>
            <w:r w:rsidRPr="00756F68">
              <w:rPr>
                <w:rFonts w:cstheme="minorHAnsi"/>
                <w:lang w:val="en-GB"/>
              </w:rPr>
              <w:t>Covered bonds</w:t>
            </w:r>
          </w:p>
        </w:tc>
        <w:tc>
          <w:tcPr>
            <w:tcW w:w="5351" w:type="dxa"/>
            <w:hideMark/>
          </w:tcPr>
          <w:p w14:paraId="3CC43D65" w14:textId="77777777" w:rsidR="009864E7" w:rsidRPr="00756F68" w:rsidRDefault="009864E7" w:rsidP="00A40857">
            <w:pPr>
              <w:pStyle w:val="body"/>
              <w:spacing w:before="120"/>
              <w:rPr>
                <w:rFonts w:cstheme="minorHAnsi"/>
                <w:lang w:val="en-GB"/>
              </w:rPr>
            </w:pPr>
            <w:r w:rsidRPr="00756F68">
              <w:rPr>
                <w:rFonts w:cstheme="minorHAnsi"/>
                <w:lang w:val="en-GB"/>
              </w:rPr>
              <w:t>Report Covered Bonds (CB), i.e.</w:t>
            </w:r>
            <w:r w:rsidRPr="00756F68">
              <w:rPr>
                <w:rFonts w:cstheme="minorHAnsi"/>
              </w:rPr>
              <w:t xml:space="preserve"> </w:t>
            </w:r>
            <w:r w:rsidRPr="00756F68">
              <w:rPr>
                <w:rFonts w:cstheme="minorHAnsi"/>
                <w:lang w:val="en-GB"/>
              </w:rPr>
              <w:t xml:space="preserve">debt obligations that are issued by a credit institution in accordance with the provisions of national law transposing the mandatory requirements of Directive 2019/2162 and that are secured by cover assets to which covered bond investors have direct recourse as preferred creditors. </w:t>
            </w:r>
          </w:p>
        </w:tc>
      </w:tr>
      <w:tr w:rsidR="009864E7" w:rsidRPr="00756F68" w14:paraId="6FDFE364" w14:textId="77777777" w:rsidTr="004B29A3">
        <w:trPr>
          <w:cantSplit/>
        </w:trPr>
        <w:tc>
          <w:tcPr>
            <w:tcW w:w="996" w:type="dxa"/>
            <w:hideMark/>
          </w:tcPr>
          <w:p w14:paraId="34F34E0A" w14:textId="00E0CF6F" w:rsidR="009864E7" w:rsidRPr="00756F68" w:rsidRDefault="0077491F" w:rsidP="00A40857">
            <w:pPr>
              <w:pStyle w:val="body"/>
              <w:spacing w:before="120" w:line="240" w:lineRule="auto"/>
              <w:rPr>
                <w:rFonts w:cstheme="minorHAnsi"/>
                <w:lang w:val="en-GB"/>
              </w:rPr>
            </w:pPr>
            <w:r w:rsidRPr="00756F68">
              <w:rPr>
                <w:rFonts w:cstheme="minorHAnsi"/>
                <w:lang w:val="en-GB"/>
              </w:rPr>
              <w:t>0120</w:t>
            </w:r>
          </w:p>
        </w:tc>
        <w:tc>
          <w:tcPr>
            <w:tcW w:w="2437" w:type="dxa"/>
            <w:hideMark/>
          </w:tcPr>
          <w:p w14:paraId="75059312" w14:textId="77777777" w:rsidR="009864E7" w:rsidRPr="00756F68" w:rsidRDefault="009864E7" w:rsidP="00A40857">
            <w:pPr>
              <w:pStyle w:val="body"/>
              <w:spacing w:before="120" w:line="240" w:lineRule="auto"/>
              <w:rPr>
                <w:rFonts w:cstheme="minorHAnsi"/>
                <w:lang w:val="en-GB"/>
              </w:rPr>
            </w:pPr>
            <w:r w:rsidRPr="00756F68">
              <w:rPr>
                <w:rFonts w:cstheme="minorHAnsi"/>
                <w:lang w:val="en-GB"/>
              </w:rPr>
              <w:t>Securitisation exposures</w:t>
            </w:r>
          </w:p>
        </w:tc>
        <w:tc>
          <w:tcPr>
            <w:tcW w:w="5351" w:type="dxa"/>
            <w:hideMark/>
          </w:tcPr>
          <w:p w14:paraId="71E817A4" w14:textId="4447360C" w:rsidR="009864E7" w:rsidRPr="00756F68" w:rsidRDefault="009864E7" w:rsidP="00A40857">
            <w:pPr>
              <w:pStyle w:val="body"/>
              <w:spacing w:before="120" w:line="240" w:lineRule="auto"/>
              <w:rPr>
                <w:rFonts w:cstheme="minorHAnsi"/>
                <w:lang w:val="en-GB"/>
              </w:rPr>
            </w:pPr>
            <w:r w:rsidRPr="00756F68">
              <w:rPr>
                <w:rFonts w:cstheme="minorHAnsi"/>
                <w:lang w:val="en-GB"/>
              </w:rPr>
              <w:t>Report Asset Back-Securities (ABS) and other “real” securitisations, e.g., Article 242 (10) and (13) CRR but not synthetic securitisations</w:t>
            </w:r>
            <w:r w:rsidR="0077491F" w:rsidRPr="00756F68">
              <w:rPr>
                <w:rFonts w:cstheme="minorHAnsi"/>
                <w:lang w:val="en-GB"/>
              </w:rPr>
              <w:t xml:space="preserve"> referred to</w:t>
            </w:r>
            <w:r w:rsidRPr="00756F68">
              <w:rPr>
                <w:rFonts w:cstheme="minorHAnsi"/>
                <w:lang w:val="en-GB"/>
              </w:rPr>
              <w:t xml:space="preserve"> in Article 242 (11) CRR.</w:t>
            </w:r>
          </w:p>
        </w:tc>
      </w:tr>
      <w:tr w:rsidR="009864E7" w:rsidRPr="00756F68" w14:paraId="0E4E71DC" w14:textId="77777777" w:rsidTr="004B29A3">
        <w:trPr>
          <w:cantSplit/>
        </w:trPr>
        <w:tc>
          <w:tcPr>
            <w:tcW w:w="996" w:type="dxa"/>
            <w:hideMark/>
          </w:tcPr>
          <w:p w14:paraId="7B23540F" w14:textId="07BEFCF0" w:rsidR="009864E7" w:rsidRPr="00756F68" w:rsidRDefault="0077491F" w:rsidP="00A40857">
            <w:pPr>
              <w:pStyle w:val="body"/>
              <w:spacing w:before="120" w:line="240" w:lineRule="auto"/>
              <w:rPr>
                <w:rFonts w:cstheme="minorHAnsi"/>
                <w:lang w:val="en-GB"/>
              </w:rPr>
            </w:pPr>
            <w:r w:rsidRPr="00756F68">
              <w:rPr>
                <w:rFonts w:cstheme="minorHAnsi"/>
                <w:lang w:val="en-GB"/>
              </w:rPr>
              <w:t>0130</w:t>
            </w:r>
            <w:r w:rsidR="00903298" w:rsidRPr="00756F68">
              <w:rPr>
                <w:rFonts w:cstheme="minorHAnsi"/>
                <w:lang w:val="en-GB"/>
              </w:rPr>
              <w:t>, 0250</w:t>
            </w:r>
          </w:p>
        </w:tc>
        <w:tc>
          <w:tcPr>
            <w:tcW w:w="2437" w:type="dxa"/>
            <w:hideMark/>
          </w:tcPr>
          <w:p w14:paraId="155CB079" w14:textId="77777777" w:rsidR="009864E7" w:rsidRPr="00756F68" w:rsidRDefault="009864E7" w:rsidP="00A40857">
            <w:pPr>
              <w:spacing w:before="120" w:after="120"/>
              <w:jc w:val="both"/>
              <w:rPr>
                <w:rFonts w:cstheme="minorHAnsi"/>
              </w:rPr>
            </w:pPr>
            <w:r w:rsidRPr="00756F68">
              <w:rPr>
                <w:rFonts w:cstheme="minorHAnsi"/>
              </w:rPr>
              <w:t xml:space="preserve">Derivatives </w:t>
            </w:r>
          </w:p>
        </w:tc>
        <w:tc>
          <w:tcPr>
            <w:tcW w:w="5351" w:type="dxa"/>
            <w:hideMark/>
          </w:tcPr>
          <w:p w14:paraId="249CF16A" w14:textId="77777777" w:rsidR="00903298" w:rsidRPr="00756F68" w:rsidRDefault="00903298" w:rsidP="00A40857">
            <w:pPr>
              <w:pStyle w:val="InstructionsText"/>
              <w:rPr>
                <w:rStyle w:val="InstructionsTabelleberschrift"/>
                <w:rFonts w:asciiTheme="minorHAnsi" w:hAnsiTheme="minorHAnsi" w:cstheme="minorHAnsi"/>
                <w:b w:val="0"/>
                <w:bCs w:val="0"/>
                <w:sz w:val="22"/>
                <w:szCs w:val="22"/>
                <w:u w:val="none"/>
                <w:lang w:eastAsia="en-US"/>
              </w:rPr>
            </w:pPr>
            <w:r w:rsidRPr="00756F68">
              <w:rPr>
                <w:rStyle w:val="InstructionsTabelleberschrift"/>
                <w:rFonts w:asciiTheme="minorHAnsi" w:hAnsiTheme="minorHAnsi" w:cstheme="minorHAnsi"/>
                <w:b w:val="0"/>
                <w:bCs w:val="0"/>
                <w:sz w:val="22"/>
                <w:szCs w:val="22"/>
                <w:u w:val="none"/>
              </w:rPr>
              <w:t xml:space="preserve">Derivatives in accordance with point (29) of Article 2(1) of Regulation (EU) No 600/2014 of the European Parliament and of the Council. </w:t>
            </w:r>
          </w:p>
          <w:p w14:paraId="50370426" w14:textId="74285EF4" w:rsidR="00903298" w:rsidRPr="00756F68" w:rsidRDefault="00903298" w:rsidP="00A40857">
            <w:pPr>
              <w:pStyle w:val="body"/>
              <w:spacing w:before="120" w:line="240" w:lineRule="auto"/>
              <w:rPr>
                <w:rFonts w:cstheme="minorHAnsi"/>
                <w:lang w:val="en-GB"/>
              </w:rPr>
            </w:pPr>
            <w:r w:rsidRPr="00756F68">
              <w:rPr>
                <w:rStyle w:val="InstructionsTabelleberschrift"/>
                <w:rFonts w:asciiTheme="minorHAnsi" w:hAnsiTheme="minorHAnsi" w:cstheme="minorHAnsi"/>
                <w:b w:val="0"/>
                <w:bCs w:val="0"/>
                <w:sz w:val="22"/>
                <w:szCs w:val="22"/>
                <w:u w:val="none"/>
              </w:rPr>
              <w:t>Institutions shall report under this section the aggregate asset / liability exposures of derivatives</w:t>
            </w:r>
            <w:r w:rsidRPr="00756F68">
              <w:rPr>
                <w:rFonts w:cstheme="minorHAnsi"/>
                <w:szCs w:val="22"/>
              </w:rPr>
              <w:t xml:space="preserve">, excluding those derivatives designed as cash flow hedges hedging </w:t>
            </w:r>
            <w:proofErr w:type="spellStart"/>
            <w:r w:rsidR="008806B0" w:rsidRPr="00756F68">
              <w:rPr>
                <w:rFonts w:cstheme="minorHAnsi"/>
                <w:szCs w:val="22"/>
              </w:rPr>
              <w:t>amortised</w:t>
            </w:r>
            <w:proofErr w:type="spellEnd"/>
            <w:r w:rsidRPr="00756F68">
              <w:rPr>
                <w:rFonts w:cstheme="minorHAnsi"/>
                <w:szCs w:val="22"/>
              </w:rPr>
              <w:t xml:space="preserve"> cost items, </w:t>
            </w:r>
            <w:r w:rsidRPr="00756F68">
              <w:rPr>
                <w:rFonts w:cstheme="minorHAnsi"/>
                <w:szCs w:val="22"/>
                <w:lang w:bidi="ne-NP"/>
              </w:rPr>
              <w:t>according to the</w:t>
            </w:r>
            <w:r w:rsidRPr="00756F68">
              <w:rPr>
                <w:rStyle w:val="InstructionsTabelleberschrift"/>
                <w:rFonts w:asciiTheme="minorHAnsi" w:hAnsiTheme="minorHAnsi" w:cstheme="minorHAnsi"/>
                <w:b w:val="0"/>
                <w:bCs w:val="0"/>
                <w:sz w:val="22"/>
                <w:szCs w:val="22"/>
                <w:u w:val="none"/>
              </w:rPr>
              <w:t xml:space="preserve"> convention specified in Part I, section </w:t>
            </w:r>
            <w:r w:rsidRPr="00756F68">
              <w:rPr>
                <w:rStyle w:val="InstructionsTabelleberschrift"/>
                <w:rFonts w:asciiTheme="minorHAnsi" w:hAnsiTheme="minorHAnsi" w:cstheme="minorHAnsi"/>
                <w:b w:val="0"/>
                <w:bCs w:val="0"/>
                <w:sz w:val="22"/>
                <w:szCs w:val="22"/>
                <w:u w:val="none"/>
              </w:rPr>
              <w:fldChar w:fldCharType="begin"/>
            </w:r>
            <w:r w:rsidRPr="00756F68">
              <w:rPr>
                <w:rStyle w:val="InstructionsTabelleberschrift"/>
                <w:rFonts w:asciiTheme="minorHAnsi" w:hAnsiTheme="minorHAnsi" w:cstheme="minorHAnsi"/>
                <w:b w:val="0"/>
                <w:bCs w:val="0"/>
                <w:sz w:val="22"/>
                <w:szCs w:val="22"/>
                <w:u w:val="none"/>
              </w:rPr>
              <w:instrText xml:space="preserve"> REF _Ref122265976 \r \h  \* MERGEFORMAT </w:instrText>
            </w:r>
            <w:r w:rsidRPr="00756F68">
              <w:rPr>
                <w:rStyle w:val="InstructionsTabelleberschrift"/>
                <w:rFonts w:asciiTheme="minorHAnsi" w:hAnsiTheme="minorHAnsi" w:cstheme="minorHAnsi"/>
                <w:b w:val="0"/>
                <w:bCs w:val="0"/>
                <w:sz w:val="22"/>
                <w:szCs w:val="22"/>
                <w:u w:val="none"/>
              </w:rPr>
            </w:r>
            <w:r w:rsidRPr="00756F68">
              <w:rPr>
                <w:rStyle w:val="InstructionsTabelleberschrift"/>
                <w:rFonts w:asciiTheme="minorHAnsi" w:hAnsiTheme="minorHAnsi" w:cstheme="minorHAnsi"/>
                <w:b w:val="0"/>
                <w:bCs w:val="0"/>
                <w:sz w:val="22"/>
                <w:szCs w:val="22"/>
                <w:u w:val="none"/>
              </w:rPr>
              <w:fldChar w:fldCharType="separate"/>
            </w:r>
            <w:r w:rsidRPr="00756F68">
              <w:rPr>
                <w:rStyle w:val="InstructionsTabelleberschrift"/>
                <w:rFonts w:asciiTheme="minorHAnsi" w:hAnsiTheme="minorHAnsi" w:cstheme="minorHAnsi"/>
                <w:b w:val="0"/>
                <w:bCs w:val="0"/>
                <w:sz w:val="22"/>
                <w:szCs w:val="22"/>
                <w:u w:val="none"/>
              </w:rPr>
              <w:t>4</w:t>
            </w:r>
            <w:r w:rsidRPr="00756F68">
              <w:rPr>
                <w:rStyle w:val="InstructionsTabelleberschrift"/>
                <w:rFonts w:asciiTheme="minorHAnsi" w:hAnsiTheme="minorHAnsi" w:cstheme="minorHAnsi"/>
                <w:b w:val="0"/>
                <w:bCs w:val="0"/>
                <w:sz w:val="22"/>
                <w:szCs w:val="22"/>
                <w:u w:val="none"/>
              </w:rPr>
              <w:fldChar w:fldCharType="end"/>
            </w:r>
            <w:r w:rsidRPr="00756F68">
              <w:rPr>
                <w:rStyle w:val="InstructionsTabelleberschrift"/>
                <w:rFonts w:asciiTheme="minorHAnsi" w:hAnsiTheme="minorHAnsi" w:cstheme="minorHAnsi"/>
                <w:b w:val="0"/>
                <w:bCs w:val="0"/>
                <w:sz w:val="22"/>
                <w:szCs w:val="22"/>
                <w:u w:val="none"/>
              </w:rPr>
              <w:t>.</w:t>
            </w:r>
          </w:p>
          <w:p w14:paraId="1FEAD086" w14:textId="4F715D33" w:rsidR="00903298" w:rsidRPr="00756F68" w:rsidRDefault="00903298" w:rsidP="00A40857">
            <w:pPr>
              <w:pStyle w:val="body"/>
              <w:spacing w:before="120" w:line="240" w:lineRule="auto"/>
              <w:rPr>
                <w:rFonts w:cstheme="minorHAnsi"/>
                <w:lang w:val="en-GB"/>
              </w:rPr>
            </w:pPr>
          </w:p>
        </w:tc>
      </w:tr>
      <w:tr w:rsidR="009864E7" w:rsidRPr="00756F68" w14:paraId="0E42EEEC" w14:textId="77777777" w:rsidTr="004B29A3">
        <w:trPr>
          <w:cantSplit/>
        </w:trPr>
        <w:tc>
          <w:tcPr>
            <w:tcW w:w="996" w:type="dxa"/>
          </w:tcPr>
          <w:p w14:paraId="7272BBD7" w14:textId="4682E7A8" w:rsidR="009864E7" w:rsidRPr="00756F68" w:rsidRDefault="0077491F" w:rsidP="00A40857">
            <w:pPr>
              <w:pStyle w:val="body"/>
              <w:spacing w:before="120" w:line="240" w:lineRule="auto"/>
              <w:rPr>
                <w:rFonts w:cstheme="minorHAnsi"/>
                <w:lang w:val="en-GB"/>
              </w:rPr>
            </w:pPr>
            <w:r w:rsidRPr="00756F68">
              <w:rPr>
                <w:rFonts w:cstheme="minorHAnsi"/>
                <w:lang w:val="en-GB"/>
              </w:rPr>
              <w:t>0140</w:t>
            </w:r>
          </w:p>
        </w:tc>
        <w:tc>
          <w:tcPr>
            <w:tcW w:w="2437" w:type="dxa"/>
          </w:tcPr>
          <w:p w14:paraId="369D2CC7" w14:textId="4B50187B" w:rsidR="009864E7" w:rsidRPr="00756F68" w:rsidRDefault="009864E7" w:rsidP="00A40857">
            <w:pPr>
              <w:spacing w:before="120" w:after="120"/>
              <w:jc w:val="both"/>
              <w:rPr>
                <w:rFonts w:cstheme="minorHAnsi"/>
              </w:rPr>
            </w:pPr>
            <w:r w:rsidRPr="00756F68">
              <w:rPr>
                <w:rFonts w:cstheme="minorHAnsi"/>
              </w:rPr>
              <w:t xml:space="preserve">Of which: </w:t>
            </w:r>
            <w:r w:rsidR="0072373A" w:rsidRPr="00756F68">
              <w:rPr>
                <w:rFonts w:cstheme="minorHAnsi"/>
              </w:rPr>
              <w:t>hedges (all types)</w:t>
            </w:r>
          </w:p>
        </w:tc>
        <w:tc>
          <w:tcPr>
            <w:tcW w:w="5351" w:type="dxa"/>
          </w:tcPr>
          <w:p w14:paraId="46CBA9EE" w14:textId="78EF67B8" w:rsidR="009864E7" w:rsidRPr="00756F68" w:rsidRDefault="00E47410" w:rsidP="00A40857">
            <w:pPr>
              <w:pStyle w:val="body"/>
              <w:spacing w:before="120" w:line="240" w:lineRule="auto"/>
              <w:rPr>
                <w:rFonts w:cstheme="minorHAnsi"/>
                <w:lang w:val="en-GB"/>
              </w:rPr>
            </w:pPr>
            <w:r w:rsidRPr="00E47410">
              <w:rPr>
                <w:rStyle w:val="InstructionsTabelleberschrift"/>
                <w:rFonts w:asciiTheme="minorHAnsi" w:hAnsiTheme="minorHAnsi" w:cstheme="minorHAnsi"/>
                <w:b w:val="0"/>
                <w:bCs w:val="0"/>
                <w:sz w:val="22"/>
                <w:u w:val="none"/>
              </w:rPr>
              <w:t>R</w:t>
            </w:r>
            <w:r w:rsidRPr="00E47410">
              <w:rPr>
                <w:rStyle w:val="InstructionsTabelleberschrift"/>
                <w:rFonts w:asciiTheme="minorHAnsi" w:hAnsiTheme="minorHAnsi" w:cstheme="minorHAnsi"/>
                <w:b w:val="0"/>
                <w:bCs w:val="0"/>
                <w:sz w:val="22"/>
                <w:szCs w:val="22"/>
                <w:u w:val="none"/>
              </w:rPr>
              <w:t xml:space="preserve">eport the subtotal of derivative transactions defined in accordance with point (29) of Article 2(1) of Regulation (EU) No 600/2014 of the European Parliament and of the Council. Institutions shall report derivatives held under hedge accounting regime or economic hedges as defined in Annex V of the ITS on supervisory reporting, under the applicable accounting framework, </w:t>
            </w:r>
            <w:r w:rsidR="009003E4" w:rsidRPr="00E47410">
              <w:rPr>
                <w:rStyle w:val="InstructionsTabelleberschrift"/>
                <w:rFonts w:asciiTheme="minorHAnsi" w:hAnsiTheme="minorHAnsi" w:cstheme="minorHAnsi"/>
                <w:b w:val="0"/>
                <w:bCs w:val="0"/>
                <w:sz w:val="22"/>
                <w:u w:val="none"/>
              </w:rPr>
              <w:t xml:space="preserve">the hedged </w:t>
            </w:r>
            <w:r w:rsidR="009003E4">
              <w:rPr>
                <w:rStyle w:val="InstructionsTabelleberschrift"/>
                <w:rFonts w:asciiTheme="minorHAnsi" w:hAnsiTheme="minorHAnsi" w:cstheme="minorHAnsi"/>
                <w:b w:val="0"/>
                <w:bCs w:val="0"/>
                <w:sz w:val="22"/>
                <w:u w:val="none"/>
              </w:rPr>
              <w:t xml:space="preserve">risk being </w:t>
            </w:r>
            <w:r w:rsidR="009003E4" w:rsidRPr="00E47410">
              <w:rPr>
                <w:rFonts w:cstheme="minorHAnsi"/>
                <w:lang w:val="en-GB"/>
              </w:rPr>
              <w:t>interest rate or credit spread risk.</w:t>
            </w:r>
          </w:p>
        </w:tc>
      </w:tr>
      <w:tr w:rsidR="009864E7" w:rsidRPr="00756F68" w14:paraId="2A11DA3D" w14:textId="77777777" w:rsidTr="004B29A3">
        <w:trPr>
          <w:cantSplit/>
        </w:trPr>
        <w:tc>
          <w:tcPr>
            <w:tcW w:w="996" w:type="dxa"/>
          </w:tcPr>
          <w:p w14:paraId="38D496F2" w14:textId="0C289115" w:rsidR="009864E7" w:rsidRPr="00756F68" w:rsidRDefault="0077491F" w:rsidP="00A40857">
            <w:pPr>
              <w:pStyle w:val="body"/>
              <w:spacing w:before="120" w:line="240" w:lineRule="auto"/>
              <w:rPr>
                <w:rFonts w:cstheme="minorHAnsi"/>
                <w:lang w:val="en-GB"/>
              </w:rPr>
            </w:pPr>
            <w:r w:rsidRPr="00756F68">
              <w:rPr>
                <w:rFonts w:cstheme="minorHAnsi"/>
                <w:lang w:val="en-GB"/>
              </w:rPr>
              <w:t>0150</w:t>
            </w:r>
          </w:p>
        </w:tc>
        <w:tc>
          <w:tcPr>
            <w:tcW w:w="2437" w:type="dxa"/>
          </w:tcPr>
          <w:p w14:paraId="4EAF9921" w14:textId="77777777" w:rsidR="009864E7" w:rsidRPr="00756F68" w:rsidRDefault="009864E7" w:rsidP="00A40857">
            <w:pPr>
              <w:pStyle w:val="body"/>
              <w:spacing w:before="120" w:line="240" w:lineRule="auto"/>
              <w:rPr>
                <w:rFonts w:cstheme="minorHAnsi"/>
                <w:szCs w:val="22"/>
                <w:lang w:val="en-GB"/>
              </w:rPr>
            </w:pPr>
            <w:r w:rsidRPr="00756F68">
              <w:rPr>
                <w:rFonts w:cstheme="minorHAnsi"/>
                <w:szCs w:val="22"/>
                <w:lang w:val="en-GB"/>
              </w:rPr>
              <w:t>Other assets</w:t>
            </w:r>
          </w:p>
        </w:tc>
        <w:tc>
          <w:tcPr>
            <w:tcW w:w="5351" w:type="dxa"/>
          </w:tcPr>
          <w:p w14:paraId="41927150" w14:textId="416DA381" w:rsidR="009864E7" w:rsidRPr="00756F68" w:rsidRDefault="0077491F" w:rsidP="00A40857">
            <w:pPr>
              <w:pStyle w:val="body"/>
              <w:spacing w:before="120" w:line="240" w:lineRule="auto"/>
              <w:rPr>
                <w:rFonts w:cstheme="minorHAnsi"/>
                <w:szCs w:val="22"/>
                <w:lang w:val="en-GB"/>
              </w:rPr>
            </w:pPr>
            <w:r w:rsidRPr="00756F68">
              <w:rPr>
                <w:rStyle w:val="InstructionsTabelleberschrift"/>
                <w:rFonts w:asciiTheme="minorHAnsi" w:hAnsiTheme="minorHAnsi" w:cstheme="minorHAnsi"/>
                <w:b w:val="0"/>
                <w:bCs w:val="0"/>
                <w:sz w:val="22"/>
                <w:szCs w:val="22"/>
                <w:u w:val="none"/>
              </w:rPr>
              <w:t>Other on-balance interest rate- and/or credit spread-sensitive assets that</w:t>
            </w:r>
            <w:r w:rsidRPr="00756F68">
              <w:rPr>
                <w:rStyle w:val="InstructionsTabelleberschrift"/>
                <w:rFonts w:asciiTheme="minorHAnsi" w:hAnsiTheme="minorHAnsi" w:cstheme="minorHAnsi"/>
                <w:b w:val="0"/>
                <w:bCs w:val="0"/>
                <w:sz w:val="22"/>
                <w:szCs w:val="22"/>
              </w:rPr>
              <w:t xml:space="preserve"> </w:t>
            </w:r>
            <w:r w:rsidRPr="00756F68">
              <w:rPr>
                <w:rFonts w:cstheme="minorHAnsi"/>
                <w:szCs w:val="22"/>
              </w:rPr>
              <w:t>do not fall under the rows above shall be reported in this row.</w:t>
            </w:r>
          </w:p>
        </w:tc>
      </w:tr>
      <w:tr w:rsidR="00D255C3" w:rsidRPr="00756F68" w14:paraId="667E00D2" w14:textId="77777777" w:rsidTr="004B29A3">
        <w:trPr>
          <w:cantSplit/>
        </w:trPr>
        <w:tc>
          <w:tcPr>
            <w:tcW w:w="996" w:type="dxa"/>
          </w:tcPr>
          <w:p w14:paraId="2F091AC4" w14:textId="64BA7785" w:rsidR="00D255C3" w:rsidRPr="00756F68" w:rsidRDefault="00D255C3" w:rsidP="00A40857">
            <w:pPr>
              <w:pStyle w:val="body"/>
              <w:spacing w:before="120" w:line="240" w:lineRule="auto"/>
              <w:rPr>
                <w:rFonts w:cstheme="minorHAnsi"/>
                <w:lang w:val="en-GB"/>
              </w:rPr>
            </w:pPr>
            <w:r w:rsidRPr="00756F68">
              <w:rPr>
                <w:rFonts w:cstheme="minorHAnsi"/>
                <w:lang w:val="en-GB"/>
              </w:rPr>
              <w:lastRenderedPageBreak/>
              <w:t>0160</w:t>
            </w:r>
          </w:p>
        </w:tc>
        <w:tc>
          <w:tcPr>
            <w:tcW w:w="2437" w:type="dxa"/>
          </w:tcPr>
          <w:p w14:paraId="0B54AA26" w14:textId="1CA31BF5" w:rsidR="00D255C3" w:rsidRPr="00756F68" w:rsidRDefault="00D255C3" w:rsidP="00A40857">
            <w:pPr>
              <w:pStyle w:val="body"/>
              <w:spacing w:before="120" w:line="240" w:lineRule="auto"/>
              <w:rPr>
                <w:rFonts w:cstheme="minorHAnsi"/>
                <w:lang w:val="en-GB"/>
              </w:rPr>
            </w:pPr>
            <w:r w:rsidRPr="00756F68">
              <w:rPr>
                <w:rFonts w:cstheme="minorHAnsi"/>
                <w:lang w:val="en-GB"/>
              </w:rPr>
              <w:t>Total liabilities</w:t>
            </w:r>
          </w:p>
        </w:tc>
        <w:tc>
          <w:tcPr>
            <w:tcW w:w="5351" w:type="dxa"/>
          </w:tcPr>
          <w:p w14:paraId="31D278EA" w14:textId="36F42A8B" w:rsidR="00D255C3" w:rsidRPr="00756F68" w:rsidRDefault="00D255C3" w:rsidP="00A40857">
            <w:pPr>
              <w:pStyle w:val="InstructionsText"/>
              <w:rPr>
                <w:rStyle w:val="FormatvorlageInstructionsTabelleText"/>
                <w:rFonts w:asciiTheme="minorHAnsi" w:hAnsiTheme="minorHAnsi" w:cstheme="minorHAnsi"/>
                <w:sz w:val="22"/>
                <w:szCs w:val="22"/>
              </w:rPr>
            </w:pPr>
            <w:r w:rsidRPr="00756F68">
              <w:rPr>
                <w:rStyle w:val="FormatvorlageInstructionsTabelleText"/>
                <w:rFonts w:asciiTheme="minorHAnsi" w:hAnsiTheme="minorHAnsi" w:cstheme="minorHAnsi"/>
                <w:sz w:val="22"/>
                <w:szCs w:val="22"/>
              </w:rPr>
              <w:t xml:space="preserve">Total interest rate-sensitive liabilities (in the scope of the EBA RTS on SOT) and credit spread-sensitive liabilities, irrespective of their accounting treatment. </w:t>
            </w:r>
          </w:p>
          <w:p w14:paraId="72757462" w14:textId="77777777" w:rsidR="00D255C3" w:rsidRPr="00756F68" w:rsidRDefault="00D255C3" w:rsidP="00A40857">
            <w:pPr>
              <w:pStyle w:val="InstructionsText"/>
              <w:rPr>
                <w:rStyle w:val="FormatvorlageInstructionsTabelleText"/>
                <w:rFonts w:asciiTheme="minorHAnsi" w:hAnsiTheme="minorHAnsi" w:cstheme="minorHAnsi"/>
                <w:sz w:val="22"/>
                <w:szCs w:val="22"/>
              </w:rPr>
            </w:pPr>
            <w:r w:rsidRPr="00756F68">
              <w:rPr>
                <w:rStyle w:val="FormatvorlageInstructionsTabelleText"/>
                <w:rFonts w:asciiTheme="minorHAnsi" w:hAnsiTheme="minorHAnsi" w:cstheme="minorHAnsi"/>
                <w:sz w:val="22"/>
                <w:szCs w:val="22"/>
              </w:rPr>
              <w:t xml:space="preserve">This row shall include: </w:t>
            </w:r>
          </w:p>
          <w:p w14:paraId="1EFEC977" w14:textId="7AF1306A" w:rsidR="00D255C3" w:rsidRPr="00756F68" w:rsidRDefault="00D255C3" w:rsidP="00A40857">
            <w:pPr>
              <w:pStyle w:val="InstructionsText"/>
              <w:rPr>
                <w:rStyle w:val="FormatvorlageInstructionsTabelleText"/>
                <w:rFonts w:asciiTheme="minorHAnsi" w:hAnsiTheme="minorHAnsi" w:cstheme="minorHAnsi"/>
                <w:sz w:val="22"/>
                <w:szCs w:val="22"/>
              </w:rPr>
            </w:pPr>
            <w:r w:rsidRPr="00756F68">
              <w:rPr>
                <w:rStyle w:val="FormatvorlageInstructionsTabelleText"/>
                <w:rFonts w:asciiTheme="minorHAnsi" w:hAnsiTheme="minorHAnsi" w:cstheme="minorHAnsi"/>
                <w:sz w:val="22"/>
                <w:szCs w:val="22"/>
              </w:rPr>
              <w:t>- Liabilities vis a vis Central Banks;</w:t>
            </w:r>
          </w:p>
          <w:p w14:paraId="36B8BD26" w14:textId="11DB4C58" w:rsidR="00D255C3" w:rsidRPr="00756F68" w:rsidRDefault="00D255C3" w:rsidP="00A40857">
            <w:pPr>
              <w:pStyle w:val="InstructionsText"/>
              <w:rPr>
                <w:rStyle w:val="FormatvorlageInstructionsTabelleText"/>
                <w:rFonts w:asciiTheme="minorHAnsi" w:hAnsiTheme="minorHAnsi" w:cstheme="minorHAnsi"/>
                <w:sz w:val="22"/>
                <w:szCs w:val="22"/>
                <w:lang w:val="en-US"/>
              </w:rPr>
            </w:pPr>
            <w:r w:rsidRPr="00756F68">
              <w:rPr>
                <w:rStyle w:val="FormatvorlageInstructionsTabelleText"/>
                <w:rFonts w:asciiTheme="minorHAnsi" w:hAnsiTheme="minorHAnsi" w:cstheme="minorHAnsi"/>
                <w:sz w:val="22"/>
                <w:szCs w:val="22"/>
                <w:lang w:val="en-US"/>
              </w:rPr>
              <w:t xml:space="preserve">- Interbank </w:t>
            </w:r>
            <w:proofErr w:type="gramStart"/>
            <w:r w:rsidRPr="00756F68">
              <w:rPr>
                <w:rStyle w:val="FormatvorlageInstructionsTabelleText"/>
                <w:rFonts w:asciiTheme="minorHAnsi" w:hAnsiTheme="minorHAnsi" w:cstheme="minorHAnsi"/>
                <w:sz w:val="22"/>
                <w:szCs w:val="22"/>
                <w:lang w:val="en-US"/>
              </w:rPr>
              <w:t>liabilities;</w:t>
            </w:r>
            <w:proofErr w:type="gramEnd"/>
          </w:p>
          <w:p w14:paraId="5D59287D" w14:textId="250C8CEF" w:rsidR="00D255C3" w:rsidRPr="00756F68" w:rsidRDefault="00D255C3" w:rsidP="00A40857">
            <w:pPr>
              <w:pStyle w:val="InstructionsText"/>
              <w:rPr>
                <w:rStyle w:val="InstructionsTabelleberschrift"/>
                <w:rFonts w:asciiTheme="minorHAnsi" w:hAnsiTheme="minorHAnsi" w:cstheme="minorHAnsi"/>
                <w:b w:val="0"/>
                <w:sz w:val="22"/>
                <w:szCs w:val="22"/>
                <w:u w:val="none"/>
                <w:lang w:val="en-US"/>
              </w:rPr>
            </w:pPr>
            <w:r w:rsidRPr="00756F68">
              <w:rPr>
                <w:rStyle w:val="FormatvorlageInstructionsTabelleText"/>
                <w:rFonts w:asciiTheme="minorHAnsi" w:hAnsiTheme="minorHAnsi" w:cstheme="minorHAnsi"/>
                <w:sz w:val="22"/>
                <w:szCs w:val="22"/>
                <w:lang w:val="en-US"/>
              </w:rPr>
              <w:t xml:space="preserve">- </w:t>
            </w:r>
            <w:proofErr w:type="gramStart"/>
            <w:r w:rsidRPr="00756F68">
              <w:rPr>
                <w:rStyle w:val="FormatvorlageInstructionsTabelleText"/>
                <w:rFonts w:asciiTheme="minorHAnsi" w:hAnsiTheme="minorHAnsi" w:cstheme="minorHAnsi"/>
                <w:sz w:val="22"/>
                <w:szCs w:val="22"/>
                <w:lang w:val="en-US"/>
              </w:rPr>
              <w:t>Deposits;</w:t>
            </w:r>
            <w:proofErr w:type="gramEnd"/>
            <w:r w:rsidRPr="00756F68">
              <w:rPr>
                <w:rStyle w:val="FormatvorlageInstructionsTabelleText"/>
                <w:rFonts w:asciiTheme="minorHAnsi" w:hAnsiTheme="minorHAnsi" w:cstheme="minorHAnsi"/>
                <w:sz w:val="22"/>
                <w:szCs w:val="22"/>
                <w:lang w:val="en-US"/>
              </w:rPr>
              <w:t xml:space="preserve"> </w:t>
            </w:r>
          </w:p>
          <w:p w14:paraId="688D7C88" w14:textId="49290F45"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Debt securities issued;</w:t>
            </w:r>
          </w:p>
          <w:p w14:paraId="16EF5329" w14:textId="6D8772CE"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xml:space="preserve">- </w:t>
            </w:r>
            <w:r w:rsidR="00012396" w:rsidRPr="00756F68">
              <w:rPr>
                <w:rStyle w:val="InstructionsTabelleberschrift"/>
                <w:rFonts w:asciiTheme="minorHAnsi" w:hAnsiTheme="minorHAnsi" w:cstheme="minorHAnsi"/>
                <w:b w:val="0"/>
                <w:sz w:val="22"/>
                <w:szCs w:val="22"/>
                <w:u w:val="none"/>
              </w:rPr>
              <w:t>C</w:t>
            </w:r>
            <w:r w:rsidRPr="00756F68">
              <w:rPr>
                <w:rStyle w:val="InstructionsTabelleberschrift"/>
                <w:rFonts w:asciiTheme="minorHAnsi" w:hAnsiTheme="minorHAnsi" w:cstheme="minorHAnsi"/>
                <w:b w:val="0"/>
                <w:sz w:val="22"/>
                <w:szCs w:val="22"/>
                <w:u w:val="none"/>
              </w:rPr>
              <w:t>overed bonds</w:t>
            </w:r>
            <w:r w:rsidR="00012396" w:rsidRPr="00756F68">
              <w:rPr>
                <w:rStyle w:val="InstructionsTabelleberschrift"/>
                <w:rFonts w:asciiTheme="minorHAnsi" w:hAnsiTheme="minorHAnsi" w:cstheme="minorHAnsi"/>
                <w:b w:val="0"/>
                <w:sz w:val="22"/>
                <w:szCs w:val="22"/>
                <w:u w:val="none"/>
              </w:rPr>
              <w:t>;</w:t>
            </w:r>
          </w:p>
          <w:p w14:paraId="765618FE" w14:textId="004C3BB5"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xml:space="preserve">- </w:t>
            </w:r>
            <w:r w:rsidR="00012396" w:rsidRPr="00756F68">
              <w:rPr>
                <w:rStyle w:val="InstructionsTabelleberschrift"/>
                <w:rFonts w:asciiTheme="minorHAnsi" w:hAnsiTheme="minorHAnsi" w:cstheme="minorHAnsi"/>
                <w:b w:val="0"/>
                <w:sz w:val="22"/>
                <w:szCs w:val="22"/>
                <w:u w:val="none"/>
              </w:rPr>
              <w:t>S</w:t>
            </w:r>
            <w:r w:rsidRPr="00756F68">
              <w:rPr>
                <w:rStyle w:val="InstructionsTabelleberschrift"/>
                <w:rFonts w:asciiTheme="minorHAnsi" w:hAnsiTheme="minorHAnsi" w:cstheme="minorHAnsi"/>
                <w:b w:val="0"/>
                <w:sz w:val="22"/>
                <w:szCs w:val="22"/>
                <w:u w:val="none"/>
              </w:rPr>
              <w:t>ecuritisation exposures</w:t>
            </w:r>
            <w:r w:rsidR="00012396" w:rsidRPr="00756F68">
              <w:rPr>
                <w:rStyle w:val="InstructionsTabelleberschrift"/>
                <w:rFonts w:asciiTheme="minorHAnsi" w:hAnsiTheme="minorHAnsi" w:cstheme="minorHAnsi"/>
                <w:b w:val="0"/>
                <w:sz w:val="22"/>
                <w:szCs w:val="22"/>
                <w:u w:val="none"/>
              </w:rPr>
              <w:t>;</w:t>
            </w:r>
          </w:p>
          <w:p w14:paraId="6009C4F4" w14:textId="77777777"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Derivatives;</w:t>
            </w:r>
          </w:p>
          <w:p w14:paraId="4A101838" w14:textId="10824F45" w:rsidR="00D255C3" w:rsidRPr="00756F68" w:rsidRDefault="00D255C3" w:rsidP="00A40857">
            <w:pPr>
              <w:pStyle w:val="InstructionsText"/>
              <w:rPr>
                <w:rStyle w:val="InstructionsTabelleberschrift"/>
                <w:rFonts w:asciiTheme="minorHAnsi" w:hAnsiTheme="minorHAnsi" w:cstheme="minorHAnsi"/>
                <w:b w:val="0"/>
                <w:sz w:val="22"/>
                <w:szCs w:val="22"/>
                <w:u w:val="none"/>
              </w:rPr>
            </w:pPr>
            <w:r w:rsidRPr="00756F68">
              <w:rPr>
                <w:rStyle w:val="InstructionsTabelleberschrift"/>
                <w:rFonts w:asciiTheme="minorHAnsi" w:hAnsiTheme="minorHAnsi" w:cstheme="minorHAnsi"/>
                <w:b w:val="0"/>
                <w:sz w:val="22"/>
                <w:szCs w:val="22"/>
                <w:u w:val="none"/>
              </w:rPr>
              <w:t>- Other liabilities</w:t>
            </w:r>
            <w:r w:rsidR="00012396" w:rsidRPr="00756F68">
              <w:rPr>
                <w:rStyle w:val="InstructionsTabelleberschrift"/>
                <w:rFonts w:asciiTheme="minorHAnsi" w:hAnsiTheme="minorHAnsi" w:cstheme="minorHAnsi"/>
                <w:b w:val="0"/>
                <w:sz w:val="22"/>
                <w:szCs w:val="22"/>
                <w:u w:val="none"/>
              </w:rPr>
              <w:t>.</w:t>
            </w:r>
          </w:p>
        </w:tc>
      </w:tr>
      <w:tr w:rsidR="00D255C3" w:rsidRPr="00756F68" w14:paraId="5C0DEB99" w14:textId="77777777" w:rsidTr="004B29A3">
        <w:trPr>
          <w:cantSplit/>
        </w:trPr>
        <w:tc>
          <w:tcPr>
            <w:tcW w:w="996" w:type="dxa"/>
          </w:tcPr>
          <w:p w14:paraId="06954482" w14:textId="135D2B1F" w:rsidR="00D255C3" w:rsidRPr="00756F68" w:rsidRDefault="00D255C3" w:rsidP="00A40857">
            <w:pPr>
              <w:pStyle w:val="body"/>
              <w:spacing w:before="120" w:line="240" w:lineRule="auto"/>
              <w:rPr>
                <w:rFonts w:cstheme="minorHAnsi"/>
                <w:lang w:val="en-GB"/>
              </w:rPr>
            </w:pPr>
            <w:r w:rsidRPr="00756F68">
              <w:rPr>
                <w:rFonts w:cstheme="minorHAnsi"/>
                <w:lang w:val="en-GB"/>
              </w:rPr>
              <w:t>0170</w:t>
            </w:r>
          </w:p>
        </w:tc>
        <w:tc>
          <w:tcPr>
            <w:tcW w:w="2437" w:type="dxa"/>
          </w:tcPr>
          <w:p w14:paraId="2771D2AB" w14:textId="5C4DBA6F" w:rsidR="00D255C3" w:rsidRPr="00756F68" w:rsidRDefault="00D255C3" w:rsidP="00A40857">
            <w:pPr>
              <w:pStyle w:val="body"/>
              <w:spacing w:before="120" w:line="240" w:lineRule="auto"/>
              <w:rPr>
                <w:rFonts w:cstheme="minorHAnsi"/>
                <w:lang w:val="en-GB"/>
              </w:rPr>
            </w:pPr>
            <w:r w:rsidRPr="00756F68">
              <w:rPr>
                <w:rFonts w:cstheme="minorHAnsi"/>
                <w:lang w:val="en-GB"/>
              </w:rPr>
              <w:t xml:space="preserve">Central bank </w:t>
            </w:r>
          </w:p>
        </w:tc>
        <w:tc>
          <w:tcPr>
            <w:tcW w:w="5351" w:type="dxa"/>
          </w:tcPr>
          <w:p w14:paraId="54ABC0BD" w14:textId="620007DC" w:rsidR="00D255C3" w:rsidRPr="00756F68" w:rsidRDefault="00D255C3" w:rsidP="00A40857">
            <w:pPr>
              <w:pStyle w:val="body"/>
              <w:spacing w:before="120" w:line="240" w:lineRule="auto"/>
              <w:rPr>
                <w:rStyle w:val="InstructionsTabelleberschrift"/>
                <w:rFonts w:asciiTheme="minorHAnsi" w:hAnsiTheme="minorHAnsi" w:cstheme="minorHAnsi"/>
                <w:sz w:val="22"/>
                <w:szCs w:val="22"/>
                <w:u w:val="none"/>
                <w:lang w:val="en-GB" w:eastAsia="en-GB"/>
              </w:rPr>
            </w:pPr>
            <w:r w:rsidRPr="00756F68">
              <w:rPr>
                <w:rStyle w:val="InstructionsTabelleberschrift"/>
                <w:rFonts w:asciiTheme="minorHAnsi" w:hAnsiTheme="minorHAnsi" w:cstheme="minorHAnsi"/>
                <w:b w:val="0"/>
                <w:bCs w:val="0"/>
                <w:sz w:val="22"/>
                <w:szCs w:val="22"/>
                <w:u w:val="none"/>
              </w:rPr>
              <w:t xml:space="preserve">Liabilities vis a vis Central Banks </w:t>
            </w:r>
            <w:r w:rsidRPr="00756F68">
              <w:rPr>
                <w:rFonts w:cstheme="minorHAnsi"/>
                <w:szCs w:val="22"/>
              </w:rPr>
              <w:t>as defined in point 46 of Article 4(1) of the CRR</w:t>
            </w:r>
            <w:r w:rsidRPr="00756F68">
              <w:rPr>
                <w:rStyle w:val="InstructionsTabelleberschrift"/>
                <w:rFonts w:asciiTheme="minorHAnsi" w:hAnsiTheme="minorHAnsi" w:cstheme="minorHAnsi"/>
                <w:sz w:val="22"/>
                <w:szCs w:val="22"/>
                <w:u w:val="none"/>
              </w:rPr>
              <w:t>.</w:t>
            </w:r>
          </w:p>
        </w:tc>
      </w:tr>
      <w:tr w:rsidR="009864E7" w:rsidRPr="00756F68" w14:paraId="6CF4C8AF" w14:textId="77777777" w:rsidTr="004B29A3">
        <w:trPr>
          <w:cantSplit/>
        </w:trPr>
        <w:tc>
          <w:tcPr>
            <w:tcW w:w="996" w:type="dxa"/>
          </w:tcPr>
          <w:p w14:paraId="09EE1747" w14:textId="5A1A5670" w:rsidR="009864E7" w:rsidRPr="00756F68" w:rsidRDefault="008F3526" w:rsidP="00A40857">
            <w:pPr>
              <w:pStyle w:val="body"/>
              <w:spacing w:before="120" w:line="240" w:lineRule="auto"/>
              <w:rPr>
                <w:rFonts w:cstheme="minorHAnsi"/>
                <w:lang w:val="en-GB"/>
              </w:rPr>
            </w:pPr>
            <w:r w:rsidRPr="00756F68">
              <w:rPr>
                <w:rFonts w:cstheme="minorHAnsi"/>
                <w:lang w:val="en-GB"/>
              </w:rPr>
              <w:t>0180</w:t>
            </w:r>
          </w:p>
        </w:tc>
        <w:tc>
          <w:tcPr>
            <w:tcW w:w="2437" w:type="dxa"/>
          </w:tcPr>
          <w:p w14:paraId="0DFFAC5A" w14:textId="2C20438E" w:rsidR="009864E7" w:rsidRPr="00756F68" w:rsidRDefault="009864E7" w:rsidP="00A40857">
            <w:pPr>
              <w:pStyle w:val="body"/>
              <w:spacing w:before="120" w:line="240" w:lineRule="auto"/>
              <w:rPr>
                <w:rFonts w:cstheme="minorHAnsi"/>
                <w:lang w:val="en-GB"/>
              </w:rPr>
            </w:pPr>
            <w:r w:rsidRPr="00756F68">
              <w:rPr>
                <w:rFonts w:cstheme="minorHAnsi"/>
                <w:lang w:val="en-GB"/>
              </w:rPr>
              <w:t xml:space="preserve">Interbank </w:t>
            </w:r>
          </w:p>
        </w:tc>
        <w:tc>
          <w:tcPr>
            <w:tcW w:w="5351" w:type="dxa"/>
          </w:tcPr>
          <w:p w14:paraId="2483BCF5" w14:textId="6CF72617" w:rsidR="009864E7" w:rsidRPr="00756F68" w:rsidRDefault="00D255C3" w:rsidP="00A40857">
            <w:pPr>
              <w:pStyle w:val="body"/>
              <w:spacing w:before="120" w:line="240" w:lineRule="auto"/>
              <w:rPr>
                <w:rFonts w:cstheme="minorHAnsi"/>
                <w:b/>
                <w:szCs w:val="22"/>
                <w:lang w:val="en-GB"/>
              </w:rPr>
            </w:pPr>
            <w:r w:rsidRPr="00756F68">
              <w:rPr>
                <w:rStyle w:val="InstructionsTabelleberschrift"/>
                <w:rFonts w:asciiTheme="minorHAnsi" w:hAnsiTheme="minorHAnsi" w:cstheme="minorHAnsi"/>
                <w:b w:val="0"/>
                <w:bCs w:val="0"/>
                <w:sz w:val="22"/>
                <w:szCs w:val="22"/>
                <w:u w:val="none"/>
              </w:rPr>
              <w:t xml:space="preserve">All liabilities whose counterparty is a credit institution as defined in paragraph 42(c) of Part 1 of the ITS on Supervisory Reporting </w:t>
            </w:r>
            <w:r w:rsidR="009864E7" w:rsidRPr="00756F68">
              <w:rPr>
                <w:rStyle w:val="InstructionsTabelleberschrift"/>
                <w:rFonts w:asciiTheme="minorHAnsi" w:hAnsiTheme="minorHAnsi" w:cstheme="minorHAnsi"/>
                <w:b w:val="0"/>
                <w:bCs w:val="0"/>
                <w:sz w:val="22"/>
                <w:szCs w:val="22"/>
                <w:u w:val="none"/>
                <w:lang w:val="en-GB" w:eastAsia="en-GB"/>
              </w:rPr>
              <w:t>excluding securities issued and derivatives</w:t>
            </w:r>
            <w:r w:rsidRPr="00756F68">
              <w:rPr>
                <w:rStyle w:val="InstructionsTabelleberschrift"/>
                <w:rFonts w:asciiTheme="minorHAnsi" w:hAnsiTheme="minorHAnsi" w:cstheme="minorHAnsi"/>
                <w:b w:val="0"/>
                <w:bCs w:val="0"/>
                <w:sz w:val="22"/>
                <w:szCs w:val="22"/>
                <w:u w:val="none"/>
                <w:lang w:val="en-GB" w:eastAsia="en-GB"/>
              </w:rPr>
              <w:t>.</w:t>
            </w:r>
            <w:r w:rsidR="009864E7" w:rsidRPr="00756F68">
              <w:rPr>
                <w:rStyle w:val="InstructionsTabelleberschrift"/>
                <w:rFonts w:asciiTheme="minorHAnsi" w:hAnsiTheme="minorHAnsi" w:cstheme="minorHAnsi"/>
                <w:b w:val="0"/>
                <w:bCs w:val="0"/>
                <w:sz w:val="22"/>
                <w:szCs w:val="22"/>
                <w:u w:val="none"/>
              </w:rPr>
              <w:t xml:space="preserve"> </w:t>
            </w:r>
          </w:p>
        </w:tc>
      </w:tr>
      <w:tr w:rsidR="009864E7" w:rsidRPr="00756F68" w14:paraId="575B9EAC" w14:textId="77777777" w:rsidTr="004B29A3">
        <w:trPr>
          <w:cantSplit/>
        </w:trPr>
        <w:tc>
          <w:tcPr>
            <w:tcW w:w="996" w:type="dxa"/>
          </w:tcPr>
          <w:p w14:paraId="05C3DEEF" w14:textId="0791E2AE" w:rsidR="009864E7" w:rsidRPr="00756F68" w:rsidRDefault="008F3526" w:rsidP="00A40857">
            <w:pPr>
              <w:pStyle w:val="body"/>
              <w:spacing w:before="120" w:line="240" w:lineRule="auto"/>
              <w:rPr>
                <w:rFonts w:cstheme="minorHAnsi"/>
                <w:lang w:val="en-GB"/>
              </w:rPr>
            </w:pPr>
            <w:r w:rsidRPr="00756F68">
              <w:rPr>
                <w:rFonts w:cstheme="minorHAnsi"/>
                <w:lang w:val="en-GB"/>
              </w:rPr>
              <w:t>0190</w:t>
            </w:r>
          </w:p>
        </w:tc>
        <w:tc>
          <w:tcPr>
            <w:tcW w:w="2437" w:type="dxa"/>
          </w:tcPr>
          <w:p w14:paraId="464C25F4" w14:textId="77777777" w:rsidR="009864E7" w:rsidRPr="00756F68" w:rsidRDefault="009864E7" w:rsidP="00A40857">
            <w:pPr>
              <w:pStyle w:val="body"/>
              <w:spacing w:before="120" w:line="240" w:lineRule="auto"/>
              <w:rPr>
                <w:rFonts w:cstheme="minorHAnsi"/>
                <w:lang w:val="en-GB"/>
              </w:rPr>
            </w:pPr>
            <w:r w:rsidRPr="00756F68">
              <w:rPr>
                <w:rFonts w:cstheme="minorHAnsi"/>
                <w:lang w:val="en-GB"/>
              </w:rPr>
              <w:t>Deposits</w:t>
            </w:r>
          </w:p>
        </w:tc>
        <w:tc>
          <w:tcPr>
            <w:tcW w:w="5351" w:type="dxa"/>
          </w:tcPr>
          <w:p w14:paraId="09CA01DB" w14:textId="77777777" w:rsidR="009864E7" w:rsidRPr="00756F68" w:rsidRDefault="009864E7" w:rsidP="00A40857">
            <w:pPr>
              <w:pStyle w:val="body"/>
              <w:spacing w:before="120" w:line="240" w:lineRule="auto"/>
              <w:rPr>
                <w:rFonts w:cstheme="minorHAnsi"/>
                <w:lang w:val="en-GB"/>
              </w:rPr>
            </w:pPr>
            <w:r w:rsidRPr="00756F68">
              <w:rPr>
                <w:rFonts w:cstheme="minorHAnsi"/>
                <w:lang w:val="en-GB"/>
              </w:rPr>
              <w:t xml:space="preserve">Report </w:t>
            </w:r>
            <w:r w:rsidR="00D255C3" w:rsidRPr="00756F68">
              <w:rPr>
                <w:rFonts w:cstheme="minorHAnsi"/>
                <w:lang w:val="en-GB"/>
              </w:rPr>
              <w:t>NMDs</w:t>
            </w:r>
            <w:r w:rsidRPr="00756F68">
              <w:rPr>
                <w:rFonts w:cstheme="minorHAnsi"/>
                <w:lang w:val="en-GB"/>
              </w:rPr>
              <w:t xml:space="preserve"> and term deposits (except with interbank counterparties, which will be reported under interbank liabilities exposures).</w:t>
            </w:r>
          </w:p>
          <w:p w14:paraId="1B0DD47C" w14:textId="54373FCD" w:rsidR="00D255C3" w:rsidRPr="00756F68" w:rsidRDefault="00D255C3" w:rsidP="00A40857">
            <w:pPr>
              <w:pStyle w:val="body"/>
              <w:spacing w:before="120" w:line="240" w:lineRule="auto"/>
              <w:rPr>
                <w:rFonts w:cstheme="minorHAnsi"/>
                <w:lang w:val="en-GB"/>
              </w:rPr>
            </w:pPr>
            <w:r w:rsidRPr="00756F68">
              <w:rPr>
                <w:rFonts w:cstheme="minorHAnsi"/>
                <w:lang w:val="en-GB"/>
              </w:rPr>
              <w:t>NMDs</w:t>
            </w:r>
            <w:r w:rsidR="008806B0" w:rsidRPr="00756F68">
              <w:rPr>
                <w:rFonts w:cstheme="minorHAnsi"/>
                <w:lang w:val="en-GB"/>
              </w:rPr>
              <w:t xml:space="preserve"> (</w:t>
            </w:r>
            <w:proofErr w:type="gramStart"/>
            <w:r w:rsidR="008806B0" w:rsidRPr="00756F68">
              <w:rPr>
                <w:rFonts w:cstheme="minorHAnsi"/>
                <w:lang w:val="en-GB"/>
              </w:rPr>
              <w:t>Non Maturing</w:t>
            </w:r>
            <w:proofErr w:type="gramEnd"/>
            <w:r w:rsidR="008806B0" w:rsidRPr="00756F68">
              <w:rPr>
                <w:rFonts w:cstheme="minorHAnsi"/>
                <w:lang w:val="en-GB"/>
              </w:rPr>
              <w:t xml:space="preserve"> Deposits) </w:t>
            </w:r>
            <w:r w:rsidR="008F3526" w:rsidRPr="00756F68">
              <w:rPr>
                <w:rFonts w:cstheme="minorHAnsi"/>
                <w:lang w:val="en-GB"/>
              </w:rPr>
              <w:t xml:space="preserve">: </w:t>
            </w:r>
            <w:r w:rsidR="00E60BF2" w:rsidRPr="00756F68">
              <w:rPr>
                <w:rFonts w:cstheme="minorHAnsi"/>
                <w:lang w:val="en-GB"/>
              </w:rPr>
              <w:t>as per defined in Article 1.1</w:t>
            </w:r>
            <w:r w:rsidR="00E60BF2" w:rsidRPr="00756F68">
              <w:rPr>
                <w:rFonts w:cstheme="minorHAnsi"/>
                <w:bCs/>
                <w:lang w:val="en-GB"/>
              </w:rPr>
              <w:t>(9</w:t>
            </w:r>
            <w:r w:rsidR="00E60BF2" w:rsidRPr="00756F68">
              <w:rPr>
                <w:rFonts w:cstheme="minorHAnsi"/>
                <w:lang w:val="en-GB"/>
              </w:rPr>
              <w:t xml:space="preserve">) of the EBA RTS on SA </w:t>
            </w:r>
          </w:p>
          <w:p w14:paraId="3D089A43" w14:textId="6729870F" w:rsidR="00D255C3" w:rsidRPr="00756F68" w:rsidRDefault="00D255C3" w:rsidP="00A40857">
            <w:pPr>
              <w:pStyle w:val="body"/>
              <w:spacing w:before="120" w:line="240" w:lineRule="auto"/>
              <w:rPr>
                <w:rFonts w:cstheme="minorHAnsi"/>
                <w:highlight w:val="yellow"/>
                <w:lang w:val="en-GB"/>
              </w:rPr>
            </w:pPr>
            <w:r w:rsidRPr="00756F68">
              <w:rPr>
                <w:rFonts w:cstheme="minorHAnsi"/>
                <w:lang w:val="en-GB"/>
              </w:rPr>
              <w:t xml:space="preserve">Term deposits: </w:t>
            </w:r>
            <w:r w:rsidRPr="00756F68">
              <w:rPr>
                <w:rFonts w:cstheme="minorHAnsi"/>
              </w:rPr>
              <w:t xml:space="preserve">Non-transferable deposits which the depositor is not allowed to withdraw before an agreed maturity or that can be early withdrawn provided that the depositor is charged with early withdrawal (prepayment) costs and fees. This item shall include administratively regulated savings deposits where the maturity related criterion is not relevant. Although deposits with agreed maturity may feature the possibility of earlier redemption after prior </w:t>
            </w:r>
            <w:proofErr w:type="gramStart"/>
            <w:r w:rsidRPr="00756F68">
              <w:rPr>
                <w:rFonts w:cstheme="minorHAnsi"/>
              </w:rPr>
              <w:t>notification, or</w:t>
            </w:r>
            <w:proofErr w:type="gramEnd"/>
            <w:r w:rsidRPr="00756F68">
              <w:rPr>
                <w:rFonts w:cstheme="minorHAnsi"/>
              </w:rPr>
              <w:t xml:space="preserve"> may be redeemable on demand subject to certain penalties, these features shall not be considered to be relevant for classification purposes.</w:t>
            </w:r>
          </w:p>
          <w:p w14:paraId="7258E525" w14:textId="25B5D825" w:rsidR="00D255C3" w:rsidRPr="00756F68" w:rsidRDefault="00D255C3" w:rsidP="00A40857">
            <w:pPr>
              <w:pStyle w:val="body"/>
              <w:spacing w:before="120" w:line="240" w:lineRule="auto"/>
              <w:rPr>
                <w:rFonts w:cstheme="minorHAnsi"/>
                <w:highlight w:val="yellow"/>
                <w:lang w:val="en-GB"/>
              </w:rPr>
            </w:pPr>
          </w:p>
        </w:tc>
      </w:tr>
      <w:tr w:rsidR="008F3526" w:rsidRPr="00756F68" w14:paraId="78805F6F" w14:textId="77777777" w:rsidTr="004B29A3">
        <w:trPr>
          <w:cantSplit/>
        </w:trPr>
        <w:tc>
          <w:tcPr>
            <w:tcW w:w="996" w:type="dxa"/>
          </w:tcPr>
          <w:p w14:paraId="71A0A081" w14:textId="27108D7C" w:rsidR="008F3526" w:rsidRPr="00756F68" w:rsidRDefault="008F3526" w:rsidP="00A40857">
            <w:pPr>
              <w:pStyle w:val="body"/>
              <w:spacing w:before="120" w:line="240" w:lineRule="auto"/>
              <w:rPr>
                <w:rFonts w:cstheme="minorHAnsi"/>
                <w:lang w:val="en-GB"/>
              </w:rPr>
            </w:pPr>
            <w:r w:rsidRPr="00756F68">
              <w:rPr>
                <w:rFonts w:cstheme="minorHAnsi"/>
                <w:lang w:val="en-GB"/>
              </w:rPr>
              <w:lastRenderedPageBreak/>
              <w:t>0200</w:t>
            </w:r>
          </w:p>
        </w:tc>
        <w:tc>
          <w:tcPr>
            <w:tcW w:w="2437" w:type="dxa"/>
          </w:tcPr>
          <w:p w14:paraId="3A3A7584" w14:textId="3F2F2CF9" w:rsidR="008F3526" w:rsidRPr="00756F68" w:rsidRDefault="008F3526" w:rsidP="00A40857">
            <w:pPr>
              <w:pStyle w:val="body"/>
              <w:spacing w:before="120" w:line="240" w:lineRule="auto"/>
              <w:rPr>
                <w:rFonts w:cstheme="minorHAnsi"/>
                <w:lang w:val="en-GB"/>
              </w:rPr>
            </w:pPr>
            <w:r w:rsidRPr="00756F68">
              <w:rPr>
                <w:rFonts w:cstheme="minorHAnsi"/>
                <w:lang w:val="en-GB"/>
              </w:rPr>
              <w:t>Of which: retail</w:t>
            </w:r>
          </w:p>
        </w:tc>
        <w:tc>
          <w:tcPr>
            <w:tcW w:w="5351" w:type="dxa"/>
          </w:tcPr>
          <w:p w14:paraId="6FBB1E25" w14:textId="0E540F84" w:rsidR="006A7833" w:rsidRPr="00756F68" w:rsidRDefault="006A7833" w:rsidP="00A40857">
            <w:pPr>
              <w:pStyle w:val="body"/>
              <w:spacing w:before="120" w:line="240" w:lineRule="auto"/>
              <w:rPr>
                <w:rFonts w:cstheme="minorHAnsi"/>
              </w:rPr>
            </w:pPr>
            <w:r w:rsidRPr="00756F68">
              <w:rPr>
                <w:rFonts w:cstheme="minorHAnsi"/>
              </w:rPr>
              <w:t xml:space="preserve">Report the subtotal of ‘deposits’ defined as a </w:t>
            </w:r>
            <w:r w:rsidRPr="00756F68" w:rsidDel="00B2779D">
              <w:rPr>
                <w:rFonts w:cstheme="minorHAnsi"/>
                <w:lang w:val="en-GB"/>
              </w:rPr>
              <w:t>liability to a natural person or to an SME, where the natural person or the SME would qualify for the retail exposure class under the Standardised or IRB approaches for credit risk, or a liability to a company which is eligible for the treatment set out in Article 153(4) CRR and where the aggregate deposits by all such enterprises on a group basis do not exceed EUR 1 million</w:t>
            </w:r>
            <w:r w:rsidR="00965815" w:rsidRPr="00756F68">
              <w:rPr>
                <w:rFonts w:cstheme="minorHAnsi"/>
                <w:lang w:val="en-GB"/>
              </w:rPr>
              <w:t xml:space="preserve"> (Article 1.1(10) of the EBA RTS on SA)</w:t>
            </w:r>
          </w:p>
        </w:tc>
      </w:tr>
      <w:tr w:rsidR="006A7833" w:rsidRPr="00756F68" w14:paraId="51A75480" w14:textId="77777777" w:rsidTr="004B29A3">
        <w:trPr>
          <w:cantSplit/>
        </w:trPr>
        <w:tc>
          <w:tcPr>
            <w:tcW w:w="996" w:type="dxa"/>
          </w:tcPr>
          <w:p w14:paraId="6FDA1809" w14:textId="09DEE373" w:rsidR="006A7833" w:rsidRPr="00756F68" w:rsidRDefault="006A7833" w:rsidP="00A40857">
            <w:pPr>
              <w:pStyle w:val="body"/>
              <w:spacing w:before="120" w:line="240" w:lineRule="auto"/>
              <w:rPr>
                <w:rFonts w:cstheme="minorHAnsi"/>
                <w:lang w:val="en-GB"/>
              </w:rPr>
            </w:pPr>
            <w:r w:rsidRPr="00756F68">
              <w:rPr>
                <w:rFonts w:cstheme="minorHAnsi"/>
                <w:lang w:val="en-GB"/>
              </w:rPr>
              <w:t>0210</w:t>
            </w:r>
          </w:p>
        </w:tc>
        <w:tc>
          <w:tcPr>
            <w:tcW w:w="2437" w:type="dxa"/>
          </w:tcPr>
          <w:p w14:paraId="1CD91512" w14:textId="0FDD118B" w:rsidR="006A7833" w:rsidRPr="00756F68" w:rsidRDefault="006A7833" w:rsidP="00A40857">
            <w:pPr>
              <w:pStyle w:val="body"/>
              <w:spacing w:before="120" w:line="240" w:lineRule="auto"/>
              <w:rPr>
                <w:rFonts w:cstheme="minorHAnsi"/>
                <w:lang w:val="en-GB"/>
              </w:rPr>
            </w:pPr>
            <w:r w:rsidRPr="00756F68">
              <w:rPr>
                <w:rFonts w:cstheme="minorHAnsi"/>
                <w:lang w:val="en-GB"/>
              </w:rPr>
              <w:t>Of which: wholesale (financial and non-financial)</w:t>
            </w:r>
          </w:p>
        </w:tc>
        <w:tc>
          <w:tcPr>
            <w:tcW w:w="5351" w:type="dxa"/>
          </w:tcPr>
          <w:p w14:paraId="4F0A1A7F" w14:textId="2EF6C71B" w:rsidR="006A7833" w:rsidRPr="00756F68" w:rsidRDefault="006A7833" w:rsidP="00A40857">
            <w:pPr>
              <w:pStyle w:val="body"/>
              <w:spacing w:before="120" w:line="240" w:lineRule="auto"/>
              <w:rPr>
                <w:rFonts w:cstheme="minorHAnsi"/>
              </w:rPr>
            </w:pPr>
            <w:r w:rsidRPr="00756F68">
              <w:rPr>
                <w:rFonts w:cstheme="minorHAnsi"/>
              </w:rPr>
              <w:t xml:space="preserve">Report the subtotal of ‘deposits’ referring to </w:t>
            </w:r>
            <w:r w:rsidRPr="00756F68">
              <w:rPr>
                <w:rFonts w:cstheme="minorHAnsi"/>
                <w:lang w:val="en-GB"/>
              </w:rPr>
              <w:t>financial (</w:t>
            </w:r>
            <w:r w:rsidRPr="00756F68">
              <w:rPr>
                <w:rFonts w:cstheme="minorHAnsi"/>
              </w:rPr>
              <w:t>accounts from wholesale financial clients, excluding interbank and central bank exposures.</w:t>
            </w:r>
            <w:r w:rsidRPr="00756F68">
              <w:rPr>
                <w:rFonts w:cstheme="minorHAnsi"/>
                <w:lang w:val="en-GB"/>
              </w:rPr>
              <w:t>) and non-financial clients (</w:t>
            </w:r>
            <w:r w:rsidRPr="00756F68">
              <w:rPr>
                <w:rFonts w:cstheme="minorHAnsi"/>
              </w:rPr>
              <w:t>accounts from corporate and other wholesale non-financial clients, excluding interbank accounts or other fully price-sensitive ones.</w:t>
            </w:r>
            <w:r w:rsidRPr="00756F68">
              <w:rPr>
                <w:rFonts w:cstheme="minorHAnsi"/>
                <w:lang w:val="en-GB"/>
              </w:rPr>
              <w:t>)</w:t>
            </w:r>
            <w:r w:rsidR="00965815" w:rsidRPr="00756F68">
              <w:rPr>
                <w:rFonts w:cstheme="minorHAnsi"/>
                <w:lang w:val="en-GB"/>
              </w:rPr>
              <w:t xml:space="preserve"> (</w:t>
            </w:r>
            <w:r w:rsidR="00965815" w:rsidRPr="00756F68">
              <w:rPr>
                <w:rFonts w:cstheme="minorHAnsi"/>
                <w:bCs/>
                <w:lang w:val="en-GB"/>
              </w:rPr>
              <w:t>Article 1.1(13) of the EBA RTS on SA</w:t>
            </w:r>
            <w:r w:rsidR="00965815" w:rsidRPr="00756F68">
              <w:rPr>
                <w:rFonts w:cstheme="minorHAnsi"/>
                <w:lang w:val="en-GB"/>
              </w:rPr>
              <w:t>)</w:t>
            </w:r>
          </w:p>
        </w:tc>
      </w:tr>
      <w:tr w:rsidR="006A7833" w:rsidRPr="00756F68" w14:paraId="624140C0" w14:textId="77777777" w:rsidTr="004B29A3">
        <w:trPr>
          <w:cantSplit/>
        </w:trPr>
        <w:tc>
          <w:tcPr>
            <w:tcW w:w="996" w:type="dxa"/>
          </w:tcPr>
          <w:p w14:paraId="70E30B6A" w14:textId="57547A5F" w:rsidR="006A7833" w:rsidRPr="00756F68" w:rsidRDefault="006A7833" w:rsidP="00A40857">
            <w:pPr>
              <w:pStyle w:val="body"/>
              <w:spacing w:before="120" w:line="240" w:lineRule="auto"/>
              <w:rPr>
                <w:rFonts w:cstheme="minorHAnsi"/>
                <w:lang w:val="en-GB"/>
              </w:rPr>
            </w:pPr>
            <w:r w:rsidRPr="00756F68">
              <w:rPr>
                <w:rFonts w:cstheme="minorHAnsi"/>
                <w:lang w:val="en-GB"/>
              </w:rPr>
              <w:t>0220</w:t>
            </w:r>
          </w:p>
        </w:tc>
        <w:tc>
          <w:tcPr>
            <w:tcW w:w="2437" w:type="dxa"/>
          </w:tcPr>
          <w:p w14:paraId="5139E708" w14:textId="77777777" w:rsidR="006A7833" w:rsidRPr="00756F68" w:rsidRDefault="006A7833" w:rsidP="00A40857">
            <w:pPr>
              <w:pStyle w:val="body"/>
              <w:spacing w:before="120" w:line="240" w:lineRule="auto"/>
              <w:rPr>
                <w:rFonts w:cstheme="minorHAnsi"/>
                <w:lang w:val="en-GB"/>
              </w:rPr>
            </w:pPr>
            <w:r w:rsidRPr="00756F68">
              <w:rPr>
                <w:rFonts w:cstheme="minorHAnsi"/>
                <w:lang w:val="en-GB"/>
              </w:rPr>
              <w:t>Debt securities issued</w:t>
            </w:r>
          </w:p>
        </w:tc>
        <w:tc>
          <w:tcPr>
            <w:tcW w:w="5351" w:type="dxa"/>
          </w:tcPr>
          <w:p w14:paraId="3560EBC2" w14:textId="78D7831C" w:rsidR="006A7833" w:rsidRPr="00756F68" w:rsidRDefault="006A7833" w:rsidP="00A40857">
            <w:pPr>
              <w:pStyle w:val="body"/>
              <w:spacing w:before="120" w:line="240" w:lineRule="auto"/>
              <w:rPr>
                <w:rFonts w:cstheme="minorHAnsi"/>
                <w:highlight w:val="yellow"/>
                <w:lang w:val="en-GB"/>
              </w:rPr>
            </w:pPr>
            <w:r w:rsidRPr="00756F68">
              <w:rPr>
                <w:rFonts w:cstheme="minorHAnsi"/>
                <w:lang w:val="en-GB"/>
              </w:rPr>
              <w:t xml:space="preserve">Debt securities issued as securities by the institution that are not deposits, as defined in Part 1 Article 37 of Annex V of the ITS on supervisory reporting that are accounted at fair value, together with debt securities issued at </w:t>
            </w:r>
            <w:r w:rsidR="008806B0" w:rsidRPr="00756F68">
              <w:rPr>
                <w:rFonts w:cstheme="minorHAnsi"/>
                <w:lang w:val="en-GB"/>
              </w:rPr>
              <w:t>amortised</w:t>
            </w:r>
            <w:r w:rsidRPr="00756F68">
              <w:rPr>
                <w:rFonts w:cstheme="minorHAnsi"/>
                <w:lang w:val="en-GB"/>
              </w:rPr>
              <w:t xml:space="preserve"> cost subject to a fair value accounting hedge.</w:t>
            </w:r>
          </w:p>
        </w:tc>
      </w:tr>
      <w:tr w:rsidR="006A7833" w:rsidRPr="00756F68" w14:paraId="20F9C3CD" w14:textId="77777777" w:rsidTr="004B29A3">
        <w:trPr>
          <w:cantSplit/>
        </w:trPr>
        <w:tc>
          <w:tcPr>
            <w:tcW w:w="996" w:type="dxa"/>
          </w:tcPr>
          <w:p w14:paraId="7C5DE654" w14:textId="7A7B6947" w:rsidR="006A7833" w:rsidRPr="00756F68" w:rsidRDefault="006A7833" w:rsidP="00A40857">
            <w:pPr>
              <w:pStyle w:val="body"/>
              <w:spacing w:before="120" w:line="240" w:lineRule="auto"/>
              <w:rPr>
                <w:rFonts w:cstheme="minorHAnsi"/>
                <w:lang w:val="en-GB"/>
              </w:rPr>
            </w:pPr>
            <w:r w:rsidRPr="00756F68">
              <w:rPr>
                <w:rFonts w:cstheme="minorHAnsi"/>
                <w:lang w:val="en-GB"/>
              </w:rPr>
              <w:t xml:space="preserve">0230 </w:t>
            </w:r>
          </w:p>
        </w:tc>
        <w:tc>
          <w:tcPr>
            <w:tcW w:w="2437" w:type="dxa"/>
          </w:tcPr>
          <w:p w14:paraId="395A29E4" w14:textId="77777777" w:rsidR="006A7833" w:rsidRPr="00756F68" w:rsidRDefault="006A7833" w:rsidP="00A40857">
            <w:pPr>
              <w:pStyle w:val="body"/>
              <w:spacing w:before="120" w:line="240" w:lineRule="auto"/>
              <w:rPr>
                <w:rFonts w:cstheme="minorHAnsi"/>
                <w:lang w:val="en-GB"/>
              </w:rPr>
            </w:pPr>
            <w:r w:rsidRPr="00756F68">
              <w:rPr>
                <w:rFonts w:cstheme="minorHAnsi"/>
                <w:lang w:val="en-GB"/>
              </w:rPr>
              <w:t>Covered bonds issued</w:t>
            </w:r>
          </w:p>
        </w:tc>
        <w:tc>
          <w:tcPr>
            <w:tcW w:w="5351" w:type="dxa"/>
          </w:tcPr>
          <w:p w14:paraId="5305CF97" w14:textId="731E2B22" w:rsidR="006A7833" w:rsidRPr="00756F68" w:rsidRDefault="006A7833" w:rsidP="00A40857">
            <w:pPr>
              <w:pStyle w:val="body"/>
              <w:spacing w:before="120" w:line="240" w:lineRule="auto"/>
              <w:rPr>
                <w:rFonts w:cstheme="minorHAnsi"/>
                <w:highlight w:val="yellow"/>
                <w:lang w:val="en-GB"/>
              </w:rPr>
            </w:pPr>
            <w:r w:rsidRPr="00756F68">
              <w:rPr>
                <w:rFonts w:cstheme="minorHAnsi"/>
                <w:lang w:val="en-GB"/>
              </w:rPr>
              <w:t>Report Covered Bonds (CB), i.e.</w:t>
            </w:r>
            <w:r w:rsidRPr="00756F68">
              <w:rPr>
                <w:rFonts w:cstheme="minorHAnsi"/>
              </w:rPr>
              <w:t xml:space="preserve"> </w:t>
            </w:r>
            <w:r w:rsidRPr="00756F68">
              <w:rPr>
                <w:rFonts w:cstheme="minorHAnsi"/>
                <w:lang w:val="en-GB"/>
              </w:rPr>
              <w:t xml:space="preserve">debt obligations that are issued in accordance with the provisions of national law transposing the mandatory requirements of Directive 2019/2162 and that are secured by cover assets to which covered bond investors have direct recourse as preferred creditors. </w:t>
            </w:r>
          </w:p>
        </w:tc>
      </w:tr>
      <w:tr w:rsidR="006A7833" w:rsidRPr="00756F68" w14:paraId="63A5E8DF" w14:textId="77777777" w:rsidTr="004B29A3">
        <w:trPr>
          <w:cantSplit/>
        </w:trPr>
        <w:tc>
          <w:tcPr>
            <w:tcW w:w="996" w:type="dxa"/>
          </w:tcPr>
          <w:p w14:paraId="28D95130" w14:textId="23125528" w:rsidR="006A7833" w:rsidRPr="00756F68" w:rsidRDefault="006A7833" w:rsidP="00A40857">
            <w:pPr>
              <w:pStyle w:val="body"/>
              <w:spacing w:before="120" w:line="240" w:lineRule="auto"/>
              <w:rPr>
                <w:rFonts w:cstheme="minorHAnsi"/>
                <w:lang w:val="en-GB"/>
              </w:rPr>
            </w:pPr>
            <w:r w:rsidRPr="00756F68">
              <w:rPr>
                <w:rFonts w:cstheme="minorHAnsi"/>
                <w:lang w:val="en-GB"/>
              </w:rPr>
              <w:t>0240</w:t>
            </w:r>
          </w:p>
        </w:tc>
        <w:tc>
          <w:tcPr>
            <w:tcW w:w="2437" w:type="dxa"/>
          </w:tcPr>
          <w:p w14:paraId="340C5D61" w14:textId="77777777" w:rsidR="006A7833" w:rsidRPr="00756F68" w:rsidRDefault="006A7833" w:rsidP="00A40857">
            <w:pPr>
              <w:pStyle w:val="body"/>
              <w:spacing w:before="120" w:line="240" w:lineRule="auto"/>
              <w:rPr>
                <w:rFonts w:cstheme="minorHAnsi"/>
                <w:lang w:val="en-GB"/>
              </w:rPr>
            </w:pPr>
            <w:r w:rsidRPr="00756F68">
              <w:rPr>
                <w:rFonts w:cstheme="minorHAnsi"/>
                <w:lang w:val="en-GB"/>
              </w:rPr>
              <w:t>Securitisation exposures issued</w:t>
            </w:r>
          </w:p>
        </w:tc>
        <w:tc>
          <w:tcPr>
            <w:tcW w:w="5351" w:type="dxa"/>
          </w:tcPr>
          <w:p w14:paraId="59671BE4" w14:textId="4C4126D5" w:rsidR="006A7833" w:rsidRPr="00756F68" w:rsidRDefault="006A7833" w:rsidP="00A40857">
            <w:pPr>
              <w:pStyle w:val="body"/>
              <w:spacing w:before="120" w:line="240" w:lineRule="auto"/>
              <w:rPr>
                <w:rFonts w:cstheme="minorHAnsi"/>
                <w:highlight w:val="yellow"/>
                <w:lang w:val="en-GB"/>
              </w:rPr>
            </w:pPr>
            <w:r w:rsidRPr="00756F68">
              <w:rPr>
                <w:rFonts w:cstheme="minorHAnsi"/>
                <w:lang w:val="en-GB"/>
              </w:rPr>
              <w:t>Report Asset Back-Securities (ABS) and other “real” securitisations, e.g., Article 242 (10) and (13) CRR but not synthetic securitisations referred to in Article 242 (11) CRR.</w:t>
            </w:r>
          </w:p>
        </w:tc>
      </w:tr>
      <w:tr w:rsidR="006A7833" w:rsidRPr="00756F68" w14:paraId="44AAD43C" w14:textId="77777777" w:rsidTr="004B29A3">
        <w:trPr>
          <w:cantSplit/>
        </w:trPr>
        <w:tc>
          <w:tcPr>
            <w:tcW w:w="996" w:type="dxa"/>
          </w:tcPr>
          <w:p w14:paraId="379874FD" w14:textId="78B86C6C" w:rsidR="006A7833" w:rsidRPr="00756F68" w:rsidRDefault="006A7833" w:rsidP="00A40857">
            <w:pPr>
              <w:pStyle w:val="body"/>
              <w:spacing w:before="120" w:line="240" w:lineRule="auto"/>
              <w:rPr>
                <w:rFonts w:cstheme="minorHAnsi"/>
                <w:lang w:val="en-GB"/>
              </w:rPr>
            </w:pPr>
            <w:r w:rsidRPr="00756F68">
              <w:rPr>
                <w:rFonts w:cstheme="minorHAnsi"/>
                <w:lang w:val="en-GB"/>
              </w:rPr>
              <w:t>0260</w:t>
            </w:r>
          </w:p>
        </w:tc>
        <w:tc>
          <w:tcPr>
            <w:tcW w:w="2437" w:type="dxa"/>
          </w:tcPr>
          <w:p w14:paraId="6ECCCF65" w14:textId="50E5DAE5" w:rsidR="006A7833" w:rsidRPr="00756F68" w:rsidRDefault="006A7833" w:rsidP="00A40857">
            <w:pPr>
              <w:pStyle w:val="body"/>
              <w:spacing w:before="120" w:line="240" w:lineRule="auto"/>
              <w:rPr>
                <w:rFonts w:cstheme="minorHAnsi"/>
                <w:szCs w:val="22"/>
                <w:lang w:val="en-GB"/>
              </w:rPr>
            </w:pPr>
            <w:r w:rsidRPr="00756F68">
              <w:rPr>
                <w:rFonts w:cstheme="minorHAnsi"/>
                <w:szCs w:val="22"/>
              </w:rPr>
              <w:t>Of which: hedges (all types)</w:t>
            </w:r>
          </w:p>
        </w:tc>
        <w:tc>
          <w:tcPr>
            <w:tcW w:w="5351" w:type="dxa"/>
          </w:tcPr>
          <w:p w14:paraId="423D4C74" w14:textId="002EA2B8" w:rsidR="006A7833" w:rsidRPr="00756F68" w:rsidRDefault="00E47410" w:rsidP="00A40857">
            <w:pPr>
              <w:pStyle w:val="body"/>
              <w:spacing w:before="120" w:line="240" w:lineRule="auto"/>
              <w:rPr>
                <w:rFonts w:cstheme="minorHAnsi"/>
                <w:szCs w:val="22"/>
                <w:highlight w:val="yellow"/>
                <w:lang w:val="en-GB"/>
              </w:rPr>
            </w:pPr>
            <w:r w:rsidRPr="00E47410">
              <w:rPr>
                <w:rFonts w:cstheme="minorHAnsi"/>
                <w:lang w:val="en-GB"/>
              </w:rPr>
              <w:t xml:space="preserve">Report the subtotal of derivative transactions defined in accordance with point (29) of Article 2(1) of Regulation (EU) No 600/2014 of the European Parliament and of the Council. Institutions shall report derivatives held under hedge accounting regime or economic hedges as defined in </w:t>
            </w:r>
            <w:r w:rsidRPr="00756F68">
              <w:rPr>
                <w:rFonts w:cstheme="minorHAnsi"/>
                <w:lang w:val="en-GB"/>
              </w:rPr>
              <w:t>Annex V of the ITS on supervisory reporting</w:t>
            </w:r>
            <w:r w:rsidRPr="00E47410">
              <w:rPr>
                <w:rFonts w:cstheme="minorHAnsi"/>
                <w:lang w:val="en-GB"/>
              </w:rPr>
              <w:t xml:space="preserve">, under the applicable accounting framework, </w:t>
            </w:r>
            <w:r w:rsidR="009003E4" w:rsidRPr="00E47410">
              <w:rPr>
                <w:rStyle w:val="InstructionsTabelleberschrift"/>
                <w:rFonts w:asciiTheme="minorHAnsi" w:hAnsiTheme="minorHAnsi" w:cstheme="minorHAnsi"/>
                <w:b w:val="0"/>
                <w:bCs w:val="0"/>
                <w:sz w:val="22"/>
                <w:u w:val="none"/>
              </w:rPr>
              <w:t xml:space="preserve">the hedged </w:t>
            </w:r>
            <w:r w:rsidR="009003E4">
              <w:rPr>
                <w:rStyle w:val="InstructionsTabelleberschrift"/>
                <w:rFonts w:asciiTheme="minorHAnsi" w:hAnsiTheme="minorHAnsi" w:cstheme="minorHAnsi"/>
                <w:b w:val="0"/>
                <w:bCs w:val="0"/>
                <w:sz w:val="22"/>
                <w:u w:val="none"/>
              </w:rPr>
              <w:t xml:space="preserve">risk being </w:t>
            </w:r>
            <w:r w:rsidRPr="00E47410">
              <w:rPr>
                <w:rFonts w:cstheme="minorHAnsi"/>
                <w:lang w:val="en-GB"/>
              </w:rPr>
              <w:t>interest rate or credit spread risk.</w:t>
            </w:r>
          </w:p>
        </w:tc>
      </w:tr>
      <w:tr w:rsidR="006A7833" w:rsidRPr="00756F68" w14:paraId="262A8F2B" w14:textId="77777777" w:rsidTr="004B29A3">
        <w:trPr>
          <w:cantSplit/>
        </w:trPr>
        <w:tc>
          <w:tcPr>
            <w:tcW w:w="996" w:type="dxa"/>
          </w:tcPr>
          <w:p w14:paraId="689CD052" w14:textId="7621DEF7" w:rsidR="006A7833" w:rsidRPr="00756F68" w:rsidRDefault="006A7833" w:rsidP="00A40857">
            <w:pPr>
              <w:pStyle w:val="body"/>
              <w:spacing w:before="120" w:line="240" w:lineRule="auto"/>
              <w:rPr>
                <w:rFonts w:cstheme="minorHAnsi"/>
                <w:lang w:val="en-GB"/>
              </w:rPr>
            </w:pPr>
            <w:r w:rsidRPr="00756F68">
              <w:rPr>
                <w:rFonts w:cstheme="minorHAnsi"/>
                <w:lang w:val="en-GB"/>
              </w:rPr>
              <w:t>0260</w:t>
            </w:r>
          </w:p>
        </w:tc>
        <w:tc>
          <w:tcPr>
            <w:tcW w:w="2437" w:type="dxa"/>
          </w:tcPr>
          <w:p w14:paraId="62F0C16A" w14:textId="77777777" w:rsidR="006A7833" w:rsidRPr="00756F68" w:rsidRDefault="006A7833" w:rsidP="00A40857">
            <w:pPr>
              <w:pStyle w:val="body"/>
              <w:spacing w:before="120" w:line="240" w:lineRule="auto"/>
              <w:rPr>
                <w:rFonts w:cstheme="minorHAnsi"/>
                <w:szCs w:val="22"/>
                <w:lang w:val="en-GB"/>
              </w:rPr>
            </w:pPr>
            <w:r w:rsidRPr="00756F68">
              <w:rPr>
                <w:rFonts w:cstheme="minorHAnsi"/>
                <w:szCs w:val="22"/>
                <w:lang w:val="en-GB"/>
              </w:rPr>
              <w:t>Other liabilities</w:t>
            </w:r>
          </w:p>
        </w:tc>
        <w:tc>
          <w:tcPr>
            <w:tcW w:w="5351" w:type="dxa"/>
          </w:tcPr>
          <w:p w14:paraId="4938E15D" w14:textId="119CE426" w:rsidR="006A7833" w:rsidRPr="00756F68" w:rsidRDefault="006A7833" w:rsidP="00A40857">
            <w:pPr>
              <w:pStyle w:val="body"/>
              <w:spacing w:before="120" w:line="240" w:lineRule="auto"/>
              <w:rPr>
                <w:rFonts w:cstheme="minorHAnsi"/>
                <w:szCs w:val="22"/>
                <w:highlight w:val="yellow"/>
                <w:lang w:val="en-GB"/>
              </w:rPr>
            </w:pPr>
            <w:r w:rsidRPr="00756F68">
              <w:rPr>
                <w:rStyle w:val="InstructionsTabelleberschrift"/>
                <w:rFonts w:asciiTheme="minorHAnsi" w:hAnsiTheme="minorHAnsi" w:cstheme="minorHAnsi"/>
                <w:b w:val="0"/>
                <w:bCs w:val="0"/>
                <w:sz w:val="22"/>
                <w:szCs w:val="22"/>
                <w:u w:val="none"/>
              </w:rPr>
              <w:t xml:space="preserve">Other on-balance interest rate sensitive- and credit spreads sensitive- liabilities that </w:t>
            </w:r>
            <w:r w:rsidRPr="00756F68">
              <w:rPr>
                <w:rFonts w:cstheme="minorHAnsi"/>
                <w:szCs w:val="22"/>
              </w:rPr>
              <w:t>were not classified in the rows above shall be reported in this row.</w:t>
            </w:r>
          </w:p>
        </w:tc>
      </w:tr>
      <w:tr w:rsidR="002B06E9" w:rsidRPr="00756F68" w14:paraId="7CAE3DAC" w14:textId="77777777" w:rsidTr="004B29A3">
        <w:trPr>
          <w:cantSplit/>
        </w:trPr>
        <w:tc>
          <w:tcPr>
            <w:tcW w:w="996" w:type="dxa"/>
          </w:tcPr>
          <w:p w14:paraId="2BDCE764" w14:textId="710980CD" w:rsidR="002B06E9" w:rsidRPr="00756F68" w:rsidRDefault="002B06E9" w:rsidP="00A40857">
            <w:pPr>
              <w:pStyle w:val="body"/>
              <w:spacing w:before="120" w:line="240" w:lineRule="auto"/>
              <w:rPr>
                <w:rFonts w:cstheme="minorHAnsi"/>
                <w:lang w:val="en-GB"/>
              </w:rPr>
            </w:pPr>
            <w:r>
              <w:rPr>
                <w:rFonts w:cstheme="minorHAnsi"/>
                <w:lang w:val="en-GB"/>
              </w:rPr>
              <w:lastRenderedPageBreak/>
              <w:t>0280</w:t>
            </w:r>
          </w:p>
        </w:tc>
        <w:tc>
          <w:tcPr>
            <w:tcW w:w="2437" w:type="dxa"/>
          </w:tcPr>
          <w:p w14:paraId="54A5B002" w14:textId="593C2AB5" w:rsidR="002B06E9" w:rsidRPr="00756F68" w:rsidRDefault="002B06E9" w:rsidP="00A40857">
            <w:pPr>
              <w:pStyle w:val="body"/>
              <w:spacing w:before="120" w:line="240" w:lineRule="auto"/>
              <w:rPr>
                <w:rFonts w:cstheme="minorHAnsi"/>
                <w:szCs w:val="22"/>
                <w:lang w:val="en-GB"/>
              </w:rPr>
            </w:pPr>
            <w:r w:rsidRPr="002B06E9">
              <w:rPr>
                <w:rFonts w:cstheme="minorHAnsi"/>
                <w:szCs w:val="22"/>
                <w:lang w:val="en-GB"/>
              </w:rPr>
              <w:t>Off-balance sheet assets: contingent assets</w:t>
            </w:r>
          </w:p>
        </w:tc>
        <w:tc>
          <w:tcPr>
            <w:tcW w:w="5351" w:type="dxa"/>
          </w:tcPr>
          <w:p w14:paraId="4AD4F370" w14:textId="394EE156" w:rsidR="002B06E9" w:rsidRPr="002B06E9" w:rsidRDefault="002B06E9" w:rsidP="002B06E9">
            <w:pPr>
              <w:pStyle w:val="body"/>
              <w:spacing w:before="120" w:line="240" w:lineRule="auto"/>
              <w:rPr>
                <w:rStyle w:val="InstructionsTabelleberschrift"/>
                <w:rFonts w:asciiTheme="minorHAnsi" w:hAnsiTheme="minorHAnsi" w:cstheme="minorHAnsi"/>
                <w:b w:val="0"/>
                <w:bCs w:val="0"/>
                <w:sz w:val="22"/>
                <w:szCs w:val="22"/>
                <w:u w:val="none"/>
              </w:rPr>
            </w:pPr>
            <w:r w:rsidRPr="002B06E9">
              <w:rPr>
                <w:rStyle w:val="InstructionsTabelleberschrift"/>
                <w:rFonts w:asciiTheme="minorHAnsi" w:hAnsiTheme="minorHAnsi" w:cstheme="minorHAnsi"/>
                <w:b w:val="0"/>
                <w:bCs w:val="0"/>
                <w:sz w:val="22"/>
                <w:szCs w:val="22"/>
                <w:u w:val="none"/>
              </w:rPr>
              <w:t>Off-balance sheet assets listed in Annex I to CRR which are sensitive to the interest rate</w:t>
            </w:r>
            <w:r>
              <w:rPr>
                <w:rStyle w:val="InstructionsTabelleberschrift"/>
                <w:rFonts w:asciiTheme="minorHAnsi" w:hAnsiTheme="minorHAnsi" w:cstheme="minorHAnsi"/>
                <w:b w:val="0"/>
                <w:bCs w:val="0"/>
                <w:sz w:val="22"/>
                <w:szCs w:val="22"/>
                <w:u w:val="none"/>
              </w:rPr>
              <w:t xml:space="preserve"> (</w:t>
            </w:r>
            <w:r w:rsidRPr="002B06E9">
              <w:rPr>
                <w:rStyle w:val="InstructionsTabelleberschrift"/>
                <w:rFonts w:asciiTheme="minorHAnsi" w:hAnsiTheme="minorHAnsi" w:cstheme="minorHAnsi"/>
                <w:b w:val="0"/>
                <w:bCs w:val="0"/>
                <w:sz w:val="22"/>
                <w:szCs w:val="22"/>
                <w:u w:val="none"/>
              </w:rPr>
              <w:t>which are in the scope of the EBA RTS on SOT</w:t>
            </w:r>
            <w:r>
              <w:rPr>
                <w:rStyle w:val="InstructionsTabelleberschrift"/>
                <w:rFonts w:asciiTheme="minorHAnsi" w:hAnsiTheme="minorHAnsi" w:cstheme="minorHAnsi"/>
                <w:b w:val="0"/>
                <w:bCs w:val="0"/>
                <w:sz w:val="22"/>
                <w:szCs w:val="22"/>
                <w:u w:val="none"/>
              </w:rPr>
              <w:t>) and credit spread changes</w:t>
            </w:r>
            <w:r w:rsidRPr="002B06E9">
              <w:rPr>
                <w:rStyle w:val="InstructionsTabelleberschrift"/>
                <w:rFonts w:asciiTheme="minorHAnsi" w:hAnsiTheme="minorHAnsi" w:cstheme="minorHAnsi"/>
                <w:b w:val="0"/>
                <w:bCs w:val="0"/>
                <w:sz w:val="22"/>
                <w:szCs w:val="22"/>
                <w:u w:val="none"/>
              </w:rPr>
              <w:t xml:space="preserve"> </w:t>
            </w:r>
            <w:r>
              <w:rPr>
                <w:rStyle w:val="InstructionsTabelleberschrift"/>
                <w:rFonts w:asciiTheme="minorHAnsi" w:hAnsiTheme="minorHAnsi" w:cstheme="minorHAnsi"/>
                <w:b w:val="0"/>
                <w:bCs w:val="0"/>
                <w:sz w:val="22"/>
                <w:szCs w:val="22"/>
                <w:u w:val="none"/>
              </w:rPr>
              <w:t>(</w:t>
            </w:r>
            <w:r w:rsidRPr="002B06E9">
              <w:rPr>
                <w:rStyle w:val="InstructionsTabelleberschrift"/>
                <w:rFonts w:asciiTheme="minorHAnsi" w:hAnsiTheme="minorHAnsi" w:cstheme="minorHAnsi"/>
                <w:b w:val="0"/>
                <w:bCs w:val="0"/>
                <w:sz w:val="22"/>
                <w:szCs w:val="22"/>
                <w:u w:val="none"/>
              </w:rPr>
              <w:t>which are in the scope of the EBA</w:t>
            </w:r>
            <w:r>
              <w:rPr>
                <w:rStyle w:val="InstructionsTabelleberschrift"/>
                <w:rFonts w:asciiTheme="minorHAnsi" w:hAnsiTheme="minorHAnsi" w:cstheme="minorHAnsi"/>
                <w:b w:val="0"/>
                <w:bCs w:val="0"/>
                <w:sz w:val="22"/>
                <w:szCs w:val="22"/>
                <w:u w:val="none"/>
              </w:rPr>
              <w:t>/GL/2022/14)</w:t>
            </w:r>
            <w:r w:rsidRPr="002B06E9">
              <w:rPr>
                <w:rStyle w:val="InstructionsTabelleberschrift"/>
                <w:rFonts w:asciiTheme="minorHAnsi" w:hAnsiTheme="minorHAnsi" w:cstheme="minorHAnsi"/>
                <w:b w:val="0"/>
                <w:bCs w:val="0"/>
                <w:sz w:val="22"/>
                <w:szCs w:val="22"/>
                <w:u w:val="none"/>
              </w:rPr>
              <w:t xml:space="preserve">. </w:t>
            </w:r>
          </w:p>
          <w:p w14:paraId="668BF789" w14:textId="10106806" w:rsidR="002B06E9" w:rsidRPr="002B06E9" w:rsidRDefault="002B06E9" w:rsidP="002B06E9">
            <w:pPr>
              <w:pStyle w:val="body"/>
              <w:spacing w:before="120" w:line="240" w:lineRule="auto"/>
              <w:rPr>
                <w:rStyle w:val="InstructionsTabelleberschrift"/>
                <w:rFonts w:asciiTheme="minorHAnsi" w:hAnsiTheme="minorHAnsi" w:cstheme="minorHAnsi"/>
                <w:b w:val="0"/>
                <w:bCs w:val="0"/>
                <w:sz w:val="22"/>
                <w:szCs w:val="22"/>
                <w:u w:val="none"/>
              </w:rPr>
            </w:pPr>
            <w:r w:rsidRPr="002B06E9">
              <w:rPr>
                <w:rStyle w:val="InstructionsTabelleberschrift"/>
                <w:rFonts w:asciiTheme="minorHAnsi" w:hAnsiTheme="minorHAnsi" w:cstheme="minorHAnsi"/>
                <w:b w:val="0"/>
                <w:bCs w:val="0"/>
                <w:sz w:val="22"/>
                <w:szCs w:val="22"/>
                <w:u w:val="none"/>
              </w:rPr>
              <w:t xml:space="preserve">Fixed rate loan commitments with prospective borrowers shall be also included in this </w:t>
            </w:r>
            <w:r>
              <w:rPr>
                <w:rStyle w:val="InstructionsTabelleberschrift"/>
                <w:rFonts w:asciiTheme="minorHAnsi" w:hAnsiTheme="minorHAnsi" w:cstheme="minorHAnsi"/>
                <w:b w:val="0"/>
                <w:bCs w:val="0"/>
                <w:sz w:val="22"/>
                <w:szCs w:val="22"/>
                <w:u w:val="none"/>
              </w:rPr>
              <w:t>row</w:t>
            </w:r>
            <w:r w:rsidRPr="002B06E9">
              <w:rPr>
                <w:rStyle w:val="InstructionsTabelleberschrift"/>
                <w:rFonts w:asciiTheme="minorHAnsi" w:hAnsiTheme="minorHAnsi" w:cstheme="minorHAnsi"/>
                <w:b w:val="0"/>
                <w:bCs w:val="0"/>
                <w:sz w:val="22"/>
                <w:szCs w:val="22"/>
                <w:u w:val="none"/>
              </w:rPr>
              <w:t xml:space="preserve">.  </w:t>
            </w:r>
          </w:p>
          <w:p w14:paraId="735E1DE8" w14:textId="22A43988" w:rsidR="002B06E9" w:rsidRPr="00756F68" w:rsidRDefault="002B06E9" w:rsidP="002B06E9">
            <w:pPr>
              <w:pStyle w:val="body"/>
              <w:spacing w:before="120" w:line="240" w:lineRule="auto"/>
              <w:rPr>
                <w:rStyle w:val="InstructionsTabelleberschrift"/>
                <w:rFonts w:asciiTheme="minorHAnsi" w:hAnsiTheme="minorHAnsi" w:cstheme="minorHAnsi"/>
                <w:b w:val="0"/>
                <w:bCs w:val="0"/>
                <w:sz w:val="22"/>
                <w:szCs w:val="22"/>
                <w:u w:val="none"/>
              </w:rPr>
            </w:pPr>
            <w:r w:rsidRPr="002B06E9">
              <w:rPr>
                <w:rStyle w:val="InstructionsTabelleberschrift"/>
                <w:rFonts w:asciiTheme="minorHAnsi" w:hAnsiTheme="minorHAnsi" w:cstheme="minorHAnsi"/>
                <w:b w:val="0"/>
                <w:bCs w:val="0"/>
                <w:sz w:val="22"/>
                <w:szCs w:val="22"/>
                <w:u w:val="none"/>
              </w:rPr>
              <w:t>Loan commitment shall be reported as a combination of a short and a long position. It is the case of a fixed rate loan commitment the bank has a long position in the loan at the inception of the commitment and a short position when the loan is supposed to be drawn. Long positions shall be reported as assets while short position shall be reported as liabilities. Only the contingent instruments qualifying as assets shall be reported in this row.</w:t>
            </w:r>
          </w:p>
        </w:tc>
      </w:tr>
      <w:tr w:rsidR="002B06E9" w:rsidRPr="00756F68" w14:paraId="62A088B5" w14:textId="77777777" w:rsidTr="004B29A3">
        <w:trPr>
          <w:cantSplit/>
        </w:trPr>
        <w:tc>
          <w:tcPr>
            <w:tcW w:w="996" w:type="dxa"/>
          </w:tcPr>
          <w:p w14:paraId="11035BF8" w14:textId="4AB77F8B" w:rsidR="002B06E9" w:rsidRPr="00756F68" w:rsidRDefault="002B06E9" w:rsidP="00A40857">
            <w:pPr>
              <w:pStyle w:val="body"/>
              <w:spacing w:before="120" w:line="240" w:lineRule="auto"/>
              <w:rPr>
                <w:rFonts w:cstheme="minorHAnsi"/>
                <w:lang w:val="en-GB"/>
              </w:rPr>
            </w:pPr>
            <w:r>
              <w:rPr>
                <w:rFonts w:cstheme="minorHAnsi"/>
                <w:lang w:val="en-GB"/>
              </w:rPr>
              <w:t>0290</w:t>
            </w:r>
          </w:p>
        </w:tc>
        <w:tc>
          <w:tcPr>
            <w:tcW w:w="2437" w:type="dxa"/>
          </w:tcPr>
          <w:p w14:paraId="48EBEBBF" w14:textId="32B06EC0" w:rsidR="002B06E9" w:rsidRPr="00756F68" w:rsidRDefault="002B06E9" w:rsidP="00A40857">
            <w:pPr>
              <w:pStyle w:val="body"/>
              <w:spacing w:before="120" w:line="240" w:lineRule="auto"/>
              <w:rPr>
                <w:rFonts w:cstheme="minorHAnsi"/>
                <w:szCs w:val="22"/>
                <w:lang w:val="en-GB"/>
              </w:rPr>
            </w:pPr>
            <w:r w:rsidRPr="002B06E9">
              <w:rPr>
                <w:rFonts w:cstheme="minorHAnsi"/>
                <w:szCs w:val="22"/>
                <w:lang w:val="en-GB"/>
              </w:rPr>
              <w:t>Off-balance sheet liabilities: Contingent liabilities</w:t>
            </w:r>
          </w:p>
        </w:tc>
        <w:tc>
          <w:tcPr>
            <w:tcW w:w="5351" w:type="dxa"/>
          </w:tcPr>
          <w:p w14:paraId="1D4A4C22" w14:textId="77777777" w:rsidR="002B06E9" w:rsidRPr="002B06E9" w:rsidRDefault="002B06E9" w:rsidP="002B06E9">
            <w:pPr>
              <w:pStyle w:val="body"/>
              <w:spacing w:before="120" w:line="240" w:lineRule="auto"/>
              <w:rPr>
                <w:rStyle w:val="InstructionsTabelleberschrift"/>
                <w:rFonts w:asciiTheme="minorHAnsi" w:hAnsiTheme="minorHAnsi" w:cstheme="minorHAnsi"/>
                <w:b w:val="0"/>
                <w:bCs w:val="0"/>
                <w:sz w:val="22"/>
                <w:szCs w:val="22"/>
                <w:u w:val="none"/>
              </w:rPr>
            </w:pPr>
            <w:r w:rsidRPr="002B06E9">
              <w:rPr>
                <w:rStyle w:val="InstructionsTabelleberschrift"/>
                <w:rFonts w:asciiTheme="minorHAnsi" w:hAnsiTheme="minorHAnsi" w:cstheme="minorHAnsi"/>
                <w:b w:val="0"/>
                <w:bCs w:val="0"/>
                <w:sz w:val="22"/>
                <w:szCs w:val="22"/>
                <w:u w:val="none"/>
              </w:rPr>
              <w:t xml:space="preserve">Contingent liabilities shall be seen as a combination of a short and a long position. Specifically, in case the bank has a credit line with other institutions, the bank will have a long position when the loan is supposed to be drawn and a short position at the opening date of the credit line. </w:t>
            </w:r>
          </w:p>
          <w:p w14:paraId="1DBFD023" w14:textId="46576607" w:rsidR="002B06E9" w:rsidRPr="00756F68" w:rsidRDefault="002B06E9" w:rsidP="002B06E9">
            <w:pPr>
              <w:pStyle w:val="body"/>
              <w:spacing w:before="120" w:line="240" w:lineRule="auto"/>
              <w:rPr>
                <w:rStyle w:val="InstructionsTabelleberschrift"/>
                <w:rFonts w:asciiTheme="minorHAnsi" w:hAnsiTheme="minorHAnsi" w:cstheme="minorHAnsi"/>
                <w:b w:val="0"/>
                <w:bCs w:val="0"/>
                <w:sz w:val="22"/>
                <w:szCs w:val="22"/>
                <w:u w:val="none"/>
              </w:rPr>
            </w:pPr>
            <w:r w:rsidRPr="002B06E9">
              <w:rPr>
                <w:rStyle w:val="InstructionsTabelleberschrift"/>
                <w:rFonts w:asciiTheme="minorHAnsi" w:hAnsiTheme="minorHAnsi" w:cstheme="minorHAnsi"/>
                <w:b w:val="0"/>
                <w:bCs w:val="0"/>
                <w:sz w:val="22"/>
                <w:szCs w:val="22"/>
                <w:u w:val="none"/>
              </w:rPr>
              <w:t>Long positions shall be reported as assets while short positions shall be reported as a liability. Only the contingent instruments qualifying as liabilities shall be reported in this row.</w:t>
            </w:r>
          </w:p>
        </w:tc>
      </w:tr>
    </w:tbl>
    <w:p w14:paraId="683F6DFF" w14:textId="77777777" w:rsidR="009864E7" w:rsidRPr="00756F68" w:rsidRDefault="009864E7" w:rsidP="00A40857">
      <w:pPr>
        <w:jc w:val="both"/>
        <w:rPr>
          <w:rFonts w:cstheme="minorHAnsi"/>
        </w:rPr>
      </w:pPr>
    </w:p>
    <w:p w14:paraId="24A0470F" w14:textId="77777777" w:rsidR="00931815" w:rsidRPr="00756F68" w:rsidRDefault="00931815" w:rsidP="00A40857">
      <w:pPr>
        <w:jc w:val="both"/>
        <w:rPr>
          <w:rFonts w:eastAsiaTheme="majorEastAsia" w:cstheme="minorHAnsi"/>
          <w:b/>
          <w:bCs/>
          <w:sz w:val="20"/>
          <w:szCs w:val="20"/>
        </w:rPr>
      </w:pPr>
      <w:r w:rsidRPr="00756F68">
        <w:rPr>
          <w:rFonts w:cstheme="minorHAnsi"/>
          <w:sz w:val="20"/>
          <w:szCs w:val="20"/>
        </w:rPr>
        <w:br w:type="page"/>
      </w:r>
    </w:p>
    <w:p w14:paraId="211C678E" w14:textId="1015851C" w:rsidR="00247703" w:rsidRPr="005233A2" w:rsidRDefault="00247703" w:rsidP="005233A2">
      <w:pPr>
        <w:pStyle w:val="Heading2"/>
        <w:spacing w:before="120" w:line="360" w:lineRule="auto"/>
        <w:ind w:left="66"/>
        <w:jc w:val="both"/>
        <w:rPr>
          <w:rFonts w:asciiTheme="minorHAnsi" w:hAnsiTheme="minorHAnsi" w:cstheme="minorHAnsi"/>
          <w:color w:val="auto"/>
          <w:sz w:val="22"/>
          <w:szCs w:val="22"/>
        </w:rPr>
      </w:pPr>
      <w:bookmarkStart w:id="17" w:name="_Toc146804985"/>
      <w:r w:rsidRPr="005233A2">
        <w:rPr>
          <w:rFonts w:asciiTheme="minorHAnsi" w:hAnsiTheme="minorHAnsi" w:cstheme="minorHAnsi"/>
          <w:color w:val="auto"/>
          <w:sz w:val="22"/>
          <w:szCs w:val="22"/>
        </w:rPr>
        <w:lastRenderedPageBreak/>
        <w:t>Template “</w:t>
      </w:r>
      <w:r w:rsidR="00180C55" w:rsidRPr="005233A2">
        <w:rPr>
          <w:rFonts w:asciiTheme="minorHAnsi" w:hAnsiTheme="minorHAnsi" w:cstheme="minorHAnsi"/>
          <w:color w:val="auto"/>
          <w:sz w:val="22"/>
          <w:szCs w:val="22"/>
        </w:rPr>
        <w:t>2</w:t>
      </w:r>
      <w:r w:rsidRPr="005233A2">
        <w:rPr>
          <w:rFonts w:asciiTheme="minorHAnsi" w:hAnsiTheme="minorHAnsi" w:cstheme="minorHAnsi"/>
          <w:color w:val="auto"/>
          <w:sz w:val="22"/>
          <w:szCs w:val="22"/>
        </w:rPr>
        <w:t>_CSRBB_sensitivities”</w:t>
      </w:r>
      <w:bookmarkEnd w:id="17"/>
    </w:p>
    <w:p w14:paraId="0ABA509E" w14:textId="77777777" w:rsidR="00CC36ED" w:rsidRPr="00756F68" w:rsidRDefault="00CC36ED" w:rsidP="00A40857">
      <w:pPr>
        <w:pStyle w:val="numberedparagraph"/>
        <w:numPr>
          <w:ilvl w:val="0"/>
          <w:numId w:val="2"/>
        </w:numPr>
        <w:ind w:left="426"/>
        <w:rPr>
          <w:rFonts w:cstheme="minorHAnsi"/>
        </w:rPr>
      </w:pPr>
      <w:r w:rsidRPr="00756F68">
        <w:rPr>
          <w:rFonts w:cstheme="minorHAnsi"/>
        </w:rPr>
        <w:t xml:space="preserve">This template collects the impacts on the EVE, NII and MV under widening and tightening spread scenarios according to the bank´s CSRBB Internal Measurement System (IMS). </w:t>
      </w:r>
    </w:p>
    <w:p w14:paraId="60F7C1F8" w14:textId="1D2AB6FA" w:rsidR="00CC36ED" w:rsidRPr="00756F68" w:rsidRDefault="00CC36ED" w:rsidP="00A40857">
      <w:pPr>
        <w:pStyle w:val="numberedparagraph"/>
        <w:numPr>
          <w:ilvl w:val="0"/>
          <w:numId w:val="2"/>
        </w:numPr>
        <w:ind w:left="426"/>
        <w:rPr>
          <w:rFonts w:cstheme="minorHAnsi"/>
        </w:rPr>
      </w:pPr>
      <w:r w:rsidRPr="00756F68">
        <w:rPr>
          <w:rFonts w:cstheme="minorHAnsi"/>
        </w:rPr>
        <w:t>The effect of accounting hedges (on CSRBB) should be reported separately for the derivative and the non-derivative leg, i.e. the impact on assets such as bonds should be reported without the accounting hedge and the corresponding derivatives (the “hedge”) should be reported under derivatives.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6"/>
        <w:gridCol w:w="2437"/>
        <w:gridCol w:w="5493"/>
      </w:tblGrid>
      <w:tr w:rsidR="00CC36ED" w:rsidRPr="00756F68" w14:paraId="55045B5A" w14:textId="77777777" w:rsidTr="004B29A3">
        <w:trPr>
          <w:cantSplit/>
          <w:trHeight w:val="325"/>
          <w:tblHeader/>
        </w:trPr>
        <w:tc>
          <w:tcPr>
            <w:tcW w:w="996" w:type="dxa"/>
            <w:hideMark/>
          </w:tcPr>
          <w:p w14:paraId="7D04C9A3" w14:textId="77777777" w:rsidR="00CC36ED" w:rsidRPr="002B06E9" w:rsidRDefault="00CC36ED" w:rsidP="00A40857">
            <w:pPr>
              <w:pStyle w:val="body"/>
              <w:spacing w:before="120" w:line="240" w:lineRule="auto"/>
              <w:rPr>
                <w:rFonts w:cstheme="minorHAnsi"/>
                <w:b/>
                <w:bCs/>
                <w:lang w:val="en-GB"/>
              </w:rPr>
            </w:pPr>
            <w:r w:rsidRPr="002B06E9">
              <w:rPr>
                <w:rFonts w:cstheme="minorHAnsi"/>
                <w:b/>
                <w:bCs/>
                <w:lang w:val="en-GB"/>
              </w:rPr>
              <w:t>Column</w:t>
            </w:r>
          </w:p>
        </w:tc>
        <w:tc>
          <w:tcPr>
            <w:tcW w:w="2437" w:type="dxa"/>
            <w:hideMark/>
          </w:tcPr>
          <w:p w14:paraId="3BB87411" w14:textId="77777777" w:rsidR="00CC36ED" w:rsidRPr="002B06E9" w:rsidRDefault="00CC36ED" w:rsidP="00A40857">
            <w:pPr>
              <w:pStyle w:val="body"/>
              <w:spacing w:before="120" w:line="240" w:lineRule="auto"/>
              <w:rPr>
                <w:rFonts w:cstheme="minorHAnsi"/>
                <w:b/>
                <w:bCs/>
                <w:lang w:val="en-GB"/>
              </w:rPr>
            </w:pPr>
            <w:r w:rsidRPr="002B06E9">
              <w:rPr>
                <w:rFonts w:cstheme="minorHAnsi"/>
                <w:b/>
                <w:bCs/>
                <w:lang w:val="en-GB"/>
              </w:rPr>
              <w:t>Heading</w:t>
            </w:r>
          </w:p>
        </w:tc>
        <w:tc>
          <w:tcPr>
            <w:tcW w:w="5493" w:type="dxa"/>
            <w:hideMark/>
          </w:tcPr>
          <w:p w14:paraId="2E4981C6" w14:textId="77777777" w:rsidR="00CC36ED" w:rsidRPr="002B06E9" w:rsidRDefault="00CC36ED" w:rsidP="00A40857">
            <w:pPr>
              <w:pStyle w:val="body"/>
              <w:spacing w:before="120" w:line="240" w:lineRule="auto"/>
              <w:rPr>
                <w:rFonts w:cstheme="minorHAnsi"/>
                <w:b/>
                <w:bCs/>
                <w:lang w:val="en-GB"/>
              </w:rPr>
            </w:pPr>
            <w:r w:rsidRPr="002B06E9">
              <w:rPr>
                <w:rFonts w:cstheme="minorHAnsi"/>
                <w:b/>
                <w:bCs/>
                <w:lang w:val="en-GB"/>
              </w:rPr>
              <w:t>Description</w:t>
            </w:r>
          </w:p>
        </w:tc>
      </w:tr>
      <w:tr w:rsidR="00CC36ED" w:rsidRPr="00756F68" w14:paraId="6F92EAFF" w14:textId="77777777" w:rsidTr="004B29A3">
        <w:trPr>
          <w:cantSplit/>
        </w:trPr>
        <w:tc>
          <w:tcPr>
            <w:tcW w:w="996" w:type="dxa"/>
          </w:tcPr>
          <w:p w14:paraId="23315E0B" w14:textId="48CDEE2E" w:rsidR="00CC36ED" w:rsidRPr="00E61ECA" w:rsidRDefault="00E61ECA" w:rsidP="00A40857">
            <w:pPr>
              <w:pStyle w:val="body"/>
              <w:spacing w:before="120" w:line="240" w:lineRule="auto"/>
              <w:rPr>
                <w:rFonts w:cstheme="minorHAnsi"/>
                <w:lang w:val="en-GB"/>
              </w:rPr>
            </w:pPr>
            <w:r w:rsidRPr="00E61ECA">
              <w:rPr>
                <w:rFonts w:cstheme="minorHAnsi"/>
                <w:lang w:val="en-GB"/>
              </w:rPr>
              <w:t>0010</w:t>
            </w:r>
          </w:p>
        </w:tc>
        <w:tc>
          <w:tcPr>
            <w:tcW w:w="2437" w:type="dxa"/>
          </w:tcPr>
          <w:p w14:paraId="37F19760" w14:textId="36521A2A" w:rsidR="00CC36ED" w:rsidRPr="00E61ECA" w:rsidRDefault="00E61ECA" w:rsidP="00A40857">
            <w:pPr>
              <w:pStyle w:val="body"/>
              <w:spacing w:before="120" w:line="240" w:lineRule="auto"/>
              <w:rPr>
                <w:rFonts w:cstheme="minorHAnsi"/>
                <w:lang w:val="en-GB"/>
              </w:rPr>
            </w:pPr>
            <w:r w:rsidRPr="00E61ECA">
              <w:rPr>
                <w:rFonts w:cstheme="minorHAnsi"/>
                <w:lang w:val="en-GB"/>
              </w:rPr>
              <w:t>Level of EVE for IRRBB – baseline scenario</w:t>
            </w:r>
          </w:p>
        </w:tc>
        <w:tc>
          <w:tcPr>
            <w:tcW w:w="5493" w:type="dxa"/>
          </w:tcPr>
          <w:p w14:paraId="4A490D60" w14:textId="14837138" w:rsidR="00433D86" w:rsidRPr="00433D86" w:rsidRDefault="00433D86" w:rsidP="00A40857">
            <w:pPr>
              <w:pStyle w:val="body"/>
              <w:spacing w:before="120" w:line="240" w:lineRule="auto"/>
              <w:rPr>
                <w:rFonts w:cstheme="minorHAnsi"/>
                <w:b/>
                <w:bCs/>
                <w:lang w:val="en-GB"/>
              </w:rPr>
            </w:pPr>
            <w:r w:rsidRPr="00433D86">
              <w:rPr>
                <w:rFonts w:cstheme="minorHAnsi"/>
                <w:lang w:val="en-GB"/>
              </w:rPr>
              <w:t>EVE level under the baseline</w:t>
            </w:r>
            <w:r>
              <w:rPr>
                <w:rFonts w:cstheme="minorHAnsi"/>
                <w:lang w:val="en-GB"/>
              </w:rPr>
              <w:t xml:space="preserve"> </w:t>
            </w:r>
            <w:r w:rsidRPr="00433D86">
              <w:rPr>
                <w:rFonts w:cstheme="minorHAnsi"/>
                <w:lang w:val="en-GB"/>
              </w:rPr>
              <w:t>interest rate scenarios of the reference date.</w:t>
            </w:r>
          </w:p>
        </w:tc>
      </w:tr>
      <w:tr w:rsidR="00CC36ED" w:rsidRPr="00756F68" w14:paraId="4CFC8618" w14:textId="77777777" w:rsidTr="004B29A3">
        <w:trPr>
          <w:cantSplit/>
        </w:trPr>
        <w:tc>
          <w:tcPr>
            <w:tcW w:w="996" w:type="dxa"/>
          </w:tcPr>
          <w:p w14:paraId="724E31A5" w14:textId="5D000EC7" w:rsidR="00CC36ED" w:rsidRPr="00E61ECA" w:rsidRDefault="00E61ECA" w:rsidP="00A40857">
            <w:pPr>
              <w:pStyle w:val="body"/>
              <w:spacing w:before="120" w:line="240" w:lineRule="auto"/>
              <w:rPr>
                <w:rFonts w:cstheme="minorHAnsi"/>
                <w:lang w:val="en-GB"/>
              </w:rPr>
            </w:pPr>
            <w:r w:rsidRPr="00E61ECA">
              <w:rPr>
                <w:rFonts w:cstheme="minorHAnsi"/>
                <w:lang w:val="en-GB"/>
              </w:rPr>
              <w:t xml:space="preserve">0020, 0050, 0080 </w:t>
            </w:r>
          </w:p>
        </w:tc>
        <w:tc>
          <w:tcPr>
            <w:tcW w:w="2437" w:type="dxa"/>
          </w:tcPr>
          <w:p w14:paraId="3CD36E45" w14:textId="2E7661E6" w:rsidR="00CC36ED" w:rsidRPr="00E61ECA" w:rsidRDefault="00E61ECA" w:rsidP="00A40857">
            <w:pPr>
              <w:pStyle w:val="body"/>
              <w:spacing w:before="120" w:line="240" w:lineRule="auto"/>
              <w:rPr>
                <w:rFonts w:cstheme="minorHAnsi"/>
                <w:lang w:val="en-GB"/>
              </w:rPr>
            </w:pPr>
            <w:r w:rsidRPr="00E61ECA">
              <w:rPr>
                <w:rFonts w:cstheme="minorHAnsi"/>
                <w:lang w:val="en-GB"/>
              </w:rPr>
              <w:t>Level of EVE, NII, MVC – baseline scenario</w:t>
            </w:r>
          </w:p>
        </w:tc>
        <w:tc>
          <w:tcPr>
            <w:tcW w:w="5493" w:type="dxa"/>
          </w:tcPr>
          <w:p w14:paraId="39400D05" w14:textId="77777777" w:rsidR="00433D86" w:rsidRDefault="00433D86" w:rsidP="00A40857">
            <w:pPr>
              <w:pStyle w:val="body"/>
              <w:spacing w:before="120" w:line="240" w:lineRule="auto"/>
              <w:rPr>
                <w:rFonts w:cstheme="minorHAnsi"/>
                <w:lang w:val="en-GB"/>
              </w:rPr>
            </w:pPr>
            <w:r w:rsidRPr="00433D86">
              <w:rPr>
                <w:rFonts w:cstheme="minorHAnsi"/>
                <w:lang w:val="en-GB"/>
              </w:rPr>
              <w:t>EVE, NII and MVC levels under the baseline credit spread scenarios of the reference date.</w:t>
            </w:r>
          </w:p>
          <w:p w14:paraId="163A1321" w14:textId="69404817" w:rsidR="00E47410" w:rsidRPr="00E61ECA" w:rsidRDefault="00E47410" w:rsidP="00A40857">
            <w:pPr>
              <w:pStyle w:val="body"/>
              <w:spacing w:before="120" w:line="240" w:lineRule="auto"/>
              <w:rPr>
                <w:rFonts w:cstheme="minorHAnsi"/>
                <w:lang w:val="en-GB"/>
              </w:rPr>
            </w:pPr>
            <w:r>
              <w:rPr>
                <w:rFonts w:cstheme="minorHAnsi"/>
                <w:lang w:val="en-GB"/>
              </w:rPr>
              <w:t>Note : the level of EVE reported in column 0020 is expected to be the same as the EVE reported in column 0010. When institutions report different figures in these columns, they should explain as appropriate in template 4, point 12 and 13.</w:t>
            </w:r>
          </w:p>
        </w:tc>
      </w:tr>
      <w:tr w:rsidR="00CC36ED" w:rsidRPr="00756F68" w14:paraId="16EA3674" w14:textId="77777777" w:rsidTr="004B29A3">
        <w:trPr>
          <w:cantSplit/>
        </w:trPr>
        <w:tc>
          <w:tcPr>
            <w:tcW w:w="996" w:type="dxa"/>
          </w:tcPr>
          <w:p w14:paraId="403F2C20" w14:textId="42A5F100" w:rsidR="00CC36ED" w:rsidRPr="00E61ECA" w:rsidRDefault="00E61ECA" w:rsidP="00A40857">
            <w:pPr>
              <w:pStyle w:val="body"/>
              <w:spacing w:before="120" w:line="240" w:lineRule="auto"/>
              <w:rPr>
                <w:rFonts w:cstheme="minorHAnsi"/>
                <w:lang w:val="en-GB"/>
              </w:rPr>
            </w:pPr>
            <w:r w:rsidRPr="00E61ECA">
              <w:rPr>
                <w:rFonts w:cstheme="minorHAnsi"/>
                <w:lang w:val="en-GB"/>
              </w:rPr>
              <w:t>0030, 0040</w:t>
            </w:r>
          </w:p>
        </w:tc>
        <w:tc>
          <w:tcPr>
            <w:tcW w:w="2437" w:type="dxa"/>
          </w:tcPr>
          <w:p w14:paraId="528CA2BD" w14:textId="77777777" w:rsidR="00CC36ED" w:rsidRPr="00E61ECA" w:rsidRDefault="00CC36ED" w:rsidP="00A40857">
            <w:pPr>
              <w:pStyle w:val="body"/>
              <w:spacing w:before="120" w:line="240" w:lineRule="auto"/>
              <w:rPr>
                <w:rFonts w:cstheme="minorHAnsi"/>
                <w:lang w:val="en-GB"/>
              </w:rPr>
            </w:pPr>
            <w:r w:rsidRPr="00E61ECA">
              <w:rPr>
                <w:rFonts w:cstheme="minorHAnsi"/>
                <w:lang w:val="en-GB"/>
              </w:rPr>
              <w:t>Delta EVE</w:t>
            </w:r>
          </w:p>
        </w:tc>
        <w:tc>
          <w:tcPr>
            <w:tcW w:w="5493" w:type="dxa"/>
          </w:tcPr>
          <w:p w14:paraId="784C01B3" w14:textId="2A9BD3DA" w:rsidR="00CC36ED" w:rsidRPr="00E61ECA" w:rsidRDefault="00CC36ED" w:rsidP="00A40857">
            <w:pPr>
              <w:pStyle w:val="body"/>
              <w:spacing w:before="120" w:line="240" w:lineRule="auto"/>
              <w:rPr>
                <w:rFonts w:cstheme="minorHAnsi"/>
                <w:lang w:val="en-GB"/>
              </w:rPr>
            </w:pPr>
            <w:r w:rsidRPr="00E61ECA">
              <w:rPr>
                <w:rFonts w:cstheme="minorHAnsi"/>
                <w:lang w:val="en-GB"/>
              </w:rPr>
              <w:t>Report the effect of the spread scenario on EVE</w:t>
            </w:r>
            <w:r w:rsidR="00E61ECA" w:rsidRPr="00E61ECA">
              <w:rPr>
                <w:rFonts w:cstheme="minorHAnsi"/>
                <w:lang w:val="en-GB"/>
              </w:rPr>
              <w:t xml:space="preserve"> as per the IMS’s main spread (widening and tightening) scenarios of </w:t>
            </w:r>
            <w:r w:rsidR="00433D86">
              <w:rPr>
                <w:rFonts w:cstheme="minorHAnsi"/>
                <w:lang w:val="en-GB"/>
              </w:rPr>
              <w:t xml:space="preserve">the reference date. </w:t>
            </w:r>
          </w:p>
        </w:tc>
      </w:tr>
      <w:tr w:rsidR="00CC36ED" w:rsidRPr="00756F68" w14:paraId="688BDFE5" w14:textId="77777777" w:rsidTr="004B29A3">
        <w:trPr>
          <w:cantSplit/>
        </w:trPr>
        <w:tc>
          <w:tcPr>
            <w:tcW w:w="996" w:type="dxa"/>
          </w:tcPr>
          <w:p w14:paraId="3237AE86" w14:textId="34B26542" w:rsidR="00CC36ED" w:rsidRPr="00E61ECA" w:rsidRDefault="00E61ECA" w:rsidP="00A40857">
            <w:pPr>
              <w:pStyle w:val="body"/>
              <w:spacing w:before="120" w:line="240" w:lineRule="auto"/>
              <w:rPr>
                <w:rFonts w:cstheme="minorHAnsi"/>
                <w:lang w:val="en-GB"/>
              </w:rPr>
            </w:pPr>
            <w:r w:rsidRPr="00E61ECA">
              <w:rPr>
                <w:rFonts w:cstheme="minorHAnsi"/>
                <w:lang w:val="en-GB"/>
              </w:rPr>
              <w:t>0060, 0070</w:t>
            </w:r>
          </w:p>
        </w:tc>
        <w:tc>
          <w:tcPr>
            <w:tcW w:w="2437" w:type="dxa"/>
          </w:tcPr>
          <w:p w14:paraId="1D2F0EDE" w14:textId="77777777" w:rsidR="00CC36ED" w:rsidRPr="00E61ECA" w:rsidRDefault="00CC36ED" w:rsidP="00A40857">
            <w:pPr>
              <w:pStyle w:val="body"/>
              <w:spacing w:before="120" w:line="240" w:lineRule="auto"/>
              <w:rPr>
                <w:rFonts w:cstheme="minorHAnsi"/>
                <w:lang w:val="en-GB"/>
              </w:rPr>
            </w:pPr>
            <w:r w:rsidRPr="00E61ECA">
              <w:rPr>
                <w:rFonts w:cstheme="minorHAnsi"/>
                <w:lang w:val="en-GB"/>
              </w:rPr>
              <w:t>Delta NII</w:t>
            </w:r>
          </w:p>
        </w:tc>
        <w:tc>
          <w:tcPr>
            <w:tcW w:w="5493" w:type="dxa"/>
          </w:tcPr>
          <w:p w14:paraId="315A195D" w14:textId="7D4DB25F" w:rsidR="00CC36ED" w:rsidRPr="00E61ECA" w:rsidRDefault="00CC36ED" w:rsidP="00A40857">
            <w:pPr>
              <w:pStyle w:val="body"/>
              <w:spacing w:before="120" w:line="240" w:lineRule="auto"/>
              <w:rPr>
                <w:rFonts w:cstheme="minorHAnsi"/>
                <w:lang w:val="en-GB"/>
              </w:rPr>
            </w:pPr>
            <w:r w:rsidRPr="00E61ECA">
              <w:rPr>
                <w:rFonts w:cstheme="minorHAnsi"/>
                <w:lang w:val="en-GB"/>
              </w:rPr>
              <w:t>Report the effect of the spread scenario on NII</w:t>
            </w:r>
            <w:r w:rsidR="00E61ECA" w:rsidRPr="00E61ECA">
              <w:rPr>
                <w:rFonts w:cstheme="minorHAnsi"/>
                <w:lang w:val="en-GB"/>
              </w:rPr>
              <w:t xml:space="preserve"> as per the IMS’s main spread (widening and tightening)  scenarios </w:t>
            </w:r>
            <w:r w:rsidR="00433D86" w:rsidRPr="00E61ECA">
              <w:rPr>
                <w:rFonts w:cstheme="minorHAnsi"/>
                <w:lang w:val="en-GB"/>
              </w:rPr>
              <w:t xml:space="preserve">of </w:t>
            </w:r>
            <w:r w:rsidR="00433D86">
              <w:rPr>
                <w:rFonts w:cstheme="minorHAnsi"/>
                <w:lang w:val="en-GB"/>
              </w:rPr>
              <w:t>the reference date.</w:t>
            </w:r>
          </w:p>
        </w:tc>
      </w:tr>
      <w:tr w:rsidR="00CC36ED" w:rsidRPr="00756F68" w14:paraId="55C5BC98" w14:textId="77777777" w:rsidTr="004B29A3">
        <w:trPr>
          <w:cantSplit/>
        </w:trPr>
        <w:tc>
          <w:tcPr>
            <w:tcW w:w="996" w:type="dxa"/>
          </w:tcPr>
          <w:p w14:paraId="59194F99" w14:textId="11B4BD52" w:rsidR="00CC36ED" w:rsidRPr="00E61ECA" w:rsidRDefault="00E61ECA" w:rsidP="00A40857">
            <w:pPr>
              <w:pStyle w:val="body"/>
              <w:spacing w:before="120" w:line="240" w:lineRule="auto"/>
              <w:rPr>
                <w:rFonts w:cstheme="minorHAnsi"/>
                <w:lang w:val="en-GB"/>
              </w:rPr>
            </w:pPr>
            <w:r w:rsidRPr="00E61ECA">
              <w:rPr>
                <w:rFonts w:cstheme="minorHAnsi"/>
                <w:lang w:val="en-GB"/>
              </w:rPr>
              <w:t>0090, 0100</w:t>
            </w:r>
          </w:p>
        </w:tc>
        <w:tc>
          <w:tcPr>
            <w:tcW w:w="2437" w:type="dxa"/>
          </w:tcPr>
          <w:p w14:paraId="3B0F80A4" w14:textId="77777777" w:rsidR="00CC36ED" w:rsidRPr="00E61ECA" w:rsidRDefault="00CC36ED" w:rsidP="00A40857">
            <w:pPr>
              <w:pStyle w:val="body"/>
              <w:spacing w:before="120" w:line="240" w:lineRule="auto"/>
              <w:rPr>
                <w:rFonts w:cstheme="minorHAnsi"/>
                <w:lang w:val="en-GB"/>
              </w:rPr>
            </w:pPr>
            <w:r w:rsidRPr="00E61ECA">
              <w:rPr>
                <w:rFonts w:cstheme="minorHAnsi"/>
                <w:lang w:val="en-GB"/>
              </w:rPr>
              <w:t xml:space="preserve">Delta MV </w:t>
            </w:r>
          </w:p>
        </w:tc>
        <w:tc>
          <w:tcPr>
            <w:tcW w:w="5493" w:type="dxa"/>
          </w:tcPr>
          <w:p w14:paraId="5CC6E82C" w14:textId="38A288BF" w:rsidR="00CC36ED" w:rsidRPr="00E61ECA" w:rsidRDefault="00CC36ED" w:rsidP="00A40857">
            <w:pPr>
              <w:pStyle w:val="body"/>
              <w:spacing w:before="120" w:line="240" w:lineRule="auto"/>
              <w:rPr>
                <w:rFonts w:cstheme="minorHAnsi"/>
                <w:lang w:val="en-GB"/>
              </w:rPr>
            </w:pPr>
            <w:r w:rsidRPr="00E61ECA">
              <w:rPr>
                <w:rFonts w:cstheme="minorHAnsi"/>
                <w:lang w:val="en-GB"/>
              </w:rPr>
              <w:t>Report the effect of the spread scenario on the market value of instruments accounted at fair value according to their applicable accounting standard (IFRS or national GAAP)</w:t>
            </w:r>
            <w:r w:rsidR="00433D86">
              <w:rPr>
                <w:rFonts w:cstheme="minorHAnsi"/>
                <w:lang w:val="en-GB"/>
              </w:rPr>
              <w:t xml:space="preserve"> </w:t>
            </w:r>
            <w:r w:rsidR="00433D86" w:rsidRPr="00E61ECA">
              <w:rPr>
                <w:rFonts w:cstheme="minorHAnsi"/>
                <w:lang w:val="en-GB"/>
              </w:rPr>
              <w:t xml:space="preserve">as per the IMS’s main spread (widening and tightening)  scenarios of </w:t>
            </w:r>
            <w:r w:rsidR="00433D86">
              <w:rPr>
                <w:rFonts w:cstheme="minorHAnsi"/>
                <w:lang w:val="en-GB"/>
              </w:rPr>
              <w:t>the reference date.</w:t>
            </w:r>
          </w:p>
        </w:tc>
      </w:tr>
    </w:tbl>
    <w:p w14:paraId="04EFC27C" w14:textId="09B3F2E2" w:rsidR="00CC36ED" w:rsidRPr="00756F68" w:rsidRDefault="00CC36ED" w:rsidP="00A40857">
      <w:pPr>
        <w:jc w:val="both"/>
        <w:rPr>
          <w:rFonts w:cstheme="minorHAnsi"/>
        </w:rPr>
      </w:pPr>
    </w:p>
    <w:p w14:paraId="1C297609" w14:textId="468D99F5" w:rsidR="00E12E85" w:rsidRPr="00756F68" w:rsidRDefault="007C7514" w:rsidP="00A40857">
      <w:pPr>
        <w:pStyle w:val="numberedparagraph"/>
        <w:numPr>
          <w:ilvl w:val="0"/>
          <w:numId w:val="2"/>
        </w:numPr>
        <w:ind w:left="426"/>
        <w:rPr>
          <w:rFonts w:cstheme="minorHAnsi"/>
        </w:rPr>
      </w:pPr>
      <w:r w:rsidRPr="00756F68">
        <w:rPr>
          <w:rFonts w:cstheme="minorHAnsi"/>
        </w:rPr>
        <w:t>For definition of rows, p</w:t>
      </w:r>
      <w:r w:rsidR="00410439" w:rsidRPr="00756F68">
        <w:rPr>
          <w:rFonts w:cstheme="minorHAnsi"/>
        </w:rPr>
        <w:t>lease refer to the instruction provided for template ‘</w:t>
      </w:r>
      <w:r w:rsidRPr="00756F68">
        <w:rPr>
          <w:rFonts w:cstheme="minorHAnsi"/>
        </w:rPr>
        <w:t>1_</w:t>
      </w:r>
      <w:r w:rsidR="00410439" w:rsidRPr="00756F68">
        <w:rPr>
          <w:rFonts w:cstheme="minorHAnsi"/>
        </w:rPr>
        <w:t xml:space="preserve">IRRBB and CSRBB mapping'. </w:t>
      </w:r>
      <w:r w:rsidR="00D62C01" w:rsidRPr="00756F68">
        <w:rPr>
          <w:rFonts w:cstheme="minorHAnsi"/>
        </w:rPr>
        <w:t>For the m</w:t>
      </w:r>
      <w:r w:rsidR="00410439" w:rsidRPr="00756F68">
        <w:rPr>
          <w:rFonts w:cstheme="minorHAnsi"/>
        </w:rPr>
        <w:t>emorandum items</w:t>
      </w:r>
      <w:r w:rsidR="00D62C01" w:rsidRPr="00756F68">
        <w:rPr>
          <w:rFonts w:cstheme="minorHAnsi"/>
        </w:rPr>
        <w:t>, please refer to the table below.</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6"/>
        <w:gridCol w:w="2437"/>
        <w:gridCol w:w="5493"/>
      </w:tblGrid>
      <w:tr w:rsidR="00E12E85" w:rsidRPr="00756F68" w14:paraId="1506240C" w14:textId="77777777" w:rsidTr="004B29A3">
        <w:trPr>
          <w:cantSplit/>
          <w:trHeight w:val="325"/>
          <w:tblHeader/>
        </w:trPr>
        <w:tc>
          <w:tcPr>
            <w:tcW w:w="996" w:type="dxa"/>
            <w:hideMark/>
          </w:tcPr>
          <w:p w14:paraId="4C2ADE2F" w14:textId="0791639B" w:rsidR="00E12E85" w:rsidRPr="00756F68" w:rsidRDefault="00E12E85" w:rsidP="00A40857">
            <w:pPr>
              <w:pStyle w:val="body"/>
              <w:spacing w:before="120" w:line="240" w:lineRule="auto"/>
              <w:rPr>
                <w:rFonts w:cstheme="minorHAnsi"/>
                <w:b/>
                <w:bCs/>
                <w:lang w:val="en-GB"/>
              </w:rPr>
            </w:pPr>
            <w:r w:rsidRPr="00756F68">
              <w:rPr>
                <w:rFonts w:cstheme="minorHAnsi"/>
                <w:b/>
                <w:bCs/>
                <w:lang w:val="en-GB"/>
              </w:rPr>
              <w:lastRenderedPageBreak/>
              <w:t>Row</w:t>
            </w:r>
          </w:p>
        </w:tc>
        <w:tc>
          <w:tcPr>
            <w:tcW w:w="2437" w:type="dxa"/>
            <w:hideMark/>
          </w:tcPr>
          <w:p w14:paraId="239A9900" w14:textId="77777777" w:rsidR="00E12E85" w:rsidRPr="00756F68" w:rsidRDefault="00E12E85" w:rsidP="00A40857">
            <w:pPr>
              <w:pStyle w:val="body"/>
              <w:spacing w:before="120" w:line="240" w:lineRule="auto"/>
              <w:rPr>
                <w:rFonts w:cstheme="minorHAnsi"/>
                <w:b/>
                <w:bCs/>
                <w:lang w:val="en-GB"/>
              </w:rPr>
            </w:pPr>
            <w:r w:rsidRPr="00756F68">
              <w:rPr>
                <w:rFonts w:cstheme="minorHAnsi"/>
                <w:b/>
                <w:bCs/>
                <w:lang w:val="en-GB"/>
              </w:rPr>
              <w:t>Heading</w:t>
            </w:r>
          </w:p>
        </w:tc>
        <w:tc>
          <w:tcPr>
            <w:tcW w:w="5493" w:type="dxa"/>
            <w:hideMark/>
          </w:tcPr>
          <w:p w14:paraId="7CEC6C5D" w14:textId="77777777" w:rsidR="00E12E85" w:rsidRPr="00756F68" w:rsidRDefault="00E12E85" w:rsidP="00A40857">
            <w:pPr>
              <w:pStyle w:val="body"/>
              <w:spacing w:before="120" w:line="240" w:lineRule="auto"/>
              <w:rPr>
                <w:rFonts w:cstheme="minorHAnsi"/>
                <w:b/>
                <w:bCs/>
                <w:szCs w:val="22"/>
                <w:lang w:val="en-GB"/>
              </w:rPr>
            </w:pPr>
            <w:r w:rsidRPr="00756F68">
              <w:rPr>
                <w:rFonts w:cstheme="minorHAnsi"/>
                <w:b/>
                <w:bCs/>
                <w:szCs w:val="22"/>
                <w:lang w:val="en-GB"/>
              </w:rPr>
              <w:t>Description</w:t>
            </w:r>
          </w:p>
        </w:tc>
      </w:tr>
      <w:tr w:rsidR="009003E4" w:rsidRPr="00756F68" w14:paraId="53ACC23A" w14:textId="77777777" w:rsidTr="008806B0">
        <w:trPr>
          <w:cantSplit/>
        </w:trPr>
        <w:tc>
          <w:tcPr>
            <w:tcW w:w="996" w:type="dxa"/>
          </w:tcPr>
          <w:p w14:paraId="2D671C18" w14:textId="3C5BB1EE" w:rsidR="009003E4" w:rsidRDefault="009003E4" w:rsidP="009003E4">
            <w:pPr>
              <w:pStyle w:val="body"/>
              <w:spacing w:before="120" w:line="240" w:lineRule="auto"/>
              <w:rPr>
                <w:rFonts w:cstheme="minorHAnsi"/>
                <w:lang w:val="en-GB"/>
              </w:rPr>
            </w:pPr>
            <w:r>
              <w:rPr>
                <w:rFonts w:cstheme="minorHAnsi"/>
                <w:lang w:val="en-GB"/>
              </w:rPr>
              <w:t>0140, 0250</w:t>
            </w:r>
          </w:p>
        </w:tc>
        <w:tc>
          <w:tcPr>
            <w:tcW w:w="2437" w:type="dxa"/>
            <w:tcBorders>
              <w:top w:val="single" w:sz="4" w:space="0" w:color="auto"/>
              <w:left w:val="single" w:sz="4" w:space="0" w:color="auto"/>
              <w:bottom w:val="single" w:sz="4" w:space="0" w:color="auto"/>
              <w:right w:val="single" w:sz="4" w:space="0" w:color="auto"/>
            </w:tcBorders>
            <w:shd w:val="clear" w:color="auto" w:fill="auto"/>
          </w:tcPr>
          <w:p w14:paraId="67AD9D22" w14:textId="24C5D62C" w:rsidR="009003E4" w:rsidRDefault="009003E4" w:rsidP="009003E4">
            <w:pPr>
              <w:pStyle w:val="body"/>
              <w:spacing w:before="120" w:line="240" w:lineRule="auto"/>
              <w:rPr>
                <w:rFonts w:cstheme="minorHAnsi"/>
                <w:lang w:val="en-GB"/>
              </w:rPr>
            </w:pPr>
            <w:r>
              <w:rPr>
                <w:rFonts w:cstheme="minorHAnsi"/>
                <w:lang w:val="en-GB"/>
              </w:rPr>
              <w:t>Of which : underlying subject to CSRBB</w:t>
            </w:r>
          </w:p>
        </w:tc>
        <w:tc>
          <w:tcPr>
            <w:tcW w:w="5493" w:type="dxa"/>
          </w:tcPr>
          <w:p w14:paraId="0A720815" w14:textId="54B6203D" w:rsidR="009003E4" w:rsidRPr="00E47410" w:rsidRDefault="009003E4" w:rsidP="009003E4">
            <w:pPr>
              <w:pStyle w:val="body"/>
              <w:spacing w:before="120" w:line="240" w:lineRule="auto"/>
              <w:rPr>
                <w:rStyle w:val="InstructionsTabelleberschrift"/>
                <w:rFonts w:asciiTheme="minorHAnsi" w:hAnsiTheme="minorHAnsi" w:cstheme="minorHAnsi"/>
                <w:b w:val="0"/>
                <w:bCs w:val="0"/>
                <w:sz w:val="22"/>
                <w:u w:val="none"/>
              </w:rPr>
            </w:pPr>
            <w:r w:rsidRPr="00E47410">
              <w:rPr>
                <w:rStyle w:val="InstructionsTabelleberschrift"/>
                <w:rFonts w:asciiTheme="minorHAnsi" w:hAnsiTheme="minorHAnsi" w:cstheme="minorHAnsi"/>
                <w:b w:val="0"/>
                <w:bCs w:val="0"/>
                <w:sz w:val="22"/>
                <w:u w:val="none"/>
              </w:rPr>
              <w:t xml:space="preserve">Report the subtotal of derivative transactions defined in accordance with point (29) of Article 2(1) of Regulation (EU) No 600/2014 of the European Parliament and of the Council. Institutions shall report derivatives held under hedge accounting regime or economic hedges as defined in </w:t>
            </w:r>
            <w:r w:rsidRPr="00E47410">
              <w:rPr>
                <w:rStyle w:val="InstructionsTabelleberschrift"/>
                <w:rFonts w:asciiTheme="minorHAnsi" w:hAnsiTheme="minorHAnsi" w:cstheme="minorHAnsi"/>
                <w:b w:val="0"/>
                <w:bCs w:val="0"/>
                <w:sz w:val="22"/>
                <w:szCs w:val="22"/>
                <w:u w:val="none"/>
              </w:rPr>
              <w:t>Annex V of the ITS on supervisory reporting</w:t>
            </w:r>
            <w:r w:rsidRPr="00E47410">
              <w:rPr>
                <w:rStyle w:val="InstructionsTabelleberschrift"/>
                <w:rFonts w:asciiTheme="minorHAnsi" w:hAnsiTheme="minorHAnsi" w:cstheme="minorHAnsi"/>
                <w:b w:val="0"/>
                <w:bCs w:val="0"/>
                <w:sz w:val="22"/>
                <w:u w:val="none"/>
              </w:rPr>
              <w:t xml:space="preserve">, under the applicable accounting framework, the hedged </w:t>
            </w:r>
            <w:r>
              <w:rPr>
                <w:rStyle w:val="InstructionsTabelleberschrift"/>
                <w:rFonts w:asciiTheme="minorHAnsi" w:hAnsiTheme="minorHAnsi" w:cstheme="minorHAnsi"/>
                <w:b w:val="0"/>
                <w:bCs w:val="0"/>
                <w:sz w:val="22"/>
                <w:u w:val="none"/>
              </w:rPr>
              <w:t xml:space="preserve">risk being </w:t>
            </w:r>
            <w:r w:rsidRPr="00E47410">
              <w:rPr>
                <w:rStyle w:val="InstructionsTabelleberschrift"/>
                <w:rFonts w:asciiTheme="minorHAnsi" w:hAnsiTheme="minorHAnsi" w:cstheme="minorHAnsi"/>
                <w:b w:val="0"/>
                <w:bCs w:val="0"/>
                <w:sz w:val="22"/>
                <w:u w:val="none"/>
              </w:rPr>
              <w:t>credit spread risk</w:t>
            </w:r>
            <w:r w:rsidRPr="00E47410">
              <w:rPr>
                <w:rStyle w:val="InstructionsTabelleberschrift"/>
                <w:rFonts w:asciiTheme="minorHAnsi" w:hAnsiTheme="minorHAnsi" w:cstheme="minorHAnsi"/>
                <w:b w:val="0"/>
                <w:bCs w:val="0"/>
                <w:sz w:val="22"/>
                <w:szCs w:val="22"/>
                <w:u w:val="none"/>
              </w:rPr>
              <w:t>.</w:t>
            </w:r>
          </w:p>
        </w:tc>
      </w:tr>
      <w:tr w:rsidR="009003E4" w:rsidRPr="00756F68" w14:paraId="6C116AD9" w14:textId="77777777" w:rsidTr="008806B0">
        <w:trPr>
          <w:cantSplit/>
        </w:trPr>
        <w:tc>
          <w:tcPr>
            <w:tcW w:w="996" w:type="dxa"/>
          </w:tcPr>
          <w:p w14:paraId="6DC01A49" w14:textId="157EEAAE" w:rsidR="009003E4" w:rsidRPr="00756F68" w:rsidRDefault="003F61D5" w:rsidP="009003E4">
            <w:pPr>
              <w:pStyle w:val="body"/>
              <w:spacing w:before="120" w:line="240" w:lineRule="auto"/>
              <w:rPr>
                <w:rFonts w:cstheme="minorHAnsi"/>
                <w:lang w:val="en-GB"/>
              </w:rPr>
            </w:pPr>
            <w:r>
              <w:rPr>
                <w:rFonts w:cstheme="minorHAnsi"/>
                <w:lang w:val="en-GB"/>
              </w:rPr>
              <w:t>0200</w:t>
            </w:r>
          </w:p>
        </w:tc>
        <w:tc>
          <w:tcPr>
            <w:tcW w:w="2437" w:type="dxa"/>
            <w:tcBorders>
              <w:top w:val="single" w:sz="4" w:space="0" w:color="auto"/>
              <w:left w:val="single" w:sz="4" w:space="0" w:color="auto"/>
              <w:bottom w:val="single" w:sz="4" w:space="0" w:color="auto"/>
              <w:right w:val="single" w:sz="4" w:space="0" w:color="auto"/>
            </w:tcBorders>
            <w:shd w:val="clear" w:color="auto" w:fill="auto"/>
          </w:tcPr>
          <w:p w14:paraId="7DBD475F" w14:textId="1420AAC1" w:rsidR="009003E4" w:rsidRPr="00756F68" w:rsidRDefault="003F61D5" w:rsidP="009003E4">
            <w:pPr>
              <w:pStyle w:val="body"/>
              <w:spacing w:before="120" w:line="240" w:lineRule="auto"/>
              <w:rPr>
                <w:rFonts w:cstheme="minorHAnsi"/>
                <w:lang w:val="en-GB"/>
              </w:rPr>
            </w:pPr>
            <w:r>
              <w:rPr>
                <w:rFonts w:cstheme="minorHAnsi"/>
                <w:lang w:val="en-GB"/>
              </w:rPr>
              <w:t>Of which : NMDs</w:t>
            </w:r>
          </w:p>
        </w:tc>
        <w:tc>
          <w:tcPr>
            <w:tcW w:w="5493" w:type="dxa"/>
          </w:tcPr>
          <w:p w14:paraId="6014F6BF" w14:textId="72602FCB" w:rsidR="009003E4" w:rsidRPr="00756F68" w:rsidRDefault="009003E4" w:rsidP="009003E4">
            <w:pPr>
              <w:pStyle w:val="body"/>
              <w:spacing w:before="120" w:line="240" w:lineRule="auto"/>
              <w:rPr>
                <w:rFonts w:cstheme="minorHAnsi"/>
                <w:lang w:val="en-GB"/>
              </w:rPr>
            </w:pPr>
            <w:r>
              <w:rPr>
                <w:rFonts w:cstheme="minorHAnsi"/>
                <w:lang w:val="en-GB"/>
              </w:rPr>
              <w:t xml:space="preserve">Report the subtotal of deposits being  NMDs </w:t>
            </w:r>
            <w:r w:rsidRPr="00756F68">
              <w:rPr>
                <w:rFonts w:cstheme="minorHAnsi"/>
                <w:lang w:val="en-GB"/>
              </w:rPr>
              <w:t>as per defined in Article 1.1</w:t>
            </w:r>
            <w:r w:rsidRPr="00756F68">
              <w:rPr>
                <w:rFonts w:cstheme="minorHAnsi"/>
                <w:bCs/>
                <w:lang w:val="en-GB"/>
              </w:rPr>
              <w:t>(9</w:t>
            </w:r>
            <w:r w:rsidRPr="00756F68">
              <w:rPr>
                <w:rFonts w:cstheme="minorHAnsi"/>
                <w:lang w:val="en-GB"/>
              </w:rPr>
              <w:t xml:space="preserve">) of the EBA RTS on SA </w:t>
            </w:r>
          </w:p>
          <w:p w14:paraId="6167F43B" w14:textId="4D1E7B77" w:rsidR="009003E4" w:rsidRPr="009003E4" w:rsidRDefault="009003E4" w:rsidP="009003E4">
            <w:pPr>
              <w:pStyle w:val="body"/>
              <w:spacing w:before="120" w:line="240" w:lineRule="auto"/>
              <w:rPr>
                <w:rStyle w:val="InstructionsTabelleberschrift"/>
                <w:rFonts w:asciiTheme="minorHAnsi" w:hAnsiTheme="minorHAnsi" w:cstheme="minorHAnsi"/>
                <w:b w:val="0"/>
                <w:bCs w:val="0"/>
                <w:sz w:val="22"/>
                <w:szCs w:val="22"/>
                <w:u w:val="none"/>
                <w:lang w:val="en-GB"/>
              </w:rPr>
            </w:pPr>
          </w:p>
        </w:tc>
      </w:tr>
      <w:tr w:rsidR="009003E4" w:rsidRPr="00756F68" w14:paraId="7837876E" w14:textId="77777777" w:rsidTr="008806B0">
        <w:trPr>
          <w:cantSplit/>
        </w:trPr>
        <w:tc>
          <w:tcPr>
            <w:tcW w:w="996" w:type="dxa"/>
          </w:tcPr>
          <w:p w14:paraId="122CB640" w14:textId="32584ADE" w:rsidR="009003E4" w:rsidRPr="00756F68" w:rsidRDefault="009003E4" w:rsidP="009003E4">
            <w:pPr>
              <w:pStyle w:val="body"/>
              <w:spacing w:before="120" w:line="240" w:lineRule="auto"/>
              <w:rPr>
                <w:rFonts w:cstheme="minorHAnsi"/>
                <w:lang w:val="en-GB"/>
              </w:rPr>
            </w:pPr>
            <w:r w:rsidRPr="00756F68">
              <w:rPr>
                <w:rFonts w:cstheme="minorHAnsi"/>
                <w:lang w:val="en-GB"/>
              </w:rPr>
              <w:t>0270</w:t>
            </w:r>
          </w:p>
        </w:tc>
        <w:tc>
          <w:tcPr>
            <w:tcW w:w="2437" w:type="dxa"/>
            <w:tcBorders>
              <w:top w:val="single" w:sz="4" w:space="0" w:color="auto"/>
              <w:left w:val="single" w:sz="4" w:space="0" w:color="auto"/>
              <w:bottom w:val="single" w:sz="4" w:space="0" w:color="auto"/>
              <w:right w:val="single" w:sz="4" w:space="0" w:color="auto"/>
            </w:tcBorders>
            <w:shd w:val="clear" w:color="auto" w:fill="auto"/>
          </w:tcPr>
          <w:p w14:paraId="58587098" w14:textId="665E73B4" w:rsidR="009003E4" w:rsidRPr="00756F68" w:rsidRDefault="009003E4" w:rsidP="009003E4">
            <w:pPr>
              <w:pStyle w:val="body"/>
              <w:spacing w:before="120" w:line="240" w:lineRule="auto"/>
              <w:rPr>
                <w:rFonts w:cstheme="minorHAnsi"/>
              </w:rPr>
            </w:pPr>
            <w:r w:rsidRPr="00756F68">
              <w:rPr>
                <w:rFonts w:cstheme="minorHAnsi"/>
                <w:lang w:val="en-GB"/>
              </w:rPr>
              <w:t>Net Derivatives</w:t>
            </w:r>
          </w:p>
        </w:tc>
        <w:tc>
          <w:tcPr>
            <w:tcW w:w="5493" w:type="dxa"/>
          </w:tcPr>
          <w:p w14:paraId="53E44BA9" w14:textId="0D91F301" w:rsidR="009003E4" w:rsidRPr="00756F68" w:rsidRDefault="009003E4" w:rsidP="009003E4">
            <w:pPr>
              <w:pStyle w:val="body"/>
              <w:spacing w:before="120" w:line="240" w:lineRule="auto"/>
              <w:rPr>
                <w:rFonts w:cstheme="minorHAnsi"/>
                <w:szCs w:val="22"/>
                <w:highlight w:val="yellow"/>
                <w:lang w:val="en-GB"/>
              </w:rPr>
            </w:pPr>
            <w:r w:rsidRPr="00756F68">
              <w:rPr>
                <w:rStyle w:val="InstructionsTabelleberschrift"/>
                <w:rFonts w:asciiTheme="minorHAnsi" w:hAnsiTheme="minorHAnsi" w:cstheme="minorHAnsi"/>
                <w:b w:val="0"/>
                <w:bCs w:val="0"/>
                <w:sz w:val="22"/>
                <w:szCs w:val="22"/>
                <w:u w:val="none"/>
              </w:rPr>
              <w:t>Net contribution of all interest rate derivatives in the banking book, considering assets (row 0130) and/or liabilities (row 0250) under an accounting hedging regime in the banking book and economic interest rate hedges of other interest rate derivatives in the banking book not designed as accounting hedges.</w:t>
            </w:r>
          </w:p>
        </w:tc>
      </w:tr>
      <w:tr w:rsidR="009003E4" w:rsidRPr="00756F68" w14:paraId="2BF79C85" w14:textId="77777777" w:rsidTr="008806B0">
        <w:trPr>
          <w:cantSplit/>
        </w:trPr>
        <w:tc>
          <w:tcPr>
            <w:tcW w:w="996" w:type="dxa"/>
          </w:tcPr>
          <w:p w14:paraId="05537C87" w14:textId="22799B91" w:rsidR="009003E4" w:rsidRPr="00756F68" w:rsidRDefault="009003E4" w:rsidP="009003E4">
            <w:pPr>
              <w:pStyle w:val="body"/>
              <w:spacing w:before="120" w:line="240" w:lineRule="auto"/>
              <w:rPr>
                <w:rFonts w:cstheme="minorHAnsi"/>
                <w:lang w:val="en-GB"/>
              </w:rPr>
            </w:pPr>
            <w:r w:rsidRPr="00756F68">
              <w:rPr>
                <w:rFonts w:cstheme="minorHAnsi"/>
                <w:lang w:val="en-GB"/>
              </w:rPr>
              <w:t>0280</w:t>
            </w:r>
          </w:p>
        </w:tc>
        <w:tc>
          <w:tcPr>
            <w:tcW w:w="2437" w:type="dxa"/>
            <w:tcBorders>
              <w:top w:val="single" w:sz="4" w:space="0" w:color="auto"/>
              <w:left w:val="single" w:sz="4" w:space="0" w:color="auto"/>
              <w:bottom w:val="single" w:sz="4" w:space="0" w:color="auto"/>
              <w:right w:val="single" w:sz="4" w:space="0" w:color="auto"/>
            </w:tcBorders>
            <w:shd w:val="clear" w:color="auto" w:fill="auto"/>
          </w:tcPr>
          <w:p w14:paraId="6EDCFA5E" w14:textId="5089B906" w:rsidR="009003E4" w:rsidRPr="00756F68" w:rsidRDefault="009003E4" w:rsidP="009003E4">
            <w:pPr>
              <w:pStyle w:val="body"/>
              <w:spacing w:before="120" w:line="240" w:lineRule="auto"/>
              <w:rPr>
                <w:rFonts w:cstheme="minorHAnsi"/>
              </w:rPr>
            </w:pPr>
            <w:r w:rsidRPr="00756F68">
              <w:rPr>
                <w:rFonts w:cstheme="minorHAnsi"/>
                <w:lang w:val="en-GB"/>
              </w:rPr>
              <w:t>Net Balance Sheet w/o Derivatives</w:t>
            </w:r>
          </w:p>
        </w:tc>
        <w:tc>
          <w:tcPr>
            <w:tcW w:w="5493" w:type="dxa"/>
          </w:tcPr>
          <w:p w14:paraId="2E7DD240" w14:textId="28176FFA" w:rsidR="009003E4" w:rsidRPr="00756F68" w:rsidRDefault="009003E4" w:rsidP="009003E4">
            <w:pPr>
              <w:pStyle w:val="body"/>
              <w:spacing w:before="120" w:line="240" w:lineRule="auto"/>
              <w:rPr>
                <w:rFonts w:cstheme="minorHAnsi"/>
                <w:szCs w:val="22"/>
                <w:highlight w:val="yellow"/>
                <w:lang w:val="en-GB"/>
              </w:rPr>
            </w:pPr>
            <w:r w:rsidRPr="00756F68">
              <w:rPr>
                <w:rStyle w:val="InstructionsTabelleberschrift"/>
                <w:rFonts w:asciiTheme="minorHAnsi" w:hAnsiTheme="minorHAnsi" w:cstheme="minorHAnsi"/>
                <w:b w:val="0"/>
                <w:bCs w:val="0"/>
                <w:sz w:val="22"/>
                <w:szCs w:val="22"/>
                <w:u w:val="none"/>
              </w:rPr>
              <w:t>All the interest rate exposures in the banking book</w:t>
            </w:r>
            <w:r w:rsidRPr="00756F68">
              <w:rPr>
                <w:rFonts w:cstheme="minorHAnsi"/>
                <w:szCs w:val="22"/>
              </w:rPr>
              <w:t>, including off-balance sheet exposures and</w:t>
            </w:r>
            <w:r w:rsidRPr="00756F68">
              <w:rPr>
                <w:rStyle w:val="InstructionsTabelleberschrift"/>
                <w:rFonts w:asciiTheme="minorHAnsi" w:hAnsiTheme="minorHAnsi" w:cstheme="minorHAnsi"/>
                <w:b w:val="0"/>
                <w:bCs w:val="0"/>
                <w:sz w:val="22"/>
                <w:szCs w:val="22"/>
                <w:u w:val="none"/>
              </w:rPr>
              <w:t xml:space="preserve"> excluding interest rate derivatives. In particular, all the assets and liabilities excluding the effect of derivatives.</w:t>
            </w:r>
          </w:p>
        </w:tc>
      </w:tr>
      <w:tr w:rsidR="009003E4" w:rsidRPr="00756F68" w14:paraId="37E30EED" w14:textId="77777777" w:rsidTr="008806B0">
        <w:trPr>
          <w:cantSplit/>
        </w:trPr>
        <w:tc>
          <w:tcPr>
            <w:tcW w:w="996" w:type="dxa"/>
          </w:tcPr>
          <w:p w14:paraId="553C67CB" w14:textId="4F49E270" w:rsidR="009003E4" w:rsidRPr="00756F68" w:rsidRDefault="009003E4" w:rsidP="009003E4">
            <w:pPr>
              <w:pStyle w:val="body"/>
              <w:spacing w:before="120" w:line="240" w:lineRule="auto"/>
              <w:rPr>
                <w:rFonts w:cstheme="minorHAnsi"/>
                <w:lang w:val="en-GB"/>
              </w:rPr>
            </w:pPr>
            <w:r w:rsidRPr="00756F68">
              <w:rPr>
                <w:rFonts w:cstheme="minorHAnsi"/>
                <w:lang w:val="en-GB"/>
              </w:rPr>
              <w:t>0290</w:t>
            </w:r>
          </w:p>
        </w:tc>
        <w:tc>
          <w:tcPr>
            <w:tcW w:w="2437" w:type="dxa"/>
            <w:tcBorders>
              <w:top w:val="single" w:sz="4" w:space="0" w:color="auto"/>
              <w:left w:val="single" w:sz="4" w:space="0" w:color="auto"/>
              <w:bottom w:val="single" w:sz="4" w:space="0" w:color="auto"/>
              <w:right w:val="single" w:sz="4" w:space="0" w:color="auto"/>
            </w:tcBorders>
            <w:shd w:val="clear" w:color="auto" w:fill="auto"/>
          </w:tcPr>
          <w:p w14:paraId="0966A98C" w14:textId="4E8C05F4" w:rsidR="009003E4" w:rsidRPr="00756F68" w:rsidRDefault="009003E4" w:rsidP="009003E4">
            <w:pPr>
              <w:pStyle w:val="body"/>
              <w:spacing w:before="120" w:line="240" w:lineRule="auto"/>
              <w:rPr>
                <w:rFonts w:cstheme="minorHAnsi"/>
              </w:rPr>
            </w:pPr>
            <w:r w:rsidRPr="00756F68">
              <w:rPr>
                <w:rFonts w:cstheme="minorHAnsi"/>
                <w:lang w:val="en-GB"/>
              </w:rPr>
              <w:t>Net Balance Sheet with Derivatives</w:t>
            </w:r>
          </w:p>
        </w:tc>
        <w:tc>
          <w:tcPr>
            <w:tcW w:w="5493" w:type="dxa"/>
          </w:tcPr>
          <w:p w14:paraId="42830852" w14:textId="393681F7" w:rsidR="009003E4" w:rsidRPr="00756F68" w:rsidRDefault="009003E4" w:rsidP="009003E4">
            <w:pPr>
              <w:pStyle w:val="body"/>
              <w:spacing w:before="120" w:line="240" w:lineRule="auto"/>
              <w:rPr>
                <w:rFonts w:cstheme="minorHAnsi"/>
                <w:szCs w:val="22"/>
                <w:highlight w:val="yellow"/>
                <w:lang w:val="en-GB"/>
              </w:rPr>
            </w:pPr>
            <w:r w:rsidRPr="00756F68">
              <w:rPr>
                <w:rStyle w:val="InstructionsTabelleberschrift"/>
                <w:rFonts w:asciiTheme="minorHAnsi" w:hAnsiTheme="minorHAnsi" w:cstheme="minorHAnsi"/>
                <w:b w:val="0"/>
                <w:bCs w:val="0"/>
                <w:sz w:val="22"/>
                <w:szCs w:val="22"/>
                <w:u w:val="none"/>
              </w:rPr>
              <w:t xml:space="preserve">All assets and liabilities, including </w:t>
            </w:r>
            <w:r w:rsidRPr="00756F68">
              <w:rPr>
                <w:rFonts w:cstheme="minorHAnsi"/>
                <w:szCs w:val="22"/>
              </w:rPr>
              <w:t xml:space="preserve">off-balance sheet exposures and </w:t>
            </w:r>
            <w:r w:rsidRPr="00756F68">
              <w:rPr>
                <w:rStyle w:val="InstructionsTabelleberschrift"/>
                <w:rFonts w:asciiTheme="minorHAnsi" w:hAnsiTheme="minorHAnsi" w:cstheme="minorHAnsi"/>
                <w:b w:val="0"/>
                <w:bCs w:val="0"/>
                <w:sz w:val="22"/>
                <w:szCs w:val="22"/>
                <w:u w:val="none"/>
              </w:rPr>
              <w:t>interest rate derivatives.</w:t>
            </w:r>
          </w:p>
        </w:tc>
      </w:tr>
      <w:tr w:rsidR="009003E4" w:rsidRPr="00756F68" w14:paraId="42D64540" w14:textId="77777777" w:rsidTr="008806B0">
        <w:trPr>
          <w:cantSplit/>
        </w:trPr>
        <w:tc>
          <w:tcPr>
            <w:tcW w:w="996" w:type="dxa"/>
          </w:tcPr>
          <w:p w14:paraId="7B6E9826" w14:textId="1E23870F" w:rsidR="009003E4" w:rsidRPr="00756F68" w:rsidRDefault="009003E4" w:rsidP="009003E4">
            <w:pPr>
              <w:pStyle w:val="body"/>
              <w:spacing w:before="120" w:line="240" w:lineRule="auto"/>
              <w:rPr>
                <w:rFonts w:cstheme="minorHAnsi"/>
                <w:lang w:val="en-GB"/>
              </w:rPr>
            </w:pPr>
            <w:r w:rsidRPr="00756F68">
              <w:rPr>
                <w:rFonts w:cstheme="minorHAnsi"/>
                <w:lang w:val="en-GB"/>
              </w:rPr>
              <w:t>0300</w:t>
            </w:r>
          </w:p>
        </w:tc>
        <w:tc>
          <w:tcPr>
            <w:tcW w:w="2437" w:type="dxa"/>
            <w:tcBorders>
              <w:top w:val="single" w:sz="4" w:space="0" w:color="auto"/>
              <w:left w:val="single" w:sz="4" w:space="0" w:color="auto"/>
              <w:bottom w:val="single" w:sz="4" w:space="0" w:color="auto"/>
              <w:right w:val="single" w:sz="4" w:space="0" w:color="auto"/>
            </w:tcBorders>
            <w:shd w:val="clear" w:color="auto" w:fill="auto"/>
          </w:tcPr>
          <w:p w14:paraId="5CCFE283" w14:textId="11C6A0AC" w:rsidR="009003E4" w:rsidRPr="00756F68" w:rsidRDefault="009003E4" w:rsidP="009003E4">
            <w:pPr>
              <w:pStyle w:val="body"/>
              <w:spacing w:before="120" w:line="240" w:lineRule="auto"/>
              <w:rPr>
                <w:rFonts w:cstheme="minorHAnsi"/>
              </w:rPr>
            </w:pPr>
            <w:r w:rsidRPr="00E47410">
              <w:rPr>
                <w:rFonts w:cstheme="minorHAnsi"/>
                <w:lang w:val="en-GB"/>
              </w:rPr>
              <w:t>Off-balance sheet assets: contingent assets</w:t>
            </w:r>
          </w:p>
        </w:tc>
        <w:tc>
          <w:tcPr>
            <w:tcW w:w="5493" w:type="dxa"/>
          </w:tcPr>
          <w:p w14:paraId="0B5FA424" w14:textId="77777777" w:rsidR="009003E4" w:rsidRPr="002B06E9" w:rsidRDefault="009003E4" w:rsidP="009003E4">
            <w:pPr>
              <w:pStyle w:val="body"/>
              <w:spacing w:before="120" w:line="240" w:lineRule="auto"/>
              <w:rPr>
                <w:rStyle w:val="InstructionsTabelleberschrift"/>
                <w:rFonts w:asciiTheme="minorHAnsi" w:hAnsiTheme="minorHAnsi" w:cstheme="minorHAnsi"/>
                <w:b w:val="0"/>
                <w:bCs w:val="0"/>
                <w:sz w:val="22"/>
                <w:szCs w:val="22"/>
                <w:u w:val="none"/>
              </w:rPr>
            </w:pPr>
            <w:r w:rsidRPr="002B06E9">
              <w:rPr>
                <w:rStyle w:val="InstructionsTabelleberschrift"/>
                <w:rFonts w:asciiTheme="minorHAnsi" w:hAnsiTheme="minorHAnsi" w:cstheme="minorHAnsi"/>
                <w:b w:val="0"/>
                <w:bCs w:val="0"/>
                <w:sz w:val="22"/>
                <w:szCs w:val="22"/>
                <w:u w:val="none"/>
              </w:rPr>
              <w:t>Off-balance sheet assets listed in Annex I to CRR which are sensitive to the interest rate</w:t>
            </w:r>
            <w:r>
              <w:rPr>
                <w:rStyle w:val="InstructionsTabelleberschrift"/>
                <w:rFonts w:asciiTheme="minorHAnsi" w:hAnsiTheme="minorHAnsi" w:cstheme="minorHAnsi"/>
                <w:b w:val="0"/>
                <w:bCs w:val="0"/>
                <w:sz w:val="22"/>
                <w:szCs w:val="22"/>
                <w:u w:val="none"/>
              </w:rPr>
              <w:t xml:space="preserve"> (</w:t>
            </w:r>
            <w:r w:rsidRPr="002B06E9">
              <w:rPr>
                <w:rStyle w:val="InstructionsTabelleberschrift"/>
                <w:rFonts w:asciiTheme="minorHAnsi" w:hAnsiTheme="minorHAnsi" w:cstheme="minorHAnsi"/>
                <w:b w:val="0"/>
                <w:bCs w:val="0"/>
                <w:sz w:val="22"/>
                <w:szCs w:val="22"/>
                <w:u w:val="none"/>
              </w:rPr>
              <w:t>which are in the scope of the EBA RTS on SOT</w:t>
            </w:r>
            <w:r>
              <w:rPr>
                <w:rStyle w:val="InstructionsTabelleberschrift"/>
                <w:rFonts w:asciiTheme="minorHAnsi" w:hAnsiTheme="minorHAnsi" w:cstheme="minorHAnsi"/>
                <w:b w:val="0"/>
                <w:bCs w:val="0"/>
                <w:sz w:val="22"/>
                <w:szCs w:val="22"/>
                <w:u w:val="none"/>
              </w:rPr>
              <w:t>) and credit spread changes</w:t>
            </w:r>
            <w:r w:rsidRPr="002B06E9">
              <w:rPr>
                <w:rStyle w:val="InstructionsTabelleberschrift"/>
                <w:rFonts w:asciiTheme="minorHAnsi" w:hAnsiTheme="minorHAnsi" w:cstheme="minorHAnsi"/>
                <w:b w:val="0"/>
                <w:bCs w:val="0"/>
                <w:sz w:val="22"/>
                <w:szCs w:val="22"/>
                <w:u w:val="none"/>
              </w:rPr>
              <w:t xml:space="preserve"> </w:t>
            </w:r>
            <w:r>
              <w:rPr>
                <w:rStyle w:val="InstructionsTabelleberschrift"/>
                <w:rFonts w:asciiTheme="minorHAnsi" w:hAnsiTheme="minorHAnsi" w:cstheme="minorHAnsi"/>
                <w:b w:val="0"/>
                <w:bCs w:val="0"/>
                <w:sz w:val="22"/>
                <w:szCs w:val="22"/>
                <w:u w:val="none"/>
              </w:rPr>
              <w:t>(</w:t>
            </w:r>
            <w:r w:rsidRPr="002B06E9">
              <w:rPr>
                <w:rStyle w:val="InstructionsTabelleberschrift"/>
                <w:rFonts w:asciiTheme="minorHAnsi" w:hAnsiTheme="minorHAnsi" w:cstheme="minorHAnsi"/>
                <w:b w:val="0"/>
                <w:bCs w:val="0"/>
                <w:sz w:val="22"/>
                <w:szCs w:val="22"/>
                <w:u w:val="none"/>
              </w:rPr>
              <w:t>which are in the scope of the EBA</w:t>
            </w:r>
            <w:r>
              <w:rPr>
                <w:rStyle w:val="InstructionsTabelleberschrift"/>
                <w:rFonts w:asciiTheme="minorHAnsi" w:hAnsiTheme="minorHAnsi" w:cstheme="minorHAnsi"/>
                <w:b w:val="0"/>
                <w:bCs w:val="0"/>
                <w:sz w:val="22"/>
                <w:szCs w:val="22"/>
                <w:u w:val="none"/>
              </w:rPr>
              <w:t>/GL/2022/14)</w:t>
            </w:r>
            <w:r w:rsidRPr="002B06E9">
              <w:rPr>
                <w:rStyle w:val="InstructionsTabelleberschrift"/>
                <w:rFonts w:asciiTheme="minorHAnsi" w:hAnsiTheme="minorHAnsi" w:cstheme="minorHAnsi"/>
                <w:b w:val="0"/>
                <w:bCs w:val="0"/>
                <w:sz w:val="22"/>
                <w:szCs w:val="22"/>
                <w:u w:val="none"/>
              </w:rPr>
              <w:t xml:space="preserve">. </w:t>
            </w:r>
          </w:p>
          <w:p w14:paraId="6F28BD8F" w14:textId="77777777" w:rsidR="009003E4" w:rsidRPr="002B06E9" w:rsidRDefault="009003E4" w:rsidP="009003E4">
            <w:pPr>
              <w:pStyle w:val="body"/>
              <w:spacing w:before="120" w:line="240" w:lineRule="auto"/>
              <w:rPr>
                <w:rStyle w:val="InstructionsTabelleberschrift"/>
                <w:rFonts w:asciiTheme="minorHAnsi" w:hAnsiTheme="minorHAnsi" w:cstheme="minorHAnsi"/>
                <w:b w:val="0"/>
                <w:bCs w:val="0"/>
                <w:sz w:val="22"/>
                <w:szCs w:val="22"/>
                <w:u w:val="none"/>
              </w:rPr>
            </w:pPr>
            <w:r w:rsidRPr="002B06E9">
              <w:rPr>
                <w:rStyle w:val="InstructionsTabelleberschrift"/>
                <w:rFonts w:asciiTheme="minorHAnsi" w:hAnsiTheme="minorHAnsi" w:cstheme="minorHAnsi"/>
                <w:b w:val="0"/>
                <w:bCs w:val="0"/>
                <w:sz w:val="22"/>
                <w:szCs w:val="22"/>
                <w:u w:val="none"/>
              </w:rPr>
              <w:t xml:space="preserve">Fixed rate loan commitments with prospective borrowers shall be also included in this </w:t>
            </w:r>
            <w:r>
              <w:rPr>
                <w:rStyle w:val="InstructionsTabelleberschrift"/>
                <w:rFonts w:asciiTheme="minorHAnsi" w:hAnsiTheme="minorHAnsi" w:cstheme="minorHAnsi"/>
                <w:b w:val="0"/>
                <w:bCs w:val="0"/>
                <w:sz w:val="22"/>
                <w:szCs w:val="22"/>
                <w:u w:val="none"/>
              </w:rPr>
              <w:t>row</w:t>
            </w:r>
            <w:r w:rsidRPr="002B06E9">
              <w:rPr>
                <w:rStyle w:val="InstructionsTabelleberschrift"/>
                <w:rFonts w:asciiTheme="minorHAnsi" w:hAnsiTheme="minorHAnsi" w:cstheme="minorHAnsi"/>
                <w:b w:val="0"/>
                <w:bCs w:val="0"/>
                <w:sz w:val="22"/>
                <w:szCs w:val="22"/>
                <w:u w:val="none"/>
              </w:rPr>
              <w:t xml:space="preserve">.  </w:t>
            </w:r>
          </w:p>
          <w:p w14:paraId="2E31AD68" w14:textId="08FD17E8" w:rsidR="009003E4" w:rsidRPr="00756F68" w:rsidRDefault="009003E4" w:rsidP="009003E4">
            <w:pPr>
              <w:pStyle w:val="body"/>
              <w:spacing w:before="120" w:line="240" w:lineRule="auto"/>
              <w:rPr>
                <w:rFonts w:cstheme="minorHAnsi"/>
                <w:szCs w:val="22"/>
                <w:highlight w:val="yellow"/>
                <w:lang w:val="en-GB"/>
              </w:rPr>
            </w:pPr>
            <w:r w:rsidRPr="002B06E9">
              <w:rPr>
                <w:rStyle w:val="InstructionsTabelleberschrift"/>
                <w:rFonts w:asciiTheme="minorHAnsi" w:hAnsiTheme="minorHAnsi" w:cstheme="minorHAnsi"/>
                <w:b w:val="0"/>
                <w:bCs w:val="0"/>
                <w:sz w:val="22"/>
                <w:szCs w:val="22"/>
                <w:u w:val="none"/>
              </w:rPr>
              <w:t>Loan commitment shall be reported as a combination of a short and a long position. It is the case of a fixed rate loan commitment the bank has a long position in the loan at the inception of the commitment and a short position when the loan is supposed to be drawn. Long positions shall be reported as assets while short position shall be reported as liabilities. Only the contingent instruments qualifying as assets shall be reported in this row.</w:t>
            </w:r>
          </w:p>
        </w:tc>
      </w:tr>
      <w:tr w:rsidR="009003E4" w:rsidRPr="00756F68" w14:paraId="0997B5FB" w14:textId="77777777" w:rsidTr="008806B0">
        <w:trPr>
          <w:cantSplit/>
        </w:trPr>
        <w:tc>
          <w:tcPr>
            <w:tcW w:w="996" w:type="dxa"/>
          </w:tcPr>
          <w:p w14:paraId="312B7341" w14:textId="1606787E" w:rsidR="009003E4" w:rsidRPr="00756F68" w:rsidRDefault="009003E4" w:rsidP="009003E4">
            <w:pPr>
              <w:pStyle w:val="body"/>
              <w:spacing w:before="120" w:line="240" w:lineRule="auto"/>
              <w:rPr>
                <w:rFonts w:cstheme="minorHAnsi"/>
                <w:lang w:val="en-GB"/>
              </w:rPr>
            </w:pPr>
            <w:r w:rsidRPr="00756F68">
              <w:rPr>
                <w:rFonts w:cstheme="minorHAnsi"/>
                <w:lang w:val="en-GB"/>
              </w:rPr>
              <w:lastRenderedPageBreak/>
              <w:t>0310</w:t>
            </w:r>
          </w:p>
        </w:tc>
        <w:tc>
          <w:tcPr>
            <w:tcW w:w="2437" w:type="dxa"/>
            <w:tcBorders>
              <w:top w:val="single" w:sz="4" w:space="0" w:color="auto"/>
              <w:left w:val="single" w:sz="4" w:space="0" w:color="auto"/>
              <w:bottom w:val="single" w:sz="4" w:space="0" w:color="auto"/>
              <w:right w:val="single" w:sz="4" w:space="0" w:color="auto"/>
            </w:tcBorders>
            <w:shd w:val="clear" w:color="auto" w:fill="auto"/>
          </w:tcPr>
          <w:p w14:paraId="6AF157A2" w14:textId="279F6081" w:rsidR="009003E4" w:rsidRPr="00756F68" w:rsidRDefault="009003E4" w:rsidP="009003E4">
            <w:pPr>
              <w:pStyle w:val="body"/>
              <w:spacing w:before="120" w:line="240" w:lineRule="auto"/>
              <w:rPr>
                <w:rFonts w:cstheme="minorHAnsi"/>
              </w:rPr>
            </w:pPr>
            <w:r w:rsidRPr="00E47410">
              <w:rPr>
                <w:rFonts w:cstheme="minorHAnsi"/>
                <w:lang w:val="en-GB"/>
              </w:rPr>
              <w:t>Off-balance sheet liabilities: Contingent liabilities</w:t>
            </w:r>
          </w:p>
        </w:tc>
        <w:tc>
          <w:tcPr>
            <w:tcW w:w="5493" w:type="dxa"/>
          </w:tcPr>
          <w:p w14:paraId="708AC39E" w14:textId="77777777" w:rsidR="009003E4" w:rsidRPr="002B06E9" w:rsidRDefault="009003E4" w:rsidP="009003E4">
            <w:pPr>
              <w:pStyle w:val="body"/>
              <w:spacing w:before="120" w:line="240" w:lineRule="auto"/>
              <w:rPr>
                <w:rStyle w:val="InstructionsTabelleberschrift"/>
                <w:rFonts w:asciiTheme="minorHAnsi" w:hAnsiTheme="minorHAnsi" w:cstheme="minorHAnsi"/>
                <w:b w:val="0"/>
                <w:bCs w:val="0"/>
                <w:sz w:val="22"/>
                <w:szCs w:val="22"/>
                <w:u w:val="none"/>
              </w:rPr>
            </w:pPr>
            <w:r w:rsidRPr="002B06E9">
              <w:rPr>
                <w:rStyle w:val="InstructionsTabelleberschrift"/>
                <w:rFonts w:asciiTheme="minorHAnsi" w:hAnsiTheme="minorHAnsi" w:cstheme="minorHAnsi"/>
                <w:b w:val="0"/>
                <w:bCs w:val="0"/>
                <w:sz w:val="22"/>
                <w:szCs w:val="22"/>
                <w:u w:val="none"/>
              </w:rPr>
              <w:t xml:space="preserve">Contingent liabilities shall be seen as a combination of a short and a long position. Specifically, in case the bank has a credit line with other institutions, the bank will have a long position when the loan is supposed to be drawn and a short position at the opening date of the credit line. </w:t>
            </w:r>
          </w:p>
          <w:p w14:paraId="47BBC595" w14:textId="167F8846" w:rsidR="009003E4" w:rsidRPr="00756F68" w:rsidRDefault="009003E4" w:rsidP="009003E4">
            <w:pPr>
              <w:pStyle w:val="body"/>
              <w:spacing w:before="120" w:line="240" w:lineRule="auto"/>
              <w:rPr>
                <w:rFonts w:cstheme="minorHAnsi"/>
                <w:szCs w:val="22"/>
                <w:highlight w:val="yellow"/>
                <w:lang w:val="en-GB"/>
              </w:rPr>
            </w:pPr>
            <w:r w:rsidRPr="002B06E9">
              <w:rPr>
                <w:rStyle w:val="InstructionsTabelleberschrift"/>
                <w:rFonts w:asciiTheme="minorHAnsi" w:hAnsiTheme="minorHAnsi" w:cstheme="minorHAnsi"/>
                <w:b w:val="0"/>
                <w:bCs w:val="0"/>
                <w:sz w:val="22"/>
                <w:szCs w:val="22"/>
                <w:u w:val="none"/>
              </w:rPr>
              <w:t>Long positions shall be reported as assets while short positions shall be reported as a liability. Only the contingent instruments qualifying as liabilities shall be reported in this row.</w:t>
            </w:r>
          </w:p>
        </w:tc>
      </w:tr>
    </w:tbl>
    <w:p w14:paraId="47755608" w14:textId="77777777" w:rsidR="00E12E85" w:rsidRPr="00756F68" w:rsidRDefault="00E12E85" w:rsidP="00A40857">
      <w:pPr>
        <w:jc w:val="both"/>
        <w:rPr>
          <w:rFonts w:cstheme="minorHAnsi"/>
        </w:rPr>
      </w:pPr>
    </w:p>
    <w:p w14:paraId="740BD731" w14:textId="77777777" w:rsidR="00931815" w:rsidRPr="00756F68" w:rsidRDefault="00931815" w:rsidP="00A40857">
      <w:pPr>
        <w:jc w:val="both"/>
        <w:rPr>
          <w:rFonts w:eastAsiaTheme="majorEastAsia" w:cstheme="minorHAnsi"/>
          <w:b/>
          <w:bCs/>
          <w:sz w:val="20"/>
          <w:szCs w:val="20"/>
        </w:rPr>
      </w:pPr>
      <w:r w:rsidRPr="00756F68">
        <w:rPr>
          <w:rFonts w:cstheme="minorHAnsi"/>
          <w:sz w:val="20"/>
          <w:szCs w:val="20"/>
        </w:rPr>
        <w:br w:type="page"/>
      </w:r>
    </w:p>
    <w:p w14:paraId="3A30BB75" w14:textId="47EB1E63" w:rsidR="00247703" w:rsidRPr="005233A2" w:rsidRDefault="00247703" w:rsidP="005233A2">
      <w:pPr>
        <w:pStyle w:val="Heading2"/>
        <w:spacing w:before="120" w:line="360" w:lineRule="auto"/>
        <w:ind w:left="66"/>
        <w:rPr>
          <w:rFonts w:asciiTheme="minorHAnsi" w:hAnsiTheme="minorHAnsi" w:cstheme="minorHAnsi"/>
          <w:color w:val="auto"/>
          <w:sz w:val="22"/>
          <w:szCs w:val="22"/>
        </w:rPr>
      </w:pPr>
      <w:bookmarkStart w:id="18" w:name="_Toc146804986"/>
      <w:r w:rsidRPr="005233A2">
        <w:rPr>
          <w:rFonts w:asciiTheme="minorHAnsi" w:hAnsiTheme="minorHAnsi" w:cstheme="minorHAnsi"/>
          <w:color w:val="auto"/>
          <w:sz w:val="22"/>
          <w:szCs w:val="22"/>
        </w:rPr>
        <w:lastRenderedPageBreak/>
        <w:t>Template “</w:t>
      </w:r>
      <w:r w:rsidR="00F932BE" w:rsidRPr="005233A2">
        <w:rPr>
          <w:rFonts w:asciiTheme="minorHAnsi" w:hAnsiTheme="minorHAnsi" w:cstheme="minorHAnsi"/>
          <w:color w:val="auto"/>
          <w:sz w:val="22"/>
          <w:szCs w:val="22"/>
        </w:rPr>
        <w:t>3</w:t>
      </w:r>
      <w:r w:rsidRPr="005233A2">
        <w:rPr>
          <w:rFonts w:asciiTheme="minorHAnsi" w:hAnsiTheme="minorHAnsi" w:cstheme="minorHAnsi"/>
          <w:color w:val="auto"/>
          <w:sz w:val="22"/>
          <w:szCs w:val="22"/>
        </w:rPr>
        <w:t>_Unrealised_losses”</w:t>
      </w:r>
      <w:bookmarkEnd w:id="18"/>
    </w:p>
    <w:p w14:paraId="6E94F9A0" w14:textId="3B7008A1" w:rsidR="00BF30F0" w:rsidRPr="00756F68" w:rsidRDefault="00F932BE" w:rsidP="00A40857">
      <w:pPr>
        <w:pStyle w:val="numberedparagraph"/>
        <w:numPr>
          <w:ilvl w:val="0"/>
          <w:numId w:val="2"/>
        </w:numPr>
        <w:ind w:left="426"/>
        <w:rPr>
          <w:rFonts w:cstheme="minorHAnsi"/>
        </w:rPr>
      </w:pPr>
      <w:r w:rsidRPr="00756F68">
        <w:rPr>
          <w:rFonts w:cstheme="minorHAnsi"/>
        </w:rPr>
        <w:t xml:space="preserve">This template seeks to cover unrealized losses from </w:t>
      </w:r>
      <w:r w:rsidR="00BF30F0" w:rsidRPr="00756F68">
        <w:rPr>
          <w:rFonts w:cstheme="minorHAnsi"/>
        </w:rPr>
        <w:t>assets and liabilities</w:t>
      </w:r>
      <w:r w:rsidRPr="00756F68">
        <w:rPr>
          <w:rFonts w:cstheme="minorHAnsi"/>
        </w:rPr>
        <w:t xml:space="preserve"> accounted at </w:t>
      </w:r>
      <w:r w:rsidR="008806B0" w:rsidRPr="00756F68">
        <w:rPr>
          <w:rFonts w:cstheme="minorHAnsi"/>
        </w:rPr>
        <w:t>amortised</w:t>
      </w:r>
      <w:r w:rsidRPr="00756F68">
        <w:rPr>
          <w:rFonts w:cstheme="minorHAnsi"/>
        </w:rPr>
        <w:t xml:space="preserve"> costs</w:t>
      </w:r>
      <w:r w:rsidR="00BF30F0" w:rsidRPr="00756F68">
        <w:rPr>
          <w:rFonts w:cstheme="minorHAnsi"/>
        </w:rPr>
        <w:t xml:space="preserve"> in three different dimensions:</w:t>
      </w:r>
    </w:p>
    <w:p w14:paraId="1476640C" w14:textId="27AAC86E" w:rsidR="00335FB6" w:rsidRPr="00756F68" w:rsidRDefault="00BF30F0" w:rsidP="00A40857">
      <w:pPr>
        <w:pStyle w:val="ListParagraph"/>
        <w:numPr>
          <w:ilvl w:val="0"/>
          <w:numId w:val="32"/>
        </w:numPr>
        <w:spacing w:before="240" w:after="120"/>
        <w:jc w:val="both"/>
        <w:rPr>
          <w:rFonts w:cstheme="minorHAnsi"/>
        </w:rPr>
      </w:pPr>
      <w:r w:rsidRPr="00756F68">
        <w:rPr>
          <w:rFonts w:cstheme="minorHAnsi"/>
        </w:rPr>
        <w:t xml:space="preserve">In line with </w:t>
      </w:r>
      <w:r w:rsidR="00F932BE" w:rsidRPr="00756F68">
        <w:rPr>
          <w:rFonts w:cstheme="minorHAnsi"/>
        </w:rPr>
        <w:t xml:space="preserve">the </w:t>
      </w:r>
      <w:r w:rsidRPr="00756F68">
        <w:rPr>
          <w:rFonts w:cstheme="minorHAnsi"/>
        </w:rPr>
        <w:t xml:space="preserve">way </w:t>
      </w:r>
      <w:r w:rsidR="00F932BE" w:rsidRPr="00756F68">
        <w:rPr>
          <w:rFonts w:cstheme="minorHAnsi"/>
        </w:rPr>
        <w:t xml:space="preserve">data </w:t>
      </w:r>
      <w:r w:rsidRPr="00756F68">
        <w:rPr>
          <w:rFonts w:cstheme="minorHAnsi"/>
        </w:rPr>
        <w:t xml:space="preserve">is collected via </w:t>
      </w:r>
      <w:r w:rsidR="00E9314D" w:rsidRPr="00756F68">
        <w:rPr>
          <w:rFonts w:cstheme="minorHAnsi"/>
        </w:rPr>
        <w:t xml:space="preserve">FINREP </w:t>
      </w:r>
      <w:r w:rsidR="008806B0" w:rsidRPr="00756F68">
        <w:rPr>
          <w:rFonts w:cstheme="minorHAnsi"/>
        </w:rPr>
        <w:t xml:space="preserve">template </w:t>
      </w:r>
      <w:r w:rsidR="00F932BE" w:rsidRPr="00756F68">
        <w:rPr>
          <w:rFonts w:cstheme="minorHAnsi"/>
        </w:rPr>
        <w:t>F41</w:t>
      </w:r>
      <w:r w:rsidR="00E9314D" w:rsidRPr="00756F68">
        <w:rPr>
          <w:rFonts w:cstheme="minorHAnsi"/>
        </w:rPr>
        <w:t xml:space="preserve">; </w:t>
      </w:r>
    </w:p>
    <w:p w14:paraId="1B3AE946" w14:textId="0D764999" w:rsidR="00BF30F0" w:rsidRPr="00756F68" w:rsidRDefault="001F0941" w:rsidP="00A40857">
      <w:pPr>
        <w:pStyle w:val="ListParagraph"/>
        <w:numPr>
          <w:ilvl w:val="0"/>
          <w:numId w:val="32"/>
        </w:numPr>
        <w:spacing w:before="240" w:after="120"/>
        <w:jc w:val="both"/>
        <w:rPr>
          <w:rFonts w:cstheme="minorHAnsi"/>
        </w:rPr>
      </w:pPr>
      <w:r w:rsidRPr="00756F68">
        <w:rPr>
          <w:rFonts w:cstheme="minorHAnsi"/>
        </w:rPr>
        <w:t xml:space="preserve">Effects of </w:t>
      </w:r>
      <w:r w:rsidR="00E9314D" w:rsidRPr="00756F68">
        <w:rPr>
          <w:rFonts w:cstheme="minorHAnsi"/>
        </w:rPr>
        <w:t>hedge accounting;</w:t>
      </w:r>
    </w:p>
    <w:p w14:paraId="766813DF" w14:textId="0DF23C51" w:rsidR="00BF30F0" w:rsidRPr="00756F68" w:rsidRDefault="001F0941" w:rsidP="00A40857">
      <w:pPr>
        <w:pStyle w:val="ListParagraph"/>
        <w:numPr>
          <w:ilvl w:val="0"/>
          <w:numId w:val="32"/>
        </w:numPr>
        <w:spacing w:before="240" w:after="120"/>
        <w:jc w:val="both"/>
        <w:rPr>
          <w:rFonts w:cstheme="minorHAnsi"/>
        </w:rPr>
      </w:pPr>
      <w:r w:rsidRPr="00756F68">
        <w:rPr>
          <w:rFonts w:cstheme="minorHAnsi"/>
        </w:rPr>
        <w:t xml:space="preserve">Effects of </w:t>
      </w:r>
      <w:r w:rsidR="00BF30F0" w:rsidRPr="00756F68">
        <w:rPr>
          <w:rFonts w:cstheme="minorHAnsi"/>
        </w:rPr>
        <w:t xml:space="preserve">all other drivers </w:t>
      </w:r>
      <w:r w:rsidRPr="00756F68">
        <w:rPr>
          <w:rFonts w:cstheme="minorHAnsi"/>
        </w:rPr>
        <w:t>for</w:t>
      </w:r>
      <w:r w:rsidR="00BF30F0" w:rsidRPr="00756F68">
        <w:rPr>
          <w:rFonts w:cstheme="minorHAnsi"/>
        </w:rPr>
        <w:t xml:space="preserve"> differences between book values and economic values </w:t>
      </w:r>
      <w:r w:rsidRPr="00756F68">
        <w:rPr>
          <w:rFonts w:cstheme="minorHAnsi"/>
        </w:rPr>
        <w:t>(</w:t>
      </w:r>
      <w:r w:rsidR="00BF30F0" w:rsidRPr="00756F68">
        <w:rPr>
          <w:rFonts w:cstheme="minorHAnsi"/>
        </w:rPr>
        <w:t>in accordance with the economic perspective described in the ECB ICAAP Guide</w:t>
      </w:r>
      <w:r w:rsidR="00C43506" w:rsidRPr="00756F68">
        <w:rPr>
          <w:rStyle w:val="FootnoteReference"/>
          <w:rFonts w:cstheme="minorHAnsi"/>
        </w:rPr>
        <w:footnoteReference w:id="5"/>
      </w:r>
      <w:r w:rsidRPr="00756F68">
        <w:rPr>
          <w:rFonts w:cstheme="minorHAnsi"/>
        </w:rPr>
        <w:t>)</w:t>
      </w:r>
      <w:r w:rsidR="00BF30F0" w:rsidRPr="00756F68">
        <w:rPr>
          <w:rFonts w:cstheme="minorHAnsi"/>
        </w:rPr>
        <w:t xml:space="preserve"> the bank considers relevant</w:t>
      </w:r>
      <w:r w:rsidR="00C43506" w:rsidRPr="00756F68">
        <w:rPr>
          <w:rFonts w:cstheme="minorHAnsi"/>
        </w:rPr>
        <w:t>.</w:t>
      </w:r>
    </w:p>
    <w:p w14:paraId="524E2056" w14:textId="7B72AC8F" w:rsidR="00BF30F0" w:rsidRPr="00756F68" w:rsidRDefault="00BF30F0" w:rsidP="00A40857">
      <w:pPr>
        <w:pStyle w:val="ListParagraph"/>
        <w:spacing w:before="240" w:after="120"/>
        <w:jc w:val="both"/>
        <w:rPr>
          <w:rFonts w:cstheme="minorHAnsi"/>
        </w:rPr>
      </w:pPr>
    </w:p>
    <w:p w14:paraId="6E717092" w14:textId="73E9FBF4" w:rsidR="00A670A0" w:rsidRPr="00756F68" w:rsidRDefault="00A85B5D" w:rsidP="00A40857">
      <w:pPr>
        <w:pStyle w:val="ListParagraph"/>
        <w:numPr>
          <w:ilvl w:val="0"/>
          <w:numId w:val="2"/>
        </w:numPr>
        <w:spacing w:before="240" w:after="120"/>
        <w:ind w:left="426"/>
        <w:jc w:val="both"/>
        <w:rPr>
          <w:rFonts w:cstheme="minorHAnsi"/>
        </w:rPr>
      </w:pPr>
      <w:r w:rsidRPr="00756F68">
        <w:rPr>
          <w:rFonts w:cstheme="minorHAnsi"/>
        </w:rPr>
        <w:t xml:space="preserve">The purpose of the template is to collect information from </w:t>
      </w:r>
      <w:r w:rsidR="00A670A0" w:rsidRPr="00756F68">
        <w:rPr>
          <w:rFonts w:cstheme="minorHAnsi"/>
        </w:rPr>
        <w:t>institutions on Unrealised losses define</w:t>
      </w:r>
      <w:r w:rsidR="00FE53BD">
        <w:rPr>
          <w:rFonts w:cstheme="minorHAnsi"/>
        </w:rPr>
        <w:t>d</w:t>
      </w:r>
      <w:r w:rsidR="00A670A0" w:rsidRPr="00756F68">
        <w:rPr>
          <w:rFonts w:cstheme="minorHAnsi"/>
        </w:rPr>
        <w:t xml:space="preserve"> as stemming from the difference between the carrying amount (value as recorded on a bank’s balance sheet) and fair value (estimate of the actual market price) of balance sheet items  at a given date. </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6"/>
        <w:gridCol w:w="2437"/>
        <w:gridCol w:w="5493"/>
      </w:tblGrid>
      <w:tr w:rsidR="00A670A0" w:rsidRPr="00756F68" w14:paraId="6D284FDB" w14:textId="77777777" w:rsidTr="00086D17">
        <w:trPr>
          <w:cantSplit/>
          <w:trHeight w:val="325"/>
          <w:tblHeader/>
        </w:trPr>
        <w:tc>
          <w:tcPr>
            <w:tcW w:w="996" w:type="dxa"/>
            <w:hideMark/>
          </w:tcPr>
          <w:p w14:paraId="10F87D63" w14:textId="77777777" w:rsidR="00A670A0" w:rsidRPr="00756F68" w:rsidRDefault="00A670A0" w:rsidP="00A40857">
            <w:pPr>
              <w:pStyle w:val="body"/>
              <w:spacing w:before="120" w:line="240" w:lineRule="auto"/>
              <w:rPr>
                <w:rFonts w:cstheme="minorHAnsi"/>
                <w:b/>
                <w:bCs/>
                <w:lang w:val="en-GB"/>
              </w:rPr>
            </w:pPr>
            <w:r w:rsidRPr="00756F68">
              <w:rPr>
                <w:rFonts w:cstheme="minorHAnsi"/>
                <w:b/>
                <w:bCs/>
                <w:lang w:val="en-GB"/>
              </w:rPr>
              <w:t>Column</w:t>
            </w:r>
          </w:p>
        </w:tc>
        <w:tc>
          <w:tcPr>
            <w:tcW w:w="2437" w:type="dxa"/>
            <w:hideMark/>
          </w:tcPr>
          <w:p w14:paraId="27EF0B9E" w14:textId="77777777" w:rsidR="00A670A0" w:rsidRPr="00756F68" w:rsidRDefault="00A670A0" w:rsidP="00A40857">
            <w:pPr>
              <w:pStyle w:val="body"/>
              <w:spacing w:before="120" w:line="240" w:lineRule="auto"/>
              <w:rPr>
                <w:rFonts w:cstheme="minorHAnsi"/>
                <w:b/>
                <w:bCs/>
                <w:lang w:val="en-GB"/>
              </w:rPr>
            </w:pPr>
            <w:r w:rsidRPr="00756F68">
              <w:rPr>
                <w:rFonts w:cstheme="minorHAnsi"/>
                <w:b/>
                <w:bCs/>
                <w:lang w:val="en-GB"/>
              </w:rPr>
              <w:t>Heading</w:t>
            </w:r>
          </w:p>
        </w:tc>
        <w:tc>
          <w:tcPr>
            <w:tcW w:w="5493" w:type="dxa"/>
            <w:hideMark/>
          </w:tcPr>
          <w:p w14:paraId="189D7F46" w14:textId="77777777" w:rsidR="00A670A0" w:rsidRPr="00756F68" w:rsidRDefault="00A670A0" w:rsidP="00A40857">
            <w:pPr>
              <w:pStyle w:val="body"/>
              <w:spacing w:before="120" w:line="240" w:lineRule="auto"/>
              <w:rPr>
                <w:rFonts w:cstheme="minorHAnsi"/>
                <w:b/>
                <w:bCs/>
                <w:lang w:val="en-GB"/>
              </w:rPr>
            </w:pPr>
            <w:r w:rsidRPr="00756F68">
              <w:rPr>
                <w:rFonts w:cstheme="minorHAnsi"/>
                <w:b/>
                <w:bCs/>
                <w:lang w:val="en-GB"/>
              </w:rPr>
              <w:t>Description</w:t>
            </w:r>
          </w:p>
        </w:tc>
      </w:tr>
      <w:tr w:rsidR="00A670A0" w:rsidRPr="00756F68" w14:paraId="4315B92E" w14:textId="77777777" w:rsidTr="00086D17">
        <w:trPr>
          <w:cantSplit/>
        </w:trPr>
        <w:tc>
          <w:tcPr>
            <w:tcW w:w="996" w:type="dxa"/>
          </w:tcPr>
          <w:p w14:paraId="3E8C83F0" w14:textId="77777777" w:rsidR="00A670A0" w:rsidRPr="00756F68" w:rsidRDefault="00A670A0" w:rsidP="00A40857">
            <w:pPr>
              <w:pStyle w:val="body"/>
              <w:spacing w:before="120" w:line="240" w:lineRule="auto"/>
              <w:rPr>
                <w:rFonts w:cstheme="minorHAnsi"/>
                <w:lang w:val="en-GB"/>
              </w:rPr>
            </w:pPr>
            <w:r w:rsidRPr="00756F68">
              <w:rPr>
                <w:rFonts w:cstheme="minorHAnsi"/>
                <w:lang w:val="en-GB"/>
              </w:rPr>
              <w:t>0010</w:t>
            </w:r>
          </w:p>
        </w:tc>
        <w:tc>
          <w:tcPr>
            <w:tcW w:w="2437" w:type="dxa"/>
          </w:tcPr>
          <w:p w14:paraId="2FAE5FF0" w14:textId="77777777" w:rsidR="00A670A0" w:rsidRPr="00756F68" w:rsidRDefault="00A670A0" w:rsidP="00A40857">
            <w:pPr>
              <w:pStyle w:val="body"/>
              <w:spacing w:before="120" w:line="240" w:lineRule="auto"/>
              <w:rPr>
                <w:rFonts w:cstheme="minorHAnsi"/>
              </w:rPr>
            </w:pPr>
            <w:r w:rsidRPr="00756F68">
              <w:rPr>
                <w:rFonts w:cstheme="minorHAnsi"/>
                <w:lang w:val="en-GB"/>
              </w:rPr>
              <w:t>Carrying amount</w:t>
            </w:r>
          </w:p>
        </w:tc>
        <w:tc>
          <w:tcPr>
            <w:tcW w:w="5493" w:type="dxa"/>
          </w:tcPr>
          <w:p w14:paraId="4FA3342E" w14:textId="5A4C38FA" w:rsidR="00A670A0" w:rsidRPr="00756F68" w:rsidRDefault="00A670A0" w:rsidP="00A40857">
            <w:pPr>
              <w:pStyle w:val="body"/>
              <w:spacing w:before="120" w:line="240" w:lineRule="auto"/>
              <w:rPr>
                <w:rFonts w:cstheme="minorHAnsi"/>
                <w:lang w:val="en-GB"/>
              </w:rPr>
            </w:pPr>
            <w:r w:rsidRPr="00756F68">
              <w:rPr>
                <w:rFonts w:cstheme="minorHAnsi"/>
                <w:lang w:val="en-GB"/>
              </w:rPr>
              <w:t>Refer to section 5 of Part 1, Annex V of the ITS on Supervisory Reporting</w:t>
            </w:r>
          </w:p>
        </w:tc>
      </w:tr>
      <w:tr w:rsidR="00A670A0" w:rsidRPr="00756F68" w14:paraId="3B42D040" w14:textId="77777777" w:rsidTr="00086D17">
        <w:trPr>
          <w:cantSplit/>
        </w:trPr>
        <w:tc>
          <w:tcPr>
            <w:tcW w:w="996" w:type="dxa"/>
          </w:tcPr>
          <w:p w14:paraId="336DE5D7" w14:textId="77777777" w:rsidR="00A670A0" w:rsidRPr="00756F68" w:rsidRDefault="00A670A0" w:rsidP="00A40857">
            <w:pPr>
              <w:pStyle w:val="body"/>
              <w:spacing w:before="120" w:line="240" w:lineRule="auto"/>
              <w:rPr>
                <w:rFonts w:cstheme="minorHAnsi"/>
                <w:lang w:val="en-GB"/>
              </w:rPr>
            </w:pPr>
            <w:r w:rsidRPr="00756F68">
              <w:rPr>
                <w:rFonts w:cstheme="minorHAnsi"/>
                <w:lang w:val="en-GB"/>
              </w:rPr>
              <w:t>0020</w:t>
            </w:r>
          </w:p>
        </w:tc>
        <w:tc>
          <w:tcPr>
            <w:tcW w:w="2437" w:type="dxa"/>
          </w:tcPr>
          <w:p w14:paraId="1A173190" w14:textId="77777777" w:rsidR="00A670A0" w:rsidRPr="00756F68" w:rsidRDefault="00A670A0" w:rsidP="00A40857">
            <w:pPr>
              <w:pStyle w:val="body"/>
              <w:spacing w:before="120" w:line="240" w:lineRule="auto"/>
              <w:rPr>
                <w:rFonts w:cstheme="minorHAnsi"/>
                <w:lang w:val="en-GB"/>
              </w:rPr>
            </w:pPr>
            <w:r w:rsidRPr="00756F68">
              <w:rPr>
                <w:rFonts w:cstheme="minorHAnsi"/>
                <w:lang w:val="en-GB"/>
              </w:rPr>
              <w:t>Fair value</w:t>
            </w:r>
          </w:p>
        </w:tc>
        <w:tc>
          <w:tcPr>
            <w:tcW w:w="5493" w:type="dxa"/>
          </w:tcPr>
          <w:p w14:paraId="06D52D98" w14:textId="02259777" w:rsidR="00A670A0" w:rsidRPr="00E47410" w:rsidRDefault="00A670A0" w:rsidP="00A40857">
            <w:pPr>
              <w:pStyle w:val="body"/>
              <w:spacing w:before="120" w:line="240" w:lineRule="auto"/>
              <w:rPr>
                <w:rFonts w:cstheme="minorHAnsi"/>
                <w:lang w:val="en-GB"/>
              </w:rPr>
            </w:pPr>
            <w:r w:rsidRPr="00756F68">
              <w:rPr>
                <w:rFonts w:cstheme="minorHAnsi"/>
                <w:lang w:val="en-GB"/>
              </w:rPr>
              <w:t>Refer to section 25 of Part 2, Annex V of the ITS on Supervisory Reporting</w:t>
            </w:r>
            <w:r w:rsidRPr="00756F68">
              <w:rPr>
                <w:rFonts w:cstheme="minorHAnsi"/>
              </w:rPr>
              <w:t>)</w:t>
            </w:r>
          </w:p>
        </w:tc>
      </w:tr>
      <w:tr w:rsidR="00A670A0" w:rsidRPr="00756F68" w14:paraId="6FDE04BF" w14:textId="77777777" w:rsidTr="00086D17">
        <w:trPr>
          <w:cantSplit/>
        </w:trPr>
        <w:tc>
          <w:tcPr>
            <w:tcW w:w="3433" w:type="dxa"/>
            <w:gridSpan w:val="2"/>
          </w:tcPr>
          <w:p w14:paraId="0D3BEB4A" w14:textId="77777777" w:rsidR="00A670A0" w:rsidRPr="00756F68" w:rsidRDefault="00A670A0" w:rsidP="00A40857">
            <w:pPr>
              <w:pStyle w:val="body"/>
              <w:spacing w:before="120" w:line="240" w:lineRule="auto"/>
              <w:rPr>
                <w:rFonts w:cstheme="minorHAnsi"/>
                <w:lang w:val="en-GB"/>
              </w:rPr>
            </w:pPr>
            <w:r w:rsidRPr="00756F68">
              <w:rPr>
                <w:rFonts w:cstheme="minorHAnsi"/>
                <w:lang w:val="en-GB"/>
              </w:rPr>
              <w:t>Accumulated gains and losses</w:t>
            </w:r>
          </w:p>
        </w:tc>
        <w:tc>
          <w:tcPr>
            <w:tcW w:w="5493" w:type="dxa"/>
          </w:tcPr>
          <w:p w14:paraId="4EBE26A9" w14:textId="77777777" w:rsidR="00A670A0" w:rsidRPr="00756F68" w:rsidRDefault="00A670A0" w:rsidP="00A40857">
            <w:pPr>
              <w:pStyle w:val="body"/>
              <w:spacing w:before="120" w:line="240" w:lineRule="auto"/>
              <w:rPr>
                <w:rFonts w:cstheme="minorHAnsi"/>
                <w:lang w:val="en-GB"/>
              </w:rPr>
            </w:pPr>
          </w:p>
        </w:tc>
      </w:tr>
      <w:tr w:rsidR="00A670A0" w:rsidRPr="00756F68" w14:paraId="5F2D1CF2" w14:textId="77777777" w:rsidTr="00086D17">
        <w:trPr>
          <w:cantSplit/>
        </w:trPr>
        <w:tc>
          <w:tcPr>
            <w:tcW w:w="996" w:type="dxa"/>
          </w:tcPr>
          <w:p w14:paraId="33690E0C" w14:textId="77777777" w:rsidR="00A670A0" w:rsidRPr="00756F68" w:rsidRDefault="00A670A0" w:rsidP="00A40857">
            <w:pPr>
              <w:pStyle w:val="body"/>
              <w:spacing w:before="120" w:line="240" w:lineRule="auto"/>
              <w:rPr>
                <w:rFonts w:cstheme="minorHAnsi"/>
                <w:lang w:val="en-GB"/>
              </w:rPr>
            </w:pPr>
            <w:r w:rsidRPr="00756F68">
              <w:rPr>
                <w:rFonts w:cstheme="minorHAnsi"/>
                <w:lang w:val="en-GB"/>
              </w:rPr>
              <w:t>0030</w:t>
            </w:r>
          </w:p>
        </w:tc>
        <w:tc>
          <w:tcPr>
            <w:tcW w:w="2437" w:type="dxa"/>
          </w:tcPr>
          <w:p w14:paraId="604CA32C" w14:textId="77777777" w:rsidR="00A670A0" w:rsidRPr="00756F68" w:rsidRDefault="00A670A0" w:rsidP="00A40857">
            <w:pPr>
              <w:pStyle w:val="body"/>
              <w:spacing w:before="120" w:line="240" w:lineRule="auto"/>
              <w:rPr>
                <w:rFonts w:cstheme="minorHAnsi"/>
                <w:lang w:val="en-GB"/>
              </w:rPr>
            </w:pPr>
            <w:r w:rsidRPr="00756F68">
              <w:rPr>
                <w:rFonts w:cstheme="minorHAnsi"/>
                <w:lang w:val="en-GB"/>
              </w:rPr>
              <w:t>Total hedges</w:t>
            </w:r>
          </w:p>
        </w:tc>
        <w:tc>
          <w:tcPr>
            <w:tcW w:w="5493" w:type="dxa"/>
          </w:tcPr>
          <w:p w14:paraId="2234D070" w14:textId="4B37F929" w:rsidR="00A670A0" w:rsidRPr="00756F68" w:rsidRDefault="00476089" w:rsidP="00A40857">
            <w:pPr>
              <w:pStyle w:val="body"/>
              <w:spacing w:before="120" w:line="240" w:lineRule="auto"/>
              <w:rPr>
                <w:rFonts w:cstheme="minorHAnsi"/>
                <w:lang w:val="en-GB"/>
              </w:rPr>
            </w:pPr>
            <w:r>
              <w:rPr>
                <w:rFonts w:cstheme="minorHAnsi"/>
                <w:lang w:val="en-GB"/>
              </w:rPr>
              <w:t>T</w:t>
            </w:r>
            <w:r w:rsidRPr="00756F68">
              <w:rPr>
                <w:rFonts w:cstheme="minorHAnsi"/>
                <w:lang w:val="en-GB"/>
              </w:rPr>
              <w:t xml:space="preserve">otal </w:t>
            </w:r>
            <w:r w:rsidRPr="00FC251F">
              <w:rPr>
                <w:rFonts w:cstheme="minorHAnsi"/>
                <w:lang w:val="en-GB"/>
              </w:rPr>
              <w:t xml:space="preserve">accumulated gains and losses of derivatives </w:t>
            </w:r>
            <w:r>
              <w:rPr>
                <w:rFonts w:cstheme="minorHAnsi"/>
                <w:lang w:val="en-GB"/>
              </w:rPr>
              <w:t xml:space="preserve">hedging interest rate risk or credit spread risk </w:t>
            </w:r>
            <w:r w:rsidRPr="00FC251F">
              <w:rPr>
                <w:rFonts w:cstheme="minorHAnsi"/>
                <w:lang w:val="en-GB"/>
              </w:rPr>
              <w:t xml:space="preserve">subject to hedge accounting (including both micro and macro hedges) </w:t>
            </w:r>
            <w:r w:rsidRPr="00FC251F">
              <w:rPr>
                <w:rFonts w:cstheme="minorHAnsi"/>
                <w:szCs w:val="22"/>
                <w:lang w:val="en-GB"/>
              </w:rPr>
              <w:t>under the applicable accounting framework</w:t>
            </w:r>
            <w:r>
              <w:rPr>
                <w:rFonts w:cstheme="minorHAnsi"/>
                <w:szCs w:val="22"/>
                <w:lang w:val="en-GB"/>
              </w:rPr>
              <w:t>.</w:t>
            </w:r>
          </w:p>
        </w:tc>
      </w:tr>
      <w:tr w:rsidR="00A670A0" w:rsidRPr="00756F68" w14:paraId="57059AEE" w14:textId="77777777" w:rsidTr="00086D17">
        <w:trPr>
          <w:cantSplit/>
        </w:trPr>
        <w:tc>
          <w:tcPr>
            <w:tcW w:w="996" w:type="dxa"/>
          </w:tcPr>
          <w:p w14:paraId="60BC5BF6" w14:textId="77777777" w:rsidR="00A670A0" w:rsidRPr="00756F68" w:rsidRDefault="00A670A0" w:rsidP="00A40857">
            <w:pPr>
              <w:pStyle w:val="body"/>
              <w:spacing w:before="120" w:line="240" w:lineRule="auto"/>
              <w:rPr>
                <w:rFonts w:cstheme="minorHAnsi"/>
                <w:lang w:val="en-GB"/>
              </w:rPr>
            </w:pPr>
            <w:r w:rsidRPr="00756F68">
              <w:rPr>
                <w:rFonts w:cstheme="minorHAnsi"/>
                <w:lang w:val="en-GB"/>
              </w:rPr>
              <w:t>0040</w:t>
            </w:r>
          </w:p>
        </w:tc>
        <w:tc>
          <w:tcPr>
            <w:tcW w:w="2437" w:type="dxa"/>
          </w:tcPr>
          <w:p w14:paraId="3520C35C" w14:textId="64FE8E12" w:rsidR="00A670A0" w:rsidRPr="00756F68" w:rsidRDefault="00A670A0" w:rsidP="00A40857">
            <w:pPr>
              <w:pStyle w:val="body"/>
              <w:spacing w:before="120" w:line="240" w:lineRule="auto"/>
              <w:rPr>
                <w:rFonts w:cstheme="minorHAnsi"/>
                <w:lang w:val="en-GB"/>
              </w:rPr>
            </w:pPr>
            <w:r w:rsidRPr="00756F68">
              <w:rPr>
                <w:rFonts w:cstheme="minorHAnsi"/>
                <w:lang w:val="en-GB"/>
              </w:rPr>
              <w:t>Of which: Micro Fair value  hedges</w:t>
            </w:r>
          </w:p>
        </w:tc>
        <w:tc>
          <w:tcPr>
            <w:tcW w:w="5493" w:type="dxa"/>
          </w:tcPr>
          <w:p w14:paraId="4AFC95A4" w14:textId="2BE9A7B5" w:rsidR="00A670A0" w:rsidRPr="00756F68" w:rsidRDefault="00476089" w:rsidP="00A40857">
            <w:pPr>
              <w:pStyle w:val="body"/>
              <w:spacing w:before="120" w:line="240" w:lineRule="auto"/>
              <w:rPr>
                <w:rFonts w:cstheme="minorHAnsi"/>
                <w:lang w:val="en-GB"/>
              </w:rPr>
            </w:pPr>
            <w:r>
              <w:rPr>
                <w:rFonts w:cstheme="minorHAnsi"/>
                <w:lang w:val="en-GB"/>
              </w:rPr>
              <w:t>A</w:t>
            </w:r>
            <w:r w:rsidRPr="00FC251F">
              <w:rPr>
                <w:rFonts w:cstheme="minorHAnsi"/>
                <w:lang w:val="en-GB"/>
              </w:rPr>
              <w:t xml:space="preserve">ccumulated gains and losses of </w:t>
            </w:r>
            <w:r>
              <w:rPr>
                <w:rFonts w:cstheme="minorHAnsi"/>
                <w:lang w:val="en-GB"/>
              </w:rPr>
              <w:t xml:space="preserve">hedging derivatives </w:t>
            </w:r>
            <w:r w:rsidRPr="00FC251F">
              <w:rPr>
                <w:rFonts w:cstheme="minorHAnsi"/>
                <w:lang w:val="en-GB"/>
              </w:rPr>
              <w:t>subject</w:t>
            </w:r>
            <w:r>
              <w:rPr>
                <w:rFonts w:cstheme="minorHAnsi"/>
                <w:lang w:val="en-GB"/>
              </w:rPr>
              <w:t xml:space="preserve"> to fair value hedge accounting in relation to interest  rate risk or credit spread </w:t>
            </w:r>
            <w:r w:rsidRPr="001909D5">
              <w:rPr>
                <w:rFonts w:cstheme="minorHAnsi"/>
                <w:lang w:val="en-GB"/>
              </w:rPr>
              <w:t xml:space="preserve">risk other than </w:t>
            </w:r>
            <w:r w:rsidRPr="001909D5">
              <w:rPr>
                <w:rFonts w:cstheme="minorHAnsi"/>
              </w:rPr>
              <w:t xml:space="preserve">macro hedges, </w:t>
            </w:r>
            <w:r w:rsidRPr="001909D5">
              <w:rPr>
                <w:rFonts w:cstheme="minorHAnsi"/>
                <w:szCs w:val="22"/>
                <w:lang w:val="en-GB"/>
              </w:rPr>
              <w:t>under the applicable accounting framework.</w:t>
            </w:r>
          </w:p>
        </w:tc>
      </w:tr>
      <w:tr w:rsidR="00A670A0" w:rsidRPr="00756F68" w14:paraId="45F71FAD" w14:textId="77777777" w:rsidTr="00086D17">
        <w:trPr>
          <w:cantSplit/>
        </w:trPr>
        <w:tc>
          <w:tcPr>
            <w:tcW w:w="996" w:type="dxa"/>
          </w:tcPr>
          <w:p w14:paraId="0D157AF3" w14:textId="41FA96CB" w:rsidR="00A670A0" w:rsidRPr="00756F68" w:rsidRDefault="00A670A0" w:rsidP="00A40857">
            <w:pPr>
              <w:pStyle w:val="body"/>
              <w:spacing w:before="120" w:line="240" w:lineRule="auto"/>
              <w:rPr>
                <w:rFonts w:cstheme="minorHAnsi"/>
                <w:lang w:val="en-GB"/>
              </w:rPr>
            </w:pPr>
            <w:r w:rsidRPr="00756F68">
              <w:rPr>
                <w:rFonts w:cstheme="minorHAnsi"/>
                <w:lang w:val="en-GB"/>
              </w:rPr>
              <w:t>00</w:t>
            </w:r>
            <w:r w:rsidR="00C2552B">
              <w:rPr>
                <w:rFonts w:cstheme="minorHAnsi"/>
                <w:lang w:val="en-GB"/>
              </w:rPr>
              <w:t>50</w:t>
            </w:r>
          </w:p>
        </w:tc>
        <w:tc>
          <w:tcPr>
            <w:tcW w:w="2437" w:type="dxa"/>
          </w:tcPr>
          <w:p w14:paraId="0C1A71A1" w14:textId="149D478C" w:rsidR="00A670A0" w:rsidRPr="00756F68" w:rsidRDefault="00A670A0" w:rsidP="00A40857">
            <w:pPr>
              <w:pStyle w:val="body"/>
              <w:spacing w:before="120" w:line="240" w:lineRule="auto"/>
              <w:rPr>
                <w:rFonts w:cstheme="minorHAnsi"/>
                <w:lang w:val="en-GB"/>
              </w:rPr>
            </w:pPr>
            <w:r w:rsidRPr="00756F68">
              <w:rPr>
                <w:rFonts w:cstheme="minorHAnsi"/>
                <w:lang w:val="en-GB"/>
              </w:rPr>
              <w:t>Of which: cash-flow hedges</w:t>
            </w:r>
          </w:p>
        </w:tc>
        <w:tc>
          <w:tcPr>
            <w:tcW w:w="5493" w:type="dxa"/>
          </w:tcPr>
          <w:p w14:paraId="6D85ED8D" w14:textId="5201975B" w:rsidR="00A670A0" w:rsidRPr="00756F68" w:rsidRDefault="00476089" w:rsidP="00A40857">
            <w:pPr>
              <w:pStyle w:val="body"/>
              <w:spacing w:before="120" w:line="240" w:lineRule="auto"/>
              <w:rPr>
                <w:rFonts w:cstheme="minorHAnsi"/>
                <w:lang w:val="en-GB"/>
              </w:rPr>
            </w:pPr>
            <w:r>
              <w:rPr>
                <w:rFonts w:cstheme="minorHAnsi"/>
                <w:lang w:val="en-GB"/>
              </w:rPr>
              <w:t>A</w:t>
            </w:r>
            <w:r w:rsidRPr="00FC251F">
              <w:rPr>
                <w:rFonts w:cstheme="minorHAnsi"/>
                <w:lang w:val="en-GB"/>
              </w:rPr>
              <w:t xml:space="preserve">ccumulated gains and losses of </w:t>
            </w:r>
            <w:r>
              <w:rPr>
                <w:rFonts w:cstheme="minorHAnsi"/>
                <w:lang w:val="en-GB"/>
              </w:rPr>
              <w:t xml:space="preserve">hedging derivatives </w:t>
            </w:r>
            <w:r w:rsidRPr="00FC251F">
              <w:rPr>
                <w:rFonts w:cstheme="minorHAnsi"/>
                <w:lang w:val="en-GB"/>
              </w:rPr>
              <w:t>subject</w:t>
            </w:r>
            <w:r>
              <w:rPr>
                <w:rFonts w:cstheme="minorHAnsi"/>
                <w:lang w:val="en-GB"/>
              </w:rPr>
              <w:t xml:space="preserve"> to cash flow hedge accounting in relation to interest  rate risk or credit spread </w:t>
            </w:r>
            <w:r w:rsidRPr="001909D5">
              <w:rPr>
                <w:rFonts w:cstheme="minorHAnsi"/>
                <w:lang w:val="en-GB"/>
              </w:rPr>
              <w:t xml:space="preserve">risk other than </w:t>
            </w:r>
            <w:r w:rsidRPr="001909D5">
              <w:rPr>
                <w:rFonts w:cstheme="minorHAnsi"/>
              </w:rPr>
              <w:t xml:space="preserve">macro hedges, </w:t>
            </w:r>
            <w:r w:rsidRPr="001909D5">
              <w:rPr>
                <w:rFonts w:cstheme="minorHAnsi"/>
                <w:szCs w:val="22"/>
                <w:lang w:val="en-GB"/>
              </w:rPr>
              <w:t>under the applicable accounting framework.</w:t>
            </w:r>
          </w:p>
        </w:tc>
      </w:tr>
      <w:tr w:rsidR="00A670A0" w:rsidRPr="00756F68" w14:paraId="3C19265C" w14:textId="77777777" w:rsidTr="00086D17">
        <w:trPr>
          <w:cantSplit/>
        </w:trPr>
        <w:tc>
          <w:tcPr>
            <w:tcW w:w="996" w:type="dxa"/>
          </w:tcPr>
          <w:p w14:paraId="34870797" w14:textId="4A03019F" w:rsidR="00A670A0" w:rsidRPr="00756F68" w:rsidRDefault="00A670A0" w:rsidP="00A40857">
            <w:pPr>
              <w:pStyle w:val="body"/>
              <w:spacing w:before="120" w:line="240" w:lineRule="auto"/>
              <w:rPr>
                <w:rFonts w:cstheme="minorHAnsi"/>
                <w:lang w:val="en-GB"/>
              </w:rPr>
            </w:pPr>
            <w:r w:rsidRPr="00756F68">
              <w:rPr>
                <w:rFonts w:cstheme="minorHAnsi"/>
                <w:lang w:val="en-GB"/>
              </w:rPr>
              <w:t>00</w:t>
            </w:r>
            <w:r w:rsidR="00C2552B">
              <w:rPr>
                <w:rFonts w:cstheme="minorHAnsi"/>
                <w:lang w:val="en-GB"/>
              </w:rPr>
              <w:t>60</w:t>
            </w:r>
          </w:p>
        </w:tc>
        <w:tc>
          <w:tcPr>
            <w:tcW w:w="2437" w:type="dxa"/>
          </w:tcPr>
          <w:p w14:paraId="3B3AFA3B" w14:textId="70CE74C3" w:rsidR="00A670A0" w:rsidRPr="00756F68" w:rsidRDefault="00A670A0" w:rsidP="00A40857">
            <w:pPr>
              <w:pStyle w:val="body"/>
              <w:spacing w:before="120" w:line="240" w:lineRule="auto"/>
              <w:rPr>
                <w:rFonts w:cstheme="minorHAnsi"/>
                <w:lang w:val="en-GB"/>
              </w:rPr>
            </w:pPr>
            <w:r w:rsidRPr="00756F68">
              <w:rPr>
                <w:rFonts w:cstheme="minorHAnsi"/>
                <w:lang w:val="en-GB"/>
              </w:rPr>
              <w:t>Of which: macro hedges</w:t>
            </w:r>
          </w:p>
        </w:tc>
        <w:tc>
          <w:tcPr>
            <w:tcW w:w="5493" w:type="dxa"/>
          </w:tcPr>
          <w:p w14:paraId="609E831F" w14:textId="4FAB43BF" w:rsidR="00A670A0" w:rsidRPr="00756F68" w:rsidRDefault="00476089" w:rsidP="00A40857">
            <w:pPr>
              <w:pStyle w:val="body"/>
              <w:spacing w:before="120" w:line="240" w:lineRule="auto"/>
              <w:rPr>
                <w:rFonts w:cstheme="minorHAnsi"/>
                <w:lang w:val="en-GB"/>
              </w:rPr>
            </w:pPr>
            <w:r w:rsidRPr="00756F68">
              <w:rPr>
                <w:rFonts w:cstheme="minorHAnsi"/>
                <w:lang w:val="en-GB"/>
              </w:rPr>
              <w:t xml:space="preserve">Accumulated gains and losses of </w:t>
            </w:r>
            <w:r>
              <w:rPr>
                <w:rFonts w:cstheme="minorHAnsi"/>
                <w:lang w:val="en-GB"/>
              </w:rPr>
              <w:t xml:space="preserve">derivatives </w:t>
            </w:r>
            <w:r w:rsidRPr="00756F68">
              <w:rPr>
                <w:rFonts w:cstheme="minorHAnsi"/>
                <w:lang w:val="en-GB"/>
              </w:rPr>
              <w:t xml:space="preserve">hedging </w:t>
            </w:r>
            <w:r>
              <w:rPr>
                <w:rFonts w:cstheme="minorHAnsi"/>
                <w:lang w:val="en-GB"/>
              </w:rPr>
              <w:t>interest rate risk or credit spread risk at portfolio level and subject to</w:t>
            </w:r>
            <w:r w:rsidRPr="00756F68">
              <w:rPr>
                <w:rFonts w:cstheme="minorHAnsi"/>
                <w:lang w:val="en-GB"/>
              </w:rPr>
              <w:t xml:space="preserve"> ‘hedge accounting’ </w:t>
            </w:r>
            <w:r>
              <w:rPr>
                <w:rFonts w:cstheme="minorHAnsi"/>
                <w:lang w:val="en-GB"/>
              </w:rPr>
              <w:t>under the applicable accounting framework (</w:t>
            </w:r>
            <w:proofErr w:type="spellStart"/>
            <w:r>
              <w:rPr>
                <w:rFonts w:cstheme="minorHAnsi"/>
                <w:lang w:val="en-GB"/>
              </w:rPr>
              <w:t>e.g</w:t>
            </w:r>
            <w:proofErr w:type="spellEnd"/>
            <w:r>
              <w:rPr>
                <w:rFonts w:cstheme="minorHAnsi"/>
                <w:lang w:val="en-GB"/>
              </w:rPr>
              <w:t xml:space="preserve"> </w:t>
            </w:r>
            <w:r w:rsidRPr="00755ABF">
              <w:t>portfolio hedge of interest rate risk in accordance with IAS 39.89A</w:t>
            </w:r>
            <w:r>
              <w:rPr>
                <w:rFonts w:cstheme="minorHAnsi"/>
                <w:lang w:val="en-GB"/>
              </w:rPr>
              <w:t>).</w:t>
            </w:r>
          </w:p>
        </w:tc>
      </w:tr>
      <w:tr w:rsidR="00A670A0" w:rsidRPr="00756F68" w14:paraId="274A5F00" w14:textId="77777777" w:rsidTr="00086D17">
        <w:trPr>
          <w:cantSplit/>
        </w:trPr>
        <w:tc>
          <w:tcPr>
            <w:tcW w:w="996" w:type="dxa"/>
          </w:tcPr>
          <w:p w14:paraId="2BE1790E" w14:textId="0404BF1A" w:rsidR="00A670A0" w:rsidRPr="00756F68" w:rsidRDefault="00A670A0" w:rsidP="00A40857">
            <w:pPr>
              <w:pStyle w:val="body"/>
              <w:spacing w:before="120" w:line="240" w:lineRule="auto"/>
              <w:rPr>
                <w:rFonts w:cstheme="minorHAnsi"/>
                <w:lang w:val="en-GB"/>
              </w:rPr>
            </w:pPr>
            <w:r w:rsidRPr="00756F68">
              <w:rPr>
                <w:rFonts w:cstheme="minorHAnsi"/>
                <w:lang w:val="en-GB"/>
              </w:rPr>
              <w:lastRenderedPageBreak/>
              <w:t>00</w:t>
            </w:r>
            <w:r w:rsidR="00C2552B">
              <w:rPr>
                <w:rFonts w:cstheme="minorHAnsi"/>
                <w:lang w:val="en-GB"/>
              </w:rPr>
              <w:t>70</w:t>
            </w:r>
          </w:p>
        </w:tc>
        <w:tc>
          <w:tcPr>
            <w:tcW w:w="2437" w:type="dxa"/>
          </w:tcPr>
          <w:p w14:paraId="03EDDB91" w14:textId="330A8D95" w:rsidR="00A670A0" w:rsidRPr="00756F68" w:rsidRDefault="00A670A0" w:rsidP="00A40857">
            <w:pPr>
              <w:pStyle w:val="body"/>
              <w:spacing w:before="120" w:line="240" w:lineRule="auto"/>
              <w:rPr>
                <w:rFonts w:cstheme="minorHAnsi"/>
                <w:lang w:val="en-GB"/>
              </w:rPr>
            </w:pPr>
            <w:r w:rsidRPr="00756F68">
              <w:rPr>
                <w:rFonts w:cstheme="minorHAnsi"/>
                <w:lang w:val="en-GB"/>
              </w:rPr>
              <w:t>Economic value from behavioural assumptions</w:t>
            </w:r>
            <w:r w:rsidR="003D6336">
              <w:rPr>
                <w:rStyle w:val="FootnoteReference"/>
                <w:rFonts w:cstheme="minorHAnsi"/>
                <w:lang w:val="en-GB"/>
              </w:rPr>
              <w:footnoteReference w:id="6"/>
            </w:r>
          </w:p>
        </w:tc>
        <w:tc>
          <w:tcPr>
            <w:tcW w:w="5493" w:type="dxa"/>
            <w:vMerge w:val="restart"/>
          </w:tcPr>
          <w:p w14:paraId="3C01B1FB" w14:textId="15557566" w:rsidR="00A670A0" w:rsidRPr="00756F68" w:rsidRDefault="00A670A0" w:rsidP="00A40857">
            <w:pPr>
              <w:jc w:val="both"/>
              <w:rPr>
                <w:rFonts w:cstheme="minorHAnsi"/>
              </w:rPr>
            </w:pPr>
            <w:r w:rsidRPr="00756F68">
              <w:rPr>
                <w:rFonts w:cstheme="minorHAnsi"/>
              </w:rPr>
              <w:t xml:space="preserve">The economic value capture banks’ own assessment / calculations of all other differences between economic values and book values which are not already reflected in columns 0040, 0050 or 0060. The term “economic value” is identical to the one defined in the ECB ICAAP Guide, in particular in paras 48 ff., para 70 and example 5.1. Banks should report any difference between (amortised cost) book values and what they consider as the “true” economic value of assets and liabilities, following the different dimensions foreseen by the template. </w:t>
            </w:r>
          </w:p>
          <w:p w14:paraId="570CF61B" w14:textId="78428130" w:rsidR="00A670A0" w:rsidRPr="00756F68" w:rsidRDefault="00A670A0" w:rsidP="00A40857">
            <w:pPr>
              <w:jc w:val="both"/>
              <w:rPr>
                <w:rFonts w:cstheme="minorHAnsi"/>
                <w:highlight w:val="yellow"/>
              </w:rPr>
            </w:pPr>
            <w:r w:rsidRPr="00756F68">
              <w:rPr>
                <w:rFonts w:cstheme="minorHAnsi"/>
              </w:rPr>
              <w:t xml:space="preserve">A key driver for differences between what banks </w:t>
            </w:r>
            <w:proofErr w:type="gramStart"/>
            <w:r w:rsidRPr="00756F68">
              <w:rPr>
                <w:rFonts w:cstheme="minorHAnsi"/>
              </w:rPr>
              <w:t>consider</w:t>
            </w:r>
            <w:proofErr w:type="gramEnd"/>
            <w:r w:rsidRPr="00756F68">
              <w:rPr>
                <w:rFonts w:cstheme="minorHAnsi"/>
              </w:rPr>
              <w:t xml:space="preserve"> as economically adequate values and book values are behavioural assumptions, which are expected to be reported in column 0070. For example, while assets and liabilities are subject to legal repricing dates, the real repricing may deviate from these formal dates both in terms of date and in terms of magnitude</w:t>
            </w:r>
            <w:r w:rsidRPr="00756F68">
              <w:rPr>
                <w:rStyle w:val="FootnoteReference"/>
                <w:rFonts w:cstheme="minorHAnsi"/>
              </w:rPr>
              <w:footnoteReference w:id="7"/>
            </w:r>
            <w:r w:rsidRPr="00756F68">
              <w:rPr>
                <w:rFonts w:cstheme="minorHAnsi"/>
              </w:rPr>
              <w:t>, i.e. banks may be of the opinion that there is a difference between the economic value of assets or liabilities and their book values, due to customer behaviour modelling. That difference should be reported in column 00</w:t>
            </w:r>
            <w:r w:rsidR="00E9314D" w:rsidRPr="00756F68">
              <w:rPr>
                <w:rFonts w:cstheme="minorHAnsi"/>
              </w:rPr>
              <w:t>7</w:t>
            </w:r>
            <w:r w:rsidRPr="00756F68">
              <w:rPr>
                <w:rFonts w:cstheme="minorHAnsi"/>
              </w:rPr>
              <w:t>0. Furthermore, banks may be of the opinion that even factoring in F</w:t>
            </w:r>
            <w:r w:rsidR="00E9314D" w:rsidRPr="00756F68">
              <w:rPr>
                <w:rFonts w:cstheme="minorHAnsi"/>
              </w:rPr>
              <w:t xml:space="preserve">INREP </w:t>
            </w:r>
            <w:r w:rsidRPr="00756F68">
              <w:rPr>
                <w:rFonts w:cstheme="minorHAnsi"/>
              </w:rPr>
              <w:t>41 fair values, hedges not reflected in F</w:t>
            </w:r>
            <w:r w:rsidR="00E9314D" w:rsidRPr="00756F68">
              <w:rPr>
                <w:rFonts w:cstheme="minorHAnsi"/>
              </w:rPr>
              <w:t xml:space="preserve">INREP </w:t>
            </w:r>
            <w:r w:rsidRPr="00756F68">
              <w:rPr>
                <w:rFonts w:cstheme="minorHAnsi"/>
              </w:rPr>
              <w:t>41 and behavioural assumptions, there may still be differences between book values of assets and liabilities, respectively, and their economic values. Any such remaining differences should be reported in column 00</w:t>
            </w:r>
            <w:r w:rsidR="00E9314D" w:rsidRPr="00756F68">
              <w:rPr>
                <w:rFonts w:cstheme="minorHAnsi"/>
              </w:rPr>
              <w:t>7</w:t>
            </w:r>
            <w:r w:rsidRPr="00756F68">
              <w:rPr>
                <w:rFonts w:cstheme="minorHAnsi"/>
              </w:rPr>
              <w:t>0</w:t>
            </w:r>
          </w:p>
        </w:tc>
      </w:tr>
      <w:tr w:rsidR="00A670A0" w:rsidRPr="00756F68" w14:paraId="604624B8" w14:textId="77777777" w:rsidTr="00086D17">
        <w:trPr>
          <w:cantSplit/>
        </w:trPr>
        <w:tc>
          <w:tcPr>
            <w:tcW w:w="996" w:type="dxa"/>
          </w:tcPr>
          <w:p w14:paraId="6B2B39C5" w14:textId="4F5D0C13" w:rsidR="00A670A0" w:rsidRPr="00756F68" w:rsidRDefault="00A670A0" w:rsidP="00A40857">
            <w:pPr>
              <w:pStyle w:val="body"/>
              <w:spacing w:before="120" w:line="240" w:lineRule="auto"/>
              <w:rPr>
                <w:rFonts w:cstheme="minorHAnsi"/>
                <w:lang w:val="en-GB"/>
              </w:rPr>
            </w:pPr>
            <w:r w:rsidRPr="00756F68">
              <w:rPr>
                <w:rFonts w:cstheme="minorHAnsi"/>
                <w:lang w:val="en-GB"/>
              </w:rPr>
              <w:t>00</w:t>
            </w:r>
            <w:r w:rsidR="00C2552B">
              <w:rPr>
                <w:rFonts w:cstheme="minorHAnsi"/>
                <w:lang w:val="en-GB"/>
              </w:rPr>
              <w:t>80</w:t>
            </w:r>
          </w:p>
        </w:tc>
        <w:tc>
          <w:tcPr>
            <w:tcW w:w="2437" w:type="dxa"/>
          </w:tcPr>
          <w:p w14:paraId="7454324D" w14:textId="6465E6E7" w:rsidR="00A670A0" w:rsidRPr="00756F68" w:rsidRDefault="00A670A0" w:rsidP="00A40857">
            <w:pPr>
              <w:pStyle w:val="body"/>
              <w:spacing w:before="120" w:line="240" w:lineRule="auto"/>
              <w:rPr>
                <w:rFonts w:cstheme="minorHAnsi"/>
                <w:lang w:val="en-GB"/>
              </w:rPr>
            </w:pPr>
            <w:r w:rsidRPr="00756F68">
              <w:rPr>
                <w:rFonts w:cstheme="minorHAnsi"/>
                <w:lang w:val="en-GB"/>
              </w:rPr>
              <w:t>Other effects considered relevant for economic value (not captured by columns to the left)</w:t>
            </w:r>
            <w:r w:rsidR="003D6336">
              <w:rPr>
                <w:rStyle w:val="FootnoteReference"/>
                <w:rFonts w:cstheme="minorHAnsi"/>
                <w:lang w:val="en-GB"/>
              </w:rPr>
              <w:footnoteReference w:id="8"/>
            </w:r>
          </w:p>
        </w:tc>
        <w:tc>
          <w:tcPr>
            <w:tcW w:w="5493" w:type="dxa"/>
            <w:vMerge/>
          </w:tcPr>
          <w:p w14:paraId="5D1A9800" w14:textId="77777777" w:rsidR="00A670A0" w:rsidRPr="00756F68" w:rsidRDefault="00A670A0" w:rsidP="00A40857">
            <w:pPr>
              <w:pStyle w:val="body"/>
              <w:spacing w:before="120" w:line="240" w:lineRule="auto"/>
              <w:rPr>
                <w:rFonts w:cstheme="minorHAnsi"/>
                <w:lang w:val="en-GB"/>
              </w:rPr>
            </w:pPr>
          </w:p>
        </w:tc>
      </w:tr>
      <w:tr w:rsidR="00A670A0" w:rsidRPr="00756F68" w14:paraId="3F6D4115" w14:textId="77777777" w:rsidTr="00086D17">
        <w:trPr>
          <w:cantSplit/>
        </w:trPr>
        <w:tc>
          <w:tcPr>
            <w:tcW w:w="996" w:type="dxa"/>
          </w:tcPr>
          <w:p w14:paraId="7DFB962F" w14:textId="6C19E1EB" w:rsidR="00A670A0" w:rsidRPr="00756F68" w:rsidRDefault="00A670A0" w:rsidP="00A40857">
            <w:pPr>
              <w:pStyle w:val="body"/>
              <w:spacing w:before="120" w:line="240" w:lineRule="auto"/>
              <w:rPr>
                <w:rFonts w:cstheme="minorHAnsi"/>
                <w:lang w:val="en-GB"/>
              </w:rPr>
            </w:pPr>
            <w:r w:rsidRPr="00756F68">
              <w:rPr>
                <w:rFonts w:cstheme="minorHAnsi"/>
                <w:lang w:val="en-GB"/>
              </w:rPr>
              <w:t>00</w:t>
            </w:r>
            <w:r w:rsidR="00C2552B">
              <w:rPr>
                <w:rFonts w:cstheme="minorHAnsi"/>
                <w:lang w:val="en-GB"/>
              </w:rPr>
              <w:t>90</w:t>
            </w:r>
          </w:p>
        </w:tc>
        <w:tc>
          <w:tcPr>
            <w:tcW w:w="2437" w:type="dxa"/>
          </w:tcPr>
          <w:p w14:paraId="37BD8621" w14:textId="25032828" w:rsidR="00A670A0" w:rsidRPr="00756F68" w:rsidRDefault="00A670A0" w:rsidP="00A40857">
            <w:pPr>
              <w:pStyle w:val="body"/>
              <w:spacing w:before="120" w:line="240" w:lineRule="auto"/>
              <w:rPr>
                <w:rFonts w:cstheme="minorHAnsi"/>
                <w:lang w:val="en-GB"/>
              </w:rPr>
            </w:pPr>
            <w:r w:rsidRPr="00756F68">
              <w:rPr>
                <w:rFonts w:cstheme="minorHAnsi"/>
                <w:lang w:val="en-GB"/>
              </w:rPr>
              <w:t xml:space="preserve">Unrealised losses </w:t>
            </w:r>
          </w:p>
        </w:tc>
        <w:tc>
          <w:tcPr>
            <w:tcW w:w="5493" w:type="dxa"/>
          </w:tcPr>
          <w:p w14:paraId="7CCF7FF8" w14:textId="7E724642" w:rsidR="00A670A0" w:rsidRPr="00756F68" w:rsidRDefault="00A670A0" w:rsidP="00A40857">
            <w:pPr>
              <w:pStyle w:val="body"/>
              <w:spacing w:before="120" w:line="240" w:lineRule="auto"/>
              <w:rPr>
                <w:rFonts w:cstheme="minorHAnsi"/>
                <w:lang w:val="en-GB"/>
              </w:rPr>
            </w:pPr>
            <w:r w:rsidRPr="00756F68">
              <w:rPr>
                <w:rFonts w:cstheme="minorHAnsi"/>
                <w:lang w:val="en-GB"/>
              </w:rPr>
              <w:t>Unrealised losses/gains should be the lower between 0 and  (Carrying amount (column 0010) – Fair value (column 0020) + accumulated gains and losses (Cash flow hedges (column 0050) + Macro hedges (column 0060) )</w:t>
            </w:r>
          </w:p>
        </w:tc>
      </w:tr>
    </w:tbl>
    <w:p w14:paraId="43F9759F" w14:textId="2711BC4C" w:rsidR="0082134B" w:rsidRPr="00756F68" w:rsidRDefault="0082134B" w:rsidP="00A40857">
      <w:pPr>
        <w:jc w:val="both"/>
        <w:rPr>
          <w:rFonts w:cstheme="minorHAnsi"/>
        </w:rPr>
      </w:pPr>
      <w:r w:rsidRPr="00756F68">
        <w:rPr>
          <w:rFonts w:cstheme="minorHAnsi"/>
        </w:rPr>
        <w:t xml:space="preserve"> </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6"/>
        <w:gridCol w:w="2437"/>
        <w:gridCol w:w="5493"/>
      </w:tblGrid>
      <w:tr w:rsidR="00BF30F0" w:rsidRPr="00756F68" w14:paraId="6E5665C4" w14:textId="77777777" w:rsidTr="0099006E">
        <w:trPr>
          <w:cantSplit/>
          <w:trHeight w:val="325"/>
          <w:tblHeader/>
        </w:trPr>
        <w:tc>
          <w:tcPr>
            <w:tcW w:w="996" w:type="dxa"/>
            <w:hideMark/>
          </w:tcPr>
          <w:p w14:paraId="1A895E6C" w14:textId="77777777" w:rsidR="00BF30F0" w:rsidRPr="00756F68" w:rsidRDefault="00BF30F0" w:rsidP="00A40857">
            <w:pPr>
              <w:pStyle w:val="body"/>
              <w:spacing w:before="120" w:line="240" w:lineRule="auto"/>
              <w:rPr>
                <w:rFonts w:cstheme="minorHAnsi"/>
                <w:b/>
                <w:bCs/>
                <w:lang w:val="en-GB"/>
              </w:rPr>
            </w:pPr>
            <w:r w:rsidRPr="00756F68">
              <w:rPr>
                <w:rFonts w:cstheme="minorHAnsi"/>
                <w:b/>
                <w:bCs/>
                <w:lang w:val="en-GB"/>
              </w:rPr>
              <w:lastRenderedPageBreak/>
              <w:t>Row</w:t>
            </w:r>
          </w:p>
        </w:tc>
        <w:tc>
          <w:tcPr>
            <w:tcW w:w="2437" w:type="dxa"/>
            <w:hideMark/>
          </w:tcPr>
          <w:p w14:paraId="22F82004" w14:textId="77777777" w:rsidR="00BF30F0" w:rsidRPr="00756F68" w:rsidRDefault="00BF30F0" w:rsidP="00A40857">
            <w:pPr>
              <w:pStyle w:val="body"/>
              <w:spacing w:before="120" w:line="240" w:lineRule="auto"/>
              <w:rPr>
                <w:rFonts w:cstheme="minorHAnsi"/>
                <w:b/>
                <w:bCs/>
                <w:lang w:val="en-GB"/>
              </w:rPr>
            </w:pPr>
            <w:r w:rsidRPr="00756F68">
              <w:rPr>
                <w:rFonts w:cstheme="minorHAnsi"/>
                <w:b/>
                <w:bCs/>
                <w:lang w:val="en-GB"/>
              </w:rPr>
              <w:t>Heading</w:t>
            </w:r>
          </w:p>
        </w:tc>
        <w:tc>
          <w:tcPr>
            <w:tcW w:w="5493" w:type="dxa"/>
            <w:hideMark/>
          </w:tcPr>
          <w:p w14:paraId="23F0F792" w14:textId="77777777" w:rsidR="00BF30F0" w:rsidRPr="00756F68" w:rsidRDefault="00BF30F0" w:rsidP="00A40857">
            <w:pPr>
              <w:pStyle w:val="body"/>
              <w:spacing w:before="120" w:line="240" w:lineRule="auto"/>
              <w:rPr>
                <w:rFonts w:cstheme="minorHAnsi"/>
                <w:b/>
                <w:bCs/>
                <w:lang w:val="en-GB"/>
              </w:rPr>
            </w:pPr>
            <w:r w:rsidRPr="00756F68">
              <w:rPr>
                <w:rFonts w:cstheme="minorHAnsi"/>
                <w:b/>
                <w:bCs/>
                <w:lang w:val="en-GB"/>
              </w:rPr>
              <w:t>Description</w:t>
            </w:r>
          </w:p>
        </w:tc>
      </w:tr>
      <w:tr w:rsidR="00C2552B" w:rsidRPr="00756F68" w14:paraId="5C0FE86C" w14:textId="77777777" w:rsidTr="0099006E">
        <w:trPr>
          <w:cantSplit/>
        </w:trPr>
        <w:tc>
          <w:tcPr>
            <w:tcW w:w="996" w:type="dxa"/>
          </w:tcPr>
          <w:p w14:paraId="6C5D7F80" w14:textId="7E93F86A" w:rsidR="00C2552B" w:rsidRPr="00756F68" w:rsidRDefault="00C2552B" w:rsidP="00A40857">
            <w:pPr>
              <w:pStyle w:val="body"/>
              <w:spacing w:before="120" w:line="240" w:lineRule="auto"/>
              <w:rPr>
                <w:rFonts w:cstheme="minorHAnsi"/>
                <w:lang w:val="en-GB"/>
              </w:rPr>
            </w:pPr>
            <w:r>
              <w:rPr>
                <w:rFonts w:cstheme="minorHAnsi"/>
                <w:lang w:val="en-GB"/>
              </w:rPr>
              <w:t>0010</w:t>
            </w:r>
          </w:p>
        </w:tc>
        <w:tc>
          <w:tcPr>
            <w:tcW w:w="2437" w:type="dxa"/>
          </w:tcPr>
          <w:p w14:paraId="59F149D5" w14:textId="4AFBA281" w:rsidR="00C2552B" w:rsidRPr="00756F68" w:rsidRDefault="00C2552B" w:rsidP="00A40857">
            <w:pPr>
              <w:pStyle w:val="body"/>
              <w:spacing w:before="120" w:line="240" w:lineRule="auto"/>
              <w:rPr>
                <w:rFonts w:cstheme="minorHAnsi"/>
                <w:lang w:val="en-GB"/>
              </w:rPr>
            </w:pPr>
            <w:r>
              <w:rPr>
                <w:rFonts w:cstheme="minorHAnsi"/>
                <w:lang w:val="en-GB"/>
              </w:rPr>
              <w:t xml:space="preserve">Total </w:t>
            </w:r>
            <w:r w:rsidRPr="00756F68">
              <w:rPr>
                <w:rFonts w:cstheme="minorHAnsi"/>
                <w:lang w:val="en-GB"/>
              </w:rPr>
              <w:t>Unrealised losses</w:t>
            </w:r>
          </w:p>
        </w:tc>
        <w:tc>
          <w:tcPr>
            <w:tcW w:w="5493" w:type="dxa"/>
          </w:tcPr>
          <w:p w14:paraId="18AA65CB" w14:textId="1385F148" w:rsidR="00C2552B" w:rsidRPr="00756F68" w:rsidRDefault="00C2552B" w:rsidP="00A40857">
            <w:pPr>
              <w:pStyle w:val="body"/>
              <w:spacing w:before="120" w:line="240" w:lineRule="auto"/>
              <w:rPr>
                <w:rFonts w:cstheme="minorHAnsi"/>
                <w:lang w:val="en-GB"/>
              </w:rPr>
            </w:pPr>
            <w:r w:rsidRPr="00756F68">
              <w:rPr>
                <w:rFonts w:cstheme="minorHAnsi"/>
                <w:lang w:val="en-GB"/>
              </w:rPr>
              <w:t>Unrealised losses/gains should be the lower between 0 and  (Carrying amount (column 0010) – Fair value (column 0020) + accumulated gains and losses (Cash flow hedges (column 0050) + Macro hedges (column 0060) )</w:t>
            </w:r>
          </w:p>
        </w:tc>
      </w:tr>
      <w:tr w:rsidR="00575474" w:rsidRPr="00756F68" w14:paraId="5111B626" w14:textId="77777777" w:rsidTr="0099006E">
        <w:trPr>
          <w:cantSplit/>
        </w:trPr>
        <w:tc>
          <w:tcPr>
            <w:tcW w:w="996" w:type="dxa"/>
          </w:tcPr>
          <w:p w14:paraId="60A77363" w14:textId="3EC60A1E" w:rsidR="00575474" w:rsidRPr="00756F68" w:rsidRDefault="00575474" w:rsidP="00A40857">
            <w:pPr>
              <w:pStyle w:val="body"/>
              <w:spacing w:before="120" w:line="240" w:lineRule="auto"/>
              <w:rPr>
                <w:rFonts w:cstheme="minorHAnsi"/>
                <w:lang w:val="en-GB"/>
              </w:rPr>
            </w:pPr>
            <w:r w:rsidRPr="00756F68">
              <w:rPr>
                <w:rFonts w:cstheme="minorHAnsi"/>
                <w:lang w:val="en-GB"/>
              </w:rPr>
              <w:t>0</w:t>
            </w:r>
            <w:r w:rsidR="007E1874" w:rsidRPr="00756F68">
              <w:rPr>
                <w:rFonts w:cstheme="minorHAnsi"/>
                <w:lang w:val="en-GB"/>
              </w:rPr>
              <w:t>0</w:t>
            </w:r>
            <w:r w:rsidR="00C2552B">
              <w:rPr>
                <w:rFonts w:cstheme="minorHAnsi"/>
                <w:lang w:val="en-GB"/>
              </w:rPr>
              <w:t>20</w:t>
            </w:r>
          </w:p>
        </w:tc>
        <w:tc>
          <w:tcPr>
            <w:tcW w:w="2437" w:type="dxa"/>
          </w:tcPr>
          <w:p w14:paraId="130296A7" w14:textId="0CBBCCEA" w:rsidR="00575474" w:rsidRPr="00756F68" w:rsidRDefault="00575474" w:rsidP="00A40857">
            <w:pPr>
              <w:pStyle w:val="body"/>
              <w:spacing w:before="120" w:line="240" w:lineRule="auto"/>
              <w:rPr>
                <w:rFonts w:cstheme="minorHAnsi"/>
              </w:rPr>
            </w:pPr>
            <w:r w:rsidRPr="00756F68">
              <w:rPr>
                <w:rFonts w:cstheme="minorHAnsi"/>
                <w:lang w:val="en-GB"/>
              </w:rPr>
              <w:t>Total Assets</w:t>
            </w:r>
          </w:p>
        </w:tc>
        <w:tc>
          <w:tcPr>
            <w:tcW w:w="5493" w:type="dxa"/>
          </w:tcPr>
          <w:p w14:paraId="655A378B" w14:textId="67106B13" w:rsidR="00575474" w:rsidRPr="00756F68" w:rsidRDefault="00575474" w:rsidP="00A40857">
            <w:pPr>
              <w:pStyle w:val="body"/>
              <w:spacing w:before="120" w:line="240" w:lineRule="auto"/>
              <w:rPr>
                <w:rFonts w:cstheme="minorHAnsi"/>
                <w:lang w:val="en-GB"/>
              </w:rPr>
            </w:pPr>
            <w:r w:rsidRPr="00756F68">
              <w:rPr>
                <w:rFonts w:cstheme="minorHAnsi"/>
                <w:lang w:val="en-GB"/>
              </w:rPr>
              <w:t xml:space="preserve">In order to reduce the number of data points to be reported, this column should be used for reporting the combined </w:t>
            </w:r>
            <w:r w:rsidR="000014D1" w:rsidRPr="00756F68">
              <w:rPr>
                <w:rFonts w:cstheme="minorHAnsi"/>
                <w:lang w:val="en-GB"/>
              </w:rPr>
              <w:t xml:space="preserve">economic value impacts of all assets in columns </w:t>
            </w:r>
            <w:r w:rsidR="00CF0359" w:rsidRPr="00756F68">
              <w:rPr>
                <w:rFonts w:cstheme="minorHAnsi"/>
                <w:lang w:val="en-GB"/>
              </w:rPr>
              <w:t>0</w:t>
            </w:r>
            <w:r w:rsidR="000014D1" w:rsidRPr="00756F68">
              <w:rPr>
                <w:rFonts w:cstheme="minorHAnsi"/>
                <w:lang w:val="en-GB"/>
              </w:rPr>
              <w:t>0</w:t>
            </w:r>
            <w:r w:rsidR="00CF0359" w:rsidRPr="00756F68">
              <w:rPr>
                <w:rFonts w:cstheme="minorHAnsi"/>
                <w:lang w:val="en-GB"/>
              </w:rPr>
              <w:t>6</w:t>
            </w:r>
            <w:r w:rsidR="000014D1" w:rsidRPr="00756F68">
              <w:rPr>
                <w:rFonts w:cstheme="minorHAnsi"/>
                <w:lang w:val="en-GB"/>
              </w:rPr>
              <w:t>0 and 0</w:t>
            </w:r>
            <w:r w:rsidR="00CF0359" w:rsidRPr="00756F68">
              <w:rPr>
                <w:rFonts w:cstheme="minorHAnsi"/>
                <w:lang w:val="en-GB"/>
              </w:rPr>
              <w:t>07</w:t>
            </w:r>
            <w:r w:rsidR="000014D1" w:rsidRPr="00756F68">
              <w:rPr>
                <w:rFonts w:cstheme="minorHAnsi"/>
                <w:lang w:val="en-GB"/>
              </w:rPr>
              <w:t>0</w:t>
            </w:r>
          </w:p>
        </w:tc>
      </w:tr>
      <w:tr w:rsidR="00BF30F0" w:rsidRPr="00756F68" w14:paraId="20299BF3" w14:textId="77777777" w:rsidTr="0099006E">
        <w:trPr>
          <w:cantSplit/>
        </w:trPr>
        <w:tc>
          <w:tcPr>
            <w:tcW w:w="996" w:type="dxa"/>
          </w:tcPr>
          <w:p w14:paraId="038B0638" w14:textId="307A064D" w:rsidR="00BF30F0" w:rsidRPr="00756F68" w:rsidRDefault="00575474" w:rsidP="00A40857">
            <w:pPr>
              <w:pStyle w:val="body"/>
              <w:spacing w:before="120" w:line="240" w:lineRule="auto"/>
              <w:rPr>
                <w:rFonts w:cstheme="minorHAnsi"/>
                <w:lang w:val="en-GB"/>
              </w:rPr>
            </w:pPr>
            <w:r w:rsidRPr="00756F68">
              <w:rPr>
                <w:rFonts w:cstheme="minorHAnsi"/>
                <w:lang w:val="en-GB"/>
              </w:rPr>
              <w:t>0</w:t>
            </w:r>
            <w:r w:rsidR="007E1874" w:rsidRPr="00756F68">
              <w:rPr>
                <w:rFonts w:cstheme="minorHAnsi"/>
                <w:lang w:val="en-GB"/>
              </w:rPr>
              <w:t>0</w:t>
            </w:r>
            <w:r w:rsidR="00C2552B">
              <w:rPr>
                <w:rFonts w:cstheme="minorHAnsi"/>
                <w:lang w:val="en-GB"/>
              </w:rPr>
              <w:t>30</w:t>
            </w:r>
            <w:r w:rsidRPr="00756F68">
              <w:rPr>
                <w:rFonts w:cstheme="minorHAnsi"/>
                <w:lang w:val="en-GB"/>
              </w:rPr>
              <w:t>, 0</w:t>
            </w:r>
            <w:r w:rsidR="007E1874" w:rsidRPr="00756F68">
              <w:rPr>
                <w:rFonts w:cstheme="minorHAnsi"/>
                <w:lang w:val="en-GB"/>
              </w:rPr>
              <w:t>0</w:t>
            </w:r>
            <w:r w:rsidR="00C2552B">
              <w:rPr>
                <w:rFonts w:cstheme="minorHAnsi"/>
                <w:lang w:val="en-GB"/>
              </w:rPr>
              <w:t>4</w:t>
            </w:r>
            <w:r w:rsidRPr="00756F68">
              <w:rPr>
                <w:rFonts w:cstheme="minorHAnsi"/>
                <w:lang w:val="en-GB"/>
              </w:rPr>
              <w:t>0</w:t>
            </w:r>
          </w:p>
        </w:tc>
        <w:tc>
          <w:tcPr>
            <w:tcW w:w="2437" w:type="dxa"/>
          </w:tcPr>
          <w:p w14:paraId="077A491F" w14:textId="376444D1" w:rsidR="00BF30F0" w:rsidRPr="00756F68" w:rsidRDefault="00575474" w:rsidP="00A40857">
            <w:pPr>
              <w:pStyle w:val="body"/>
              <w:spacing w:before="120" w:line="240" w:lineRule="auto"/>
              <w:rPr>
                <w:rFonts w:cstheme="minorHAnsi"/>
              </w:rPr>
            </w:pPr>
            <w:r w:rsidRPr="00756F68">
              <w:rPr>
                <w:rFonts w:cstheme="minorHAnsi"/>
                <w:lang w:val="en-GB"/>
              </w:rPr>
              <w:t>Debt securities</w:t>
            </w:r>
            <w:r w:rsidR="00892274" w:rsidRPr="00756F68">
              <w:rPr>
                <w:rFonts w:cstheme="minorHAnsi"/>
                <w:lang w:val="en-GB"/>
              </w:rPr>
              <w:t xml:space="preserve">, </w:t>
            </w:r>
            <w:proofErr w:type="gramStart"/>
            <w:r w:rsidR="00892274" w:rsidRPr="00756F68">
              <w:rPr>
                <w:rFonts w:cstheme="minorHAnsi"/>
                <w:lang w:val="en-GB"/>
              </w:rPr>
              <w:t>Loans</w:t>
            </w:r>
            <w:proofErr w:type="gramEnd"/>
            <w:r w:rsidR="00892274" w:rsidRPr="00756F68">
              <w:rPr>
                <w:rFonts w:cstheme="minorHAnsi"/>
                <w:lang w:val="en-GB"/>
              </w:rPr>
              <w:t xml:space="preserve"> and advances</w:t>
            </w:r>
          </w:p>
        </w:tc>
        <w:tc>
          <w:tcPr>
            <w:tcW w:w="5493" w:type="dxa"/>
          </w:tcPr>
          <w:p w14:paraId="7953D544" w14:textId="4CB46F54" w:rsidR="00BF30F0" w:rsidRPr="00756F68" w:rsidRDefault="00575474" w:rsidP="00A40857">
            <w:pPr>
              <w:pStyle w:val="body"/>
              <w:spacing w:before="120" w:line="240" w:lineRule="auto"/>
              <w:rPr>
                <w:rFonts w:cstheme="minorHAnsi"/>
                <w:highlight w:val="yellow"/>
                <w:lang w:val="en-GB"/>
              </w:rPr>
            </w:pPr>
            <w:r w:rsidRPr="00756F68">
              <w:rPr>
                <w:rFonts w:cstheme="minorHAnsi"/>
                <w:lang w:val="en-GB"/>
              </w:rPr>
              <w:t>Same perimeter</w:t>
            </w:r>
            <w:r w:rsidR="00892274" w:rsidRPr="00756F68">
              <w:rPr>
                <w:rFonts w:cstheme="minorHAnsi"/>
                <w:lang w:val="en-GB"/>
              </w:rPr>
              <w:t>s</w:t>
            </w:r>
            <w:r w:rsidRPr="00756F68">
              <w:rPr>
                <w:rFonts w:cstheme="minorHAnsi"/>
                <w:lang w:val="en-GB"/>
              </w:rPr>
              <w:t xml:space="preserve"> as F41</w:t>
            </w:r>
            <w:r w:rsidR="000014D1" w:rsidRPr="00756F68">
              <w:rPr>
                <w:rFonts w:cstheme="minorHAnsi"/>
                <w:lang w:val="en-GB"/>
              </w:rPr>
              <w:t>.01</w:t>
            </w:r>
          </w:p>
        </w:tc>
      </w:tr>
      <w:tr w:rsidR="00BF30F0" w:rsidRPr="00756F68" w14:paraId="0875D0C2" w14:textId="77777777" w:rsidTr="0099006E">
        <w:trPr>
          <w:cantSplit/>
        </w:trPr>
        <w:tc>
          <w:tcPr>
            <w:tcW w:w="996" w:type="dxa"/>
          </w:tcPr>
          <w:p w14:paraId="775071B2" w14:textId="2E4AB486" w:rsidR="00BF30F0" w:rsidRPr="00756F68" w:rsidRDefault="000014D1" w:rsidP="00A40857">
            <w:pPr>
              <w:pStyle w:val="body"/>
              <w:spacing w:before="120" w:line="240" w:lineRule="auto"/>
              <w:rPr>
                <w:rFonts w:cstheme="minorHAnsi"/>
                <w:lang w:val="en-GB"/>
              </w:rPr>
            </w:pPr>
            <w:r w:rsidRPr="00756F68">
              <w:rPr>
                <w:rFonts w:cstheme="minorHAnsi"/>
                <w:lang w:val="en-GB"/>
              </w:rPr>
              <w:t>0</w:t>
            </w:r>
            <w:r w:rsidR="007E1874" w:rsidRPr="00756F68">
              <w:rPr>
                <w:rFonts w:cstheme="minorHAnsi"/>
                <w:lang w:val="en-GB"/>
              </w:rPr>
              <w:t>0</w:t>
            </w:r>
            <w:r w:rsidR="00C2552B">
              <w:rPr>
                <w:rFonts w:cstheme="minorHAnsi"/>
                <w:lang w:val="en-GB"/>
              </w:rPr>
              <w:t>5</w:t>
            </w:r>
            <w:r w:rsidRPr="00756F68">
              <w:rPr>
                <w:rFonts w:cstheme="minorHAnsi"/>
                <w:lang w:val="en-GB"/>
              </w:rPr>
              <w:t>0</w:t>
            </w:r>
          </w:p>
        </w:tc>
        <w:tc>
          <w:tcPr>
            <w:tcW w:w="2437" w:type="dxa"/>
          </w:tcPr>
          <w:p w14:paraId="6426B13F" w14:textId="2D22D643" w:rsidR="00BF30F0" w:rsidRPr="00756F68" w:rsidRDefault="00575474" w:rsidP="00A40857">
            <w:pPr>
              <w:pStyle w:val="body"/>
              <w:spacing w:before="120" w:line="240" w:lineRule="auto"/>
              <w:rPr>
                <w:rFonts w:cstheme="minorHAnsi"/>
              </w:rPr>
            </w:pPr>
            <w:r w:rsidRPr="00756F68">
              <w:rPr>
                <w:rFonts w:cstheme="minorHAnsi"/>
                <w:lang w:val="en-GB"/>
              </w:rPr>
              <w:t>Other assets</w:t>
            </w:r>
          </w:p>
        </w:tc>
        <w:tc>
          <w:tcPr>
            <w:tcW w:w="5493" w:type="dxa"/>
          </w:tcPr>
          <w:p w14:paraId="3B6ABA31" w14:textId="5CC7B3A0" w:rsidR="00BF30F0" w:rsidRPr="00756F68" w:rsidRDefault="00575474" w:rsidP="00A40857">
            <w:pPr>
              <w:pStyle w:val="body"/>
              <w:spacing w:before="120" w:line="240" w:lineRule="auto"/>
              <w:rPr>
                <w:rFonts w:cstheme="minorHAnsi"/>
                <w:lang w:val="en-GB"/>
              </w:rPr>
            </w:pPr>
            <w:r w:rsidRPr="00756F68">
              <w:rPr>
                <w:rFonts w:cstheme="minorHAnsi"/>
                <w:lang w:val="en-GB"/>
              </w:rPr>
              <w:t>This row is a summary row for the held-to-maturity items in F41</w:t>
            </w:r>
            <w:r w:rsidR="000014D1" w:rsidRPr="00756F68">
              <w:rPr>
                <w:rFonts w:cstheme="minorHAnsi"/>
                <w:lang w:val="en-GB"/>
              </w:rPr>
              <w:t>.01</w:t>
            </w:r>
            <w:r w:rsidRPr="00756F68">
              <w:rPr>
                <w:rFonts w:cstheme="minorHAnsi"/>
                <w:lang w:val="en-GB"/>
              </w:rPr>
              <w:t>, namely “Debt Securities” and “Loans and Advances”. These F41</w:t>
            </w:r>
            <w:r w:rsidR="000014D1" w:rsidRPr="00756F68">
              <w:rPr>
                <w:rFonts w:cstheme="minorHAnsi"/>
                <w:lang w:val="en-GB"/>
              </w:rPr>
              <w:t>.01</w:t>
            </w:r>
            <w:r w:rsidRPr="00756F68">
              <w:rPr>
                <w:rFonts w:cstheme="minorHAnsi"/>
                <w:lang w:val="en-GB"/>
              </w:rPr>
              <w:t xml:space="preserve"> rows were summarised to reduce the number of data points to be reported.</w:t>
            </w:r>
          </w:p>
        </w:tc>
      </w:tr>
      <w:tr w:rsidR="00BF30F0" w:rsidRPr="00756F68" w14:paraId="18A33D3E" w14:textId="77777777" w:rsidTr="0099006E">
        <w:trPr>
          <w:cantSplit/>
        </w:trPr>
        <w:tc>
          <w:tcPr>
            <w:tcW w:w="996" w:type="dxa"/>
          </w:tcPr>
          <w:p w14:paraId="2AD6459F" w14:textId="25A0225C" w:rsidR="00BF30F0" w:rsidRPr="00756F68" w:rsidRDefault="000014D1" w:rsidP="00A40857">
            <w:pPr>
              <w:pStyle w:val="body"/>
              <w:spacing w:before="120" w:line="240" w:lineRule="auto"/>
              <w:rPr>
                <w:rFonts w:cstheme="minorHAnsi"/>
                <w:lang w:val="en-GB"/>
              </w:rPr>
            </w:pPr>
            <w:r w:rsidRPr="00756F68">
              <w:rPr>
                <w:rFonts w:cstheme="minorHAnsi"/>
                <w:lang w:val="en-GB"/>
              </w:rPr>
              <w:t>0</w:t>
            </w:r>
            <w:r w:rsidR="007E1874" w:rsidRPr="00756F68">
              <w:rPr>
                <w:rFonts w:cstheme="minorHAnsi"/>
                <w:lang w:val="en-GB"/>
              </w:rPr>
              <w:t>0</w:t>
            </w:r>
            <w:r w:rsidR="00C2552B">
              <w:rPr>
                <w:rFonts w:cstheme="minorHAnsi"/>
                <w:lang w:val="en-GB"/>
              </w:rPr>
              <w:t>6</w:t>
            </w:r>
            <w:r w:rsidRPr="00756F68">
              <w:rPr>
                <w:rFonts w:cstheme="minorHAnsi"/>
                <w:lang w:val="en-GB"/>
              </w:rPr>
              <w:t>0</w:t>
            </w:r>
            <w:r w:rsidR="00BF30F0" w:rsidRPr="00756F68">
              <w:rPr>
                <w:rFonts w:cstheme="minorHAnsi"/>
                <w:lang w:val="en-GB"/>
              </w:rPr>
              <w:t xml:space="preserve"> </w:t>
            </w:r>
          </w:p>
        </w:tc>
        <w:tc>
          <w:tcPr>
            <w:tcW w:w="2437" w:type="dxa"/>
          </w:tcPr>
          <w:p w14:paraId="79399F81" w14:textId="47A886BA" w:rsidR="00BF30F0" w:rsidRPr="00756F68" w:rsidRDefault="000014D1" w:rsidP="00A40857">
            <w:pPr>
              <w:pStyle w:val="body"/>
              <w:spacing w:before="120" w:line="240" w:lineRule="auto"/>
              <w:rPr>
                <w:rFonts w:cstheme="minorHAnsi"/>
              </w:rPr>
            </w:pPr>
            <w:r w:rsidRPr="00756F68">
              <w:rPr>
                <w:rFonts w:cstheme="minorHAnsi"/>
                <w:lang w:val="en-GB"/>
              </w:rPr>
              <w:t>Total Liabilities</w:t>
            </w:r>
          </w:p>
        </w:tc>
        <w:tc>
          <w:tcPr>
            <w:tcW w:w="5493" w:type="dxa"/>
          </w:tcPr>
          <w:p w14:paraId="32A9014A" w14:textId="256EE079" w:rsidR="00BF30F0" w:rsidRPr="00756F68" w:rsidRDefault="000014D1" w:rsidP="00A40857">
            <w:pPr>
              <w:pStyle w:val="body"/>
              <w:spacing w:before="120" w:line="240" w:lineRule="auto"/>
              <w:rPr>
                <w:rFonts w:cstheme="minorHAnsi"/>
                <w:highlight w:val="yellow"/>
                <w:lang w:val="en-GB"/>
              </w:rPr>
            </w:pPr>
            <w:r w:rsidRPr="00756F68">
              <w:rPr>
                <w:rFonts w:cstheme="minorHAnsi"/>
                <w:lang w:val="en-GB"/>
              </w:rPr>
              <w:t>In order to reduce the number of data points to be reported, this column should be used for reporting the combined economic value impacts of all assets in columns 0</w:t>
            </w:r>
            <w:r w:rsidR="00CF0359" w:rsidRPr="00756F68">
              <w:rPr>
                <w:rFonts w:cstheme="minorHAnsi"/>
                <w:lang w:val="en-GB"/>
              </w:rPr>
              <w:t>06</w:t>
            </w:r>
            <w:r w:rsidRPr="00756F68">
              <w:rPr>
                <w:rFonts w:cstheme="minorHAnsi"/>
                <w:lang w:val="en-GB"/>
              </w:rPr>
              <w:t>0 and 0</w:t>
            </w:r>
            <w:r w:rsidR="00CF0359" w:rsidRPr="00756F68">
              <w:rPr>
                <w:rFonts w:cstheme="minorHAnsi"/>
                <w:lang w:val="en-GB"/>
              </w:rPr>
              <w:t>07</w:t>
            </w:r>
            <w:r w:rsidRPr="00756F68">
              <w:rPr>
                <w:rFonts w:cstheme="minorHAnsi"/>
                <w:lang w:val="en-GB"/>
              </w:rPr>
              <w:t>0</w:t>
            </w:r>
          </w:p>
        </w:tc>
      </w:tr>
      <w:tr w:rsidR="00BF30F0" w:rsidRPr="00756F68" w14:paraId="2B531C8E" w14:textId="77777777" w:rsidTr="0099006E">
        <w:trPr>
          <w:cantSplit/>
        </w:trPr>
        <w:tc>
          <w:tcPr>
            <w:tcW w:w="996" w:type="dxa"/>
          </w:tcPr>
          <w:p w14:paraId="49712055" w14:textId="5E532715" w:rsidR="00BF30F0" w:rsidRPr="00756F68" w:rsidRDefault="000014D1" w:rsidP="00A40857">
            <w:pPr>
              <w:pStyle w:val="body"/>
              <w:spacing w:before="120" w:line="240" w:lineRule="auto"/>
              <w:rPr>
                <w:rFonts w:cstheme="minorHAnsi"/>
                <w:lang w:val="en-GB"/>
              </w:rPr>
            </w:pPr>
            <w:r w:rsidRPr="00756F68">
              <w:rPr>
                <w:rFonts w:cstheme="minorHAnsi"/>
                <w:lang w:val="en-GB"/>
              </w:rPr>
              <w:t>0</w:t>
            </w:r>
            <w:r w:rsidR="007E1874" w:rsidRPr="00756F68">
              <w:rPr>
                <w:rFonts w:cstheme="minorHAnsi"/>
                <w:lang w:val="en-GB"/>
              </w:rPr>
              <w:t>0</w:t>
            </w:r>
            <w:r w:rsidR="00C2552B">
              <w:rPr>
                <w:rFonts w:cstheme="minorHAnsi"/>
                <w:lang w:val="en-GB"/>
              </w:rPr>
              <w:t>7</w:t>
            </w:r>
            <w:r w:rsidRPr="00756F68">
              <w:rPr>
                <w:rFonts w:cstheme="minorHAnsi"/>
                <w:lang w:val="en-GB"/>
              </w:rPr>
              <w:t>0, 0</w:t>
            </w:r>
            <w:r w:rsidR="007E1874" w:rsidRPr="00756F68">
              <w:rPr>
                <w:rFonts w:cstheme="minorHAnsi"/>
                <w:lang w:val="en-GB"/>
              </w:rPr>
              <w:t>0</w:t>
            </w:r>
            <w:r w:rsidR="00C2552B">
              <w:rPr>
                <w:rFonts w:cstheme="minorHAnsi"/>
                <w:lang w:val="en-GB"/>
              </w:rPr>
              <w:t>8</w:t>
            </w:r>
            <w:r w:rsidRPr="00756F68">
              <w:rPr>
                <w:rFonts w:cstheme="minorHAnsi"/>
                <w:lang w:val="en-GB"/>
              </w:rPr>
              <w:t>0, 0</w:t>
            </w:r>
            <w:r w:rsidR="007E1874" w:rsidRPr="00756F68">
              <w:rPr>
                <w:rFonts w:cstheme="minorHAnsi"/>
                <w:lang w:val="en-GB"/>
              </w:rPr>
              <w:t>0</w:t>
            </w:r>
            <w:r w:rsidR="00C2552B">
              <w:rPr>
                <w:rFonts w:cstheme="minorHAnsi"/>
                <w:lang w:val="en-GB"/>
              </w:rPr>
              <w:t>9</w:t>
            </w:r>
            <w:r w:rsidRPr="00756F68">
              <w:rPr>
                <w:rFonts w:cstheme="minorHAnsi"/>
                <w:lang w:val="en-GB"/>
              </w:rPr>
              <w:t>0</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center"/>
          </w:tcPr>
          <w:p w14:paraId="13F2282F" w14:textId="64800D2D" w:rsidR="00BF30F0" w:rsidRPr="00756F68" w:rsidRDefault="000014D1" w:rsidP="00A40857">
            <w:pPr>
              <w:pStyle w:val="body"/>
              <w:spacing w:before="120" w:line="240" w:lineRule="auto"/>
              <w:rPr>
                <w:rFonts w:cstheme="minorHAnsi"/>
              </w:rPr>
            </w:pPr>
            <w:r w:rsidRPr="00756F68">
              <w:rPr>
                <w:rFonts w:cstheme="minorHAnsi"/>
                <w:lang w:val="en-GB"/>
              </w:rPr>
              <w:t>Deposits, Debt Securities</w:t>
            </w:r>
            <w:r w:rsidR="00892274" w:rsidRPr="00756F68">
              <w:rPr>
                <w:rFonts w:cstheme="minorHAnsi"/>
                <w:lang w:val="en-GB"/>
              </w:rPr>
              <w:t xml:space="preserve"> issued</w:t>
            </w:r>
            <w:r w:rsidRPr="00756F68">
              <w:rPr>
                <w:rFonts w:cstheme="minorHAnsi"/>
                <w:lang w:val="en-GB"/>
              </w:rPr>
              <w:t>, Other</w:t>
            </w:r>
            <w:r w:rsidR="00892274" w:rsidRPr="00756F68">
              <w:rPr>
                <w:rFonts w:cstheme="minorHAnsi"/>
                <w:lang w:val="en-GB"/>
              </w:rPr>
              <w:t xml:space="preserve"> financial</w:t>
            </w:r>
            <w:r w:rsidRPr="00756F68">
              <w:rPr>
                <w:rFonts w:cstheme="minorHAnsi"/>
                <w:lang w:val="en-GB"/>
              </w:rPr>
              <w:t xml:space="preserve"> liabilities</w:t>
            </w:r>
          </w:p>
        </w:tc>
        <w:tc>
          <w:tcPr>
            <w:tcW w:w="5493" w:type="dxa"/>
          </w:tcPr>
          <w:p w14:paraId="4BFC5B9B" w14:textId="15CC7D30" w:rsidR="00BF30F0" w:rsidRPr="00756F68" w:rsidRDefault="000014D1" w:rsidP="00A40857">
            <w:pPr>
              <w:pStyle w:val="body"/>
              <w:spacing w:before="120" w:line="240" w:lineRule="auto"/>
              <w:rPr>
                <w:rFonts w:cstheme="minorHAnsi"/>
                <w:highlight w:val="yellow"/>
                <w:lang w:val="en-GB"/>
              </w:rPr>
            </w:pPr>
            <w:r w:rsidRPr="00756F68">
              <w:rPr>
                <w:rFonts w:cstheme="minorHAnsi"/>
                <w:lang w:val="en-GB"/>
              </w:rPr>
              <w:t>Same perimeter as deposits, Debt Securities, other financial liabilities in F41.01</w:t>
            </w:r>
          </w:p>
        </w:tc>
      </w:tr>
    </w:tbl>
    <w:p w14:paraId="3BA3D20F" w14:textId="77777777" w:rsidR="00BF30F0" w:rsidRPr="00756F68" w:rsidRDefault="00BF30F0" w:rsidP="00A40857">
      <w:pPr>
        <w:jc w:val="both"/>
        <w:rPr>
          <w:rFonts w:cstheme="minorHAnsi"/>
        </w:rPr>
      </w:pPr>
    </w:p>
    <w:p w14:paraId="7BAE336F" w14:textId="3445D804" w:rsidR="00F932BE" w:rsidRPr="00756F68" w:rsidRDefault="00F932BE" w:rsidP="00A40857">
      <w:pPr>
        <w:jc w:val="both"/>
        <w:rPr>
          <w:rFonts w:cstheme="minorHAnsi"/>
        </w:rPr>
      </w:pPr>
    </w:p>
    <w:p w14:paraId="72D91DEA" w14:textId="77777777" w:rsidR="00931815" w:rsidRPr="00756F68" w:rsidRDefault="00931815" w:rsidP="00A40857">
      <w:pPr>
        <w:jc w:val="both"/>
        <w:rPr>
          <w:rFonts w:eastAsiaTheme="majorEastAsia" w:cstheme="minorHAnsi"/>
          <w:b/>
          <w:bCs/>
          <w:sz w:val="20"/>
          <w:szCs w:val="20"/>
        </w:rPr>
      </w:pPr>
      <w:r w:rsidRPr="00756F68">
        <w:rPr>
          <w:rFonts w:cstheme="minorHAnsi"/>
          <w:sz w:val="20"/>
          <w:szCs w:val="20"/>
        </w:rPr>
        <w:br w:type="page"/>
      </w:r>
    </w:p>
    <w:p w14:paraId="0BE90422" w14:textId="7A964B71" w:rsidR="00247703" w:rsidRPr="00A40857" w:rsidRDefault="00247703" w:rsidP="00A40857">
      <w:pPr>
        <w:pStyle w:val="Heading2"/>
        <w:spacing w:before="120" w:line="360" w:lineRule="auto"/>
        <w:ind w:left="66"/>
        <w:jc w:val="both"/>
        <w:rPr>
          <w:rFonts w:asciiTheme="minorHAnsi" w:hAnsiTheme="minorHAnsi" w:cstheme="minorHAnsi"/>
          <w:color w:val="auto"/>
          <w:sz w:val="22"/>
          <w:szCs w:val="22"/>
        </w:rPr>
      </w:pPr>
      <w:bookmarkStart w:id="19" w:name="_Toc146804987"/>
      <w:r w:rsidRPr="00A40857">
        <w:rPr>
          <w:rFonts w:asciiTheme="minorHAnsi" w:hAnsiTheme="minorHAnsi" w:cstheme="minorHAnsi"/>
          <w:color w:val="auto"/>
          <w:sz w:val="22"/>
          <w:szCs w:val="22"/>
        </w:rPr>
        <w:lastRenderedPageBreak/>
        <w:t>Template “</w:t>
      </w:r>
      <w:r w:rsidR="00180C55" w:rsidRPr="00A40857">
        <w:rPr>
          <w:rFonts w:asciiTheme="minorHAnsi" w:hAnsiTheme="minorHAnsi" w:cstheme="minorHAnsi"/>
          <w:color w:val="auto"/>
          <w:sz w:val="22"/>
          <w:szCs w:val="22"/>
        </w:rPr>
        <w:t>4</w:t>
      </w:r>
      <w:r w:rsidRPr="00A40857">
        <w:rPr>
          <w:rFonts w:asciiTheme="minorHAnsi" w:hAnsiTheme="minorHAnsi" w:cstheme="minorHAnsi"/>
          <w:color w:val="auto"/>
          <w:sz w:val="22"/>
          <w:szCs w:val="22"/>
        </w:rPr>
        <w:t>_CSRBB additional”</w:t>
      </w:r>
      <w:bookmarkEnd w:id="19"/>
    </w:p>
    <w:p w14:paraId="10E7804A" w14:textId="702C5592" w:rsidR="006B640E" w:rsidRPr="00756F68" w:rsidRDefault="006B640E" w:rsidP="00A40857">
      <w:pPr>
        <w:pStyle w:val="ListParagraph"/>
        <w:numPr>
          <w:ilvl w:val="0"/>
          <w:numId w:val="2"/>
        </w:numPr>
        <w:spacing w:before="240" w:after="120"/>
        <w:ind w:left="426"/>
        <w:jc w:val="both"/>
        <w:rPr>
          <w:rFonts w:cstheme="minorHAnsi"/>
        </w:rPr>
      </w:pPr>
      <w:r w:rsidRPr="00756F68">
        <w:rPr>
          <w:rFonts w:cstheme="minorHAnsi"/>
        </w:rPr>
        <w:t>This template gathers</w:t>
      </w:r>
      <w:r w:rsidR="00795ABD" w:rsidRPr="00756F68">
        <w:rPr>
          <w:rFonts w:cstheme="minorHAnsi"/>
        </w:rPr>
        <w:t xml:space="preserve"> qualitative information in relation to the definition and perimeter of CSRBB, the measurement of CSRBB and the stress testing framework on CSRBB. </w:t>
      </w:r>
    </w:p>
    <w:p w14:paraId="07486985" w14:textId="15CEFEB8" w:rsidR="0001466A" w:rsidRPr="00756F68" w:rsidRDefault="0001466A" w:rsidP="00A40857">
      <w:pPr>
        <w:spacing w:before="240" w:after="120"/>
        <w:jc w:val="both"/>
        <w:rPr>
          <w:rFonts w:cstheme="minorHAnsi"/>
          <w:b/>
          <w:bCs/>
        </w:rPr>
      </w:pPr>
      <w:r w:rsidRPr="00756F68">
        <w:rPr>
          <w:rFonts w:cstheme="minorHAnsi"/>
          <w:b/>
          <w:bCs/>
        </w:rPr>
        <w:t>CSRBB definition and perimeter</w:t>
      </w:r>
    </w:p>
    <w:p w14:paraId="377DAE7D" w14:textId="77777777" w:rsidR="00820E37" w:rsidRPr="00820E37" w:rsidRDefault="0001466A" w:rsidP="00A40857">
      <w:pPr>
        <w:spacing w:before="240" w:after="120"/>
        <w:jc w:val="both"/>
        <w:rPr>
          <w:rFonts w:cstheme="minorHAnsi"/>
          <w:b/>
          <w:bCs/>
        </w:rPr>
      </w:pPr>
      <w:r w:rsidRPr="00820E37">
        <w:rPr>
          <w:rFonts w:cstheme="minorHAnsi"/>
          <w:b/>
          <w:bCs/>
        </w:rPr>
        <w:t>Question 1</w:t>
      </w:r>
    </w:p>
    <w:p w14:paraId="0004BF27" w14:textId="39EEF369" w:rsidR="0001466A" w:rsidRPr="00756F68" w:rsidRDefault="0001466A" w:rsidP="00A40857">
      <w:pPr>
        <w:spacing w:before="240" w:after="120"/>
        <w:jc w:val="both"/>
        <w:rPr>
          <w:rFonts w:cstheme="minorHAnsi"/>
          <w:b/>
          <w:bCs/>
          <w:i/>
          <w:iCs/>
        </w:rPr>
      </w:pPr>
      <w:r w:rsidRPr="00756F68">
        <w:rPr>
          <w:rFonts w:cstheme="minorHAnsi"/>
          <w:b/>
          <w:bCs/>
          <w:i/>
          <w:iCs/>
        </w:rPr>
        <w:t>‘Which spread components does the credit institution consider in the CSRBB identification and measurement?’</w:t>
      </w:r>
    </w:p>
    <w:p w14:paraId="5125F89C" w14:textId="550A8904"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According to the revised definition of the CSRBB in accordance with the EBA</w:t>
      </w:r>
      <w:r w:rsidR="00142801" w:rsidRPr="00756F68">
        <w:rPr>
          <w:rFonts w:cstheme="minorHAnsi"/>
        </w:rPr>
        <w:t>/</w:t>
      </w:r>
      <w:r w:rsidRPr="00756F68">
        <w:rPr>
          <w:rFonts w:cstheme="minorHAnsi"/>
        </w:rPr>
        <w:t>GL</w:t>
      </w:r>
      <w:r w:rsidR="00142801" w:rsidRPr="00756F68">
        <w:rPr>
          <w:rFonts w:cstheme="minorHAnsi"/>
        </w:rPr>
        <w:t>/</w:t>
      </w:r>
      <w:r w:rsidRPr="00756F68">
        <w:rPr>
          <w:rFonts w:cstheme="minorHAnsi"/>
        </w:rPr>
        <w:t>2022/14, CSRBB targets to capture the changes of the “market credit spread” and “market liquidity spread”. Idiosyncratic elements – either issuer-specific (associated with the credit quality of the individual borrower, which also reflect assessments of risks arising from sector and geographical location of the borrower) or instrument-specific (e.g., whether a bond or derivative) – should not be included in the definition of CSRBB. As an exception and for proportionality reasons, institutions may include idiosyncratic elements for the monitoring of CSRBB 'as long as it is ensured that the measures will yield more conservative results’</w:t>
      </w:r>
      <w:r w:rsidRPr="00A40857">
        <w:rPr>
          <w:rFonts w:cstheme="minorHAnsi"/>
          <w:vertAlign w:val="superscript"/>
        </w:rPr>
        <w:footnoteReference w:id="9"/>
      </w:r>
      <w:r w:rsidRPr="00756F68">
        <w:rPr>
          <w:rFonts w:cstheme="minorHAnsi"/>
        </w:rPr>
        <w:t>.</w:t>
      </w:r>
    </w:p>
    <w:p w14:paraId="138F4FA7" w14:textId="77777777" w:rsidR="00820E37" w:rsidRPr="00820E37" w:rsidRDefault="0001466A" w:rsidP="00A40857">
      <w:pPr>
        <w:spacing w:before="240" w:after="120"/>
        <w:jc w:val="both"/>
        <w:rPr>
          <w:rFonts w:cstheme="minorHAnsi"/>
          <w:b/>
          <w:bCs/>
        </w:rPr>
      </w:pPr>
      <w:r w:rsidRPr="00820E37">
        <w:rPr>
          <w:rFonts w:cstheme="minorHAnsi"/>
          <w:b/>
          <w:bCs/>
        </w:rPr>
        <w:t>Question 2</w:t>
      </w:r>
    </w:p>
    <w:p w14:paraId="38BF506A" w14:textId="29FBBF84" w:rsidR="0001466A" w:rsidRPr="00756F68" w:rsidRDefault="0001466A" w:rsidP="00A40857">
      <w:pPr>
        <w:spacing w:before="240" w:after="120"/>
        <w:jc w:val="both"/>
        <w:rPr>
          <w:rFonts w:cstheme="minorHAnsi"/>
          <w:b/>
          <w:bCs/>
          <w:i/>
          <w:iCs/>
        </w:rPr>
      </w:pPr>
      <w:r w:rsidRPr="00756F68">
        <w:rPr>
          <w:rFonts w:cstheme="minorHAnsi"/>
          <w:b/>
          <w:bCs/>
          <w:i/>
          <w:iCs/>
        </w:rPr>
        <w:t xml:space="preserve">‘What is the rationale for the scope of the spread components considered in the CSRBB identification and measurement?’ </w:t>
      </w:r>
    </w:p>
    <w:p w14:paraId="1E7CCEBF" w14:textId="1C23BC73"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Institutions should be able to provide the rationale</w:t>
      </w:r>
      <w:r w:rsidR="008F5EB6" w:rsidRPr="00756F68">
        <w:rPr>
          <w:rFonts w:cstheme="minorHAnsi"/>
        </w:rPr>
        <w:t>(s)</w:t>
      </w:r>
      <w:r w:rsidRPr="00756F68">
        <w:rPr>
          <w:rFonts w:cstheme="minorHAnsi"/>
        </w:rPr>
        <w:t xml:space="preserve"> of the scope of spread components considered in the CSRBB identification and measurement. This is especially the case where the definition of CSRBB applied by institutions is capturing other spread components than “market credit spread” and “market liquidity spread”. </w:t>
      </w:r>
    </w:p>
    <w:p w14:paraId="1B89057E" w14:textId="77777777" w:rsidR="00820E37" w:rsidRPr="00820E37" w:rsidRDefault="0001466A" w:rsidP="00A40857">
      <w:pPr>
        <w:spacing w:before="240" w:after="120"/>
        <w:jc w:val="both"/>
        <w:rPr>
          <w:rFonts w:cstheme="minorHAnsi"/>
          <w:b/>
          <w:bCs/>
        </w:rPr>
      </w:pPr>
      <w:r w:rsidRPr="00820E37">
        <w:rPr>
          <w:rFonts w:cstheme="minorHAnsi"/>
          <w:b/>
          <w:bCs/>
        </w:rPr>
        <w:t>Question 3</w:t>
      </w:r>
    </w:p>
    <w:p w14:paraId="35143FDE" w14:textId="72A473CF" w:rsidR="0001466A" w:rsidRPr="00756F68" w:rsidRDefault="0001466A" w:rsidP="00A40857">
      <w:pPr>
        <w:spacing w:before="240" w:after="120"/>
        <w:jc w:val="both"/>
        <w:rPr>
          <w:rFonts w:cstheme="minorHAnsi"/>
          <w:b/>
          <w:bCs/>
          <w:i/>
          <w:iCs/>
        </w:rPr>
      </w:pPr>
      <w:r w:rsidRPr="00756F68">
        <w:rPr>
          <w:rFonts w:cstheme="minorHAnsi"/>
          <w:b/>
          <w:bCs/>
          <w:i/>
          <w:iCs/>
        </w:rPr>
        <w:t>‘Are there differences in the scope of instruments to compute the impact of CSRBB on EVE, NII and MVC?’</w:t>
      </w:r>
    </w:p>
    <w:p w14:paraId="7127C7D3" w14:textId="31F2A50F"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 xml:space="preserve">According to a principle-based approach for the CSRBB perimeter, no specific </w:t>
      </w:r>
      <w:proofErr w:type="gramStart"/>
      <w:r w:rsidRPr="00756F68">
        <w:rPr>
          <w:rFonts w:cstheme="minorHAnsi"/>
        </w:rPr>
        <w:t>assets</w:t>
      </w:r>
      <w:proofErr w:type="gramEnd"/>
      <w:r w:rsidRPr="00756F68">
        <w:rPr>
          <w:rFonts w:cstheme="minorHAnsi"/>
        </w:rPr>
        <w:t xml:space="preserve"> or liabilities sensitive to credit spread changes in the banking book should be excluded a priori under both NII and EVE perspective. However, assets at fair value (including those accounted at fair value through Other Comprehensive Income (OCI) and fair value through profit or loss) should always be included, while non-sensitivity to CSRBB of excluded assets / liabilities have to be demonstrated</w:t>
      </w:r>
      <w:r w:rsidR="008F5EB6" w:rsidRPr="00A40857">
        <w:rPr>
          <w:rFonts w:cstheme="minorHAnsi"/>
          <w:vertAlign w:val="superscript"/>
        </w:rPr>
        <w:footnoteReference w:id="10"/>
      </w:r>
      <w:r w:rsidRPr="00756F68">
        <w:rPr>
          <w:rFonts w:cstheme="minorHAnsi"/>
        </w:rPr>
        <w:t>. Should there no alignment in the scope of instruments to compute the impact of CSRBB on EVE, NII and MVC, institutions are required to provide further rationale</w:t>
      </w:r>
      <w:r w:rsidR="008F5EB6" w:rsidRPr="00756F68">
        <w:rPr>
          <w:rFonts w:cstheme="minorHAnsi"/>
        </w:rPr>
        <w:t>(s)</w:t>
      </w:r>
      <w:r w:rsidRPr="00756F68">
        <w:rPr>
          <w:rFonts w:cstheme="minorHAnsi"/>
        </w:rPr>
        <w:t xml:space="preserve">. </w:t>
      </w:r>
    </w:p>
    <w:p w14:paraId="473CDC7B" w14:textId="77777777" w:rsidR="0001466A" w:rsidRPr="00756F68" w:rsidRDefault="0001466A" w:rsidP="00A40857">
      <w:pPr>
        <w:spacing w:before="240" w:after="120"/>
        <w:jc w:val="both"/>
        <w:rPr>
          <w:rFonts w:cstheme="minorHAnsi"/>
          <w:b/>
          <w:bCs/>
        </w:rPr>
      </w:pPr>
      <w:r w:rsidRPr="00756F68">
        <w:rPr>
          <w:rFonts w:cstheme="minorHAnsi"/>
          <w:b/>
          <w:bCs/>
        </w:rPr>
        <w:lastRenderedPageBreak/>
        <w:t>CSRBB measurement &amp; stress-testing framework</w:t>
      </w:r>
    </w:p>
    <w:p w14:paraId="2DBF3C86" w14:textId="77777777" w:rsidR="00820E37" w:rsidRPr="00820E37" w:rsidRDefault="0001466A" w:rsidP="00A40857">
      <w:pPr>
        <w:spacing w:before="240" w:after="120"/>
        <w:jc w:val="both"/>
        <w:rPr>
          <w:rFonts w:cstheme="minorHAnsi"/>
          <w:b/>
          <w:bCs/>
        </w:rPr>
      </w:pPr>
      <w:r w:rsidRPr="00820E37">
        <w:rPr>
          <w:rFonts w:cstheme="minorHAnsi"/>
          <w:b/>
          <w:bCs/>
        </w:rPr>
        <w:t>Question</w:t>
      </w:r>
      <w:r w:rsidR="00F74DF0" w:rsidRPr="00820E37">
        <w:rPr>
          <w:rFonts w:cstheme="minorHAnsi"/>
          <w:b/>
          <w:bCs/>
        </w:rPr>
        <w:t xml:space="preserve"> </w:t>
      </w:r>
      <w:r w:rsidRPr="00820E37">
        <w:rPr>
          <w:rFonts w:cstheme="minorHAnsi"/>
          <w:b/>
          <w:bCs/>
        </w:rPr>
        <w:t>1</w:t>
      </w:r>
    </w:p>
    <w:p w14:paraId="04E331C1" w14:textId="1C81B7D3" w:rsidR="0001466A" w:rsidRPr="00756F68" w:rsidRDefault="0001466A" w:rsidP="00A40857">
      <w:pPr>
        <w:spacing w:before="240" w:after="120"/>
        <w:jc w:val="both"/>
        <w:rPr>
          <w:rFonts w:cstheme="minorHAnsi"/>
          <w:b/>
          <w:bCs/>
          <w:i/>
          <w:iCs/>
        </w:rPr>
      </w:pPr>
      <w:r w:rsidRPr="00756F68">
        <w:rPr>
          <w:rFonts w:cstheme="minorHAnsi"/>
          <w:b/>
          <w:bCs/>
          <w:i/>
          <w:iCs/>
        </w:rPr>
        <w:t xml:space="preserve">‘If the credit institution considers liabilities in the scope of CSRBB assessment, how does it </w:t>
      </w:r>
      <w:r w:rsidR="008F5EB6" w:rsidRPr="00756F68">
        <w:rPr>
          <w:rFonts w:cstheme="minorHAnsi"/>
          <w:b/>
          <w:bCs/>
          <w:i/>
          <w:iCs/>
        </w:rPr>
        <w:t>ensure</w:t>
      </w:r>
      <w:r w:rsidRPr="00756F68">
        <w:rPr>
          <w:rFonts w:cstheme="minorHAnsi"/>
          <w:b/>
          <w:bCs/>
          <w:i/>
          <w:iCs/>
        </w:rPr>
        <w:t xml:space="preserve"> that only market-related elements are being considered and the deterioration of the credit institution’s creditworthiness is not having a positive impact on the credit spread risk measure?’ </w:t>
      </w:r>
    </w:p>
    <w:p w14:paraId="47CC6A21" w14:textId="38F3357E"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Under the NII and the Economic Value perspective</w:t>
      </w:r>
      <w:r w:rsidR="008F5EB6" w:rsidRPr="00756F68">
        <w:rPr>
          <w:rFonts w:cstheme="minorHAnsi"/>
        </w:rPr>
        <w:t>s</w:t>
      </w:r>
      <w:r w:rsidRPr="00756F68">
        <w:rPr>
          <w:rFonts w:cstheme="minorHAnsi"/>
        </w:rPr>
        <w:t>, CSRBB should not include the effect of credit quality changes nor idiosyncratic components. In the case where liabilities are considered in the scope of the CSRBB assessment only market-related elements should be considered. Also, the deterioration of a credit institution’s own credit quality should not have any positive impact on the credit spread risk measure</w:t>
      </w:r>
      <w:r w:rsidR="008F5EB6" w:rsidRPr="00A40857">
        <w:rPr>
          <w:rFonts w:cstheme="minorHAnsi"/>
          <w:vertAlign w:val="superscript"/>
        </w:rPr>
        <w:footnoteReference w:id="11"/>
      </w:r>
      <w:r w:rsidRPr="00756F68">
        <w:rPr>
          <w:rFonts w:cstheme="minorHAnsi"/>
        </w:rPr>
        <w:t>.</w:t>
      </w:r>
    </w:p>
    <w:p w14:paraId="3A6F3416" w14:textId="77777777" w:rsidR="00820E37" w:rsidRPr="00820E37" w:rsidRDefault="0001466A" w:rsidP="00A40857">
      <w:pPr>
        <w:spacing w:before="240" w:after="120"/>
        <w:jc w:val="both"/>
        <w:rPr>
          <w:rFonts w:cstheme="minorHAnsi"/>
          <w:b/>
          <w:bCs/>
        </w:rPr>
      </w:pPr>
      <w:r w:rsidRPr="00820E37">
        <w:rPr>
          <w:rFonts w:cstheme="minorHAnsi"/>
          <w:b/>
          <w:bCs/>
        </w:rPr>
        <w:t>Question 2</w:t>
      </w:r>
    </w:p>
    <w:p w14:paraId="08105AB8" w14:textId="703849AC" w:rsidR="0001466A" w:rsidRPr="00756F68" w:rsidRDefault="0001466A" w:rsidP="00A40857">
      <w:pPr>
        <w:spacing w:before="240" w:after="120"/>
        <w:jc w:val="both"/>
        <w:rPr>
          <w:rFonts w:cstheme="minorHAnsi"/>
          <w:b/>
          <w:bCs/>
          <w:i/>
          <w:iCs/>
        </w:rPr>
      </w:pPr>
      <w:r w:rsidRPr="00756F68">
        <w:rPr>
          <w:rFonts w:cstheme="minorHAnsi"/>
          <w:b/>
          <w:bCs/>
          <w:i/>
          <w:iCs/>
        </w:rPr>
        <w:t>‘How does your credit institution measure CSRBB?’</w:t>
      </w:r>
    </w:p>
    <w:p w14:paraId="7674F971" w14:textId="239468E8"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On top of the impact of credit spread changes</w:t>
      </w:r>
      <w:r w:rsidR="008F5EB6" w:rsidRPr="00756F68">
        <w:rPr>
          <w:rFonts w:cstheme="minorHAnsi"/>
        </w:rPr>
        <w:t xml:space="preserve"> on </w:t>
      </w:r>
      <w:r w:rsidRPr="00756F68">
        <w:rPr>
          <w:rFonts w:cstheme="minorHAnsi"/>
        </w:rPr>
        <w:t xml:space="preserve">NII and EVE </w:t>
      </w:r>
      <w:r w:rsidR="008F5EB6" w:rsidRPr="00756F68">
        <w:rPr>
          <w:rFonts w:cstheme="minorHAnsi"/>
        </w:rPr>
        <w:t>metrics</w:t>
      </w:r>
      <w:r w:rsidRPr="00756F68">
        <w:rPr>
          <w:rFonts w:cstheme="minorHAnsi"/>
        </w:rPr>
        <w:t xml:space="preserve">, institutions can compute other metrics to identify and measure CSRBB including CS01, other sensitivity-base metric, parametric measure, historical </w:t>
      </w:r>
      <w:proofErr w:type="gramStart"/>
      <w:r w:rsidRPr="00756F68">
        <w:rPr>
          <w:rFonts w:cstheme="minorHAnsi"/>
        </w:rPr>
        <w:t>simulation</w:t>
      </w:r>
      <w:r w:rsidR="00756F68" w:rsidRPr="00756F68">
        <w:rPr>
          <w:rFonts w:cstheme="minorHAnsi"/>
        </w:rPr>
        <w:t>s</w:t>
      </w:r>
      <w:proofErr w:type="gramEnd"/>
      <w:r w:rsidRPr="00756F68">
        <w:rPr>
          <w:rFonts w:cstheme="minorHAnsi"/>
        </w:rPr>
        <w:t xml:space="preserve"> or other metrics. </w:t>
      </w:r>
    </w:p>
    <w:p w14:paraId="00A4862C" w14:textId="77777777" w:rsidR="00820E37" w:rsidRPr="00820E37" w:rsidRDefault="0001466A" w:rsidP="00A40857">
      <w:pPr>
        <w:spacing w:before="240" w:after="120"/>
        <w:jc w:val="both"/>
        <w:rPr>
          <w:rFonts w:cstheme="minorHAnsi"/>
          <w:b/>
          <w:bCs/>
        </w:rPr>
      </w:pPr>
      <w:r w:rsidRPr="00820E37">
        <w:rPr>
          <w:rFonts w:cstheme="minorHAnsi"/>
          <w:b/>
          <w:bCs/>
        </w:rPr>
        <w:t>Question 3</w:t>
      </w:r>
    </w:p>
    <w:p w14:paraId="00925186" w14:textId="19C39E81" w:rsidR="0001466A" w:rsidRPr="00756F68" w:rsidRDefault="0001466A" w:rsidP="00A40857">
      <w:pPr>
        <w:spacing w:before="240" w:after="120"/>
        <w:jc w:val="both"/>
        <w:rPr>
          <w:rFonts w:cstheme="minorHAnsi"/>
          <w:b/>
          <w:bCs/>
          <w:i/>
          <w:iCs/>
        </w:rPr>
      </w:pPr>
      <w:r w:rsidRPr="00756F68">
        <w:rPr>
          <w:rFonts w:cstheme="minorHAnsi"/>
          <w:b/>
          <w:bCs/>
          <w:i/>
          <w:iCs/>
        </w:rPr>
        <w:t xml:space="preserve"> ‘Does your credit institution apply diversification effects between IRRBB and CSRBB?’</w:t>
      </w:r>
    </w:p>
    <w:p w14:paraId="084E43B2" w14:textId="244D0EB2"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Diversification assumptions between CSRBB and other risks refer mainly but not limited to correlation between IRR and CSR</w:t>
      </w:r>
      <w:r w:rsidR="008F5EB6" w:rsidRPr="00A40857">
        <w:rPr>
          <w:rFonts w:cstheme="minorHAnsi"/>
          <w:vertAlign w:val="superscript"/>
        </w:rPr>
        <w:footnoteReference w:id="12"/>
      </w:r>
      <w:r w:rsidR="008F5EB6" w:rsidRPr="00756F68">
        <w:rPr>
          <w:rFonts w:cstheme="minorHAnsi"/>
        </w:rPr>
        <w:t>.</w:t>
      </w:r>
      <w:r w:rsidRPr="00756F68">
        <w:rPr>
          <w:rFonts w:cstheme="minorHAnsi"/>
        </w:rPr>
        <w:t xml:space="preserve"> The reliability, stability, pruden</w:t>
      </w:r>
      <w:r w:rsidR="008F5EB6" w:rsidRPr="00756F68">
        <w:rPr>
          <w:rFonts w:cstheme="minorHAnsi"/>
        </w:rPr>
        <w:t>t nature</w:t>
      </w:r>
      <w:r w:rsidRPr="00756F68">
        <w:rPr>
          <w:rFonts w:cstheme="minorHAnsi"/>
        </w:rPr>
        <w:t xml:space="preserve"> of the assumptions should be appropriately validated and documented by institutions.</w:t>
      </w:r>
    </w:p>
    <w:p w14:paraId="2ADAB848" w14:textId="77777777" w:rsidR="00820E37" w:rsidRPr="00820E37" w:rsidRDefault="0001466A" w:rsidP="00A40857">
      <w:pPr>
        <w:spacing w:before="240" w:after="120"/>
        <w:jc w:val="both"/>
        <w:rPr>
          <w:rFonts w:cstheme="minorHAnsi"/>
          <w:b/>
          <w:bCs/>
        </w:rPr>
      </w:pPr>
      <w:r w:rsidRPr="00820E37">
        <w:rPr>
          <w:rFonts w:cstheme="minorHAnsi"/>
          <w:b/>
          <w:bCs/>
        </w:rPr>
        <w:t>Question 4</w:t>
      </w:r>
    </w:p>
    <w:p w14:paraId="3D87B81E" w14:textId="6E18073E" w:rsidR="0001466A" w:rsidRPr="00756F68" w:rsidRDefault="0001466A" w:rsidP="00A40857">
      <w:pPr>
        <w:spacing w:before="240" w:after="120"/>
        <w:jc w:val="both"/>
        <w:rPr>
          <w:rFonts w:cstheme="minorHAnsi"/>
          <w:b/>
          <w:bCs/>
          <w:i/>
          <w:iCs/>
        </w:rPr>
      </w:pPr>
      <w:r w:rsidRPr="00756F68">
        <w:rPr>
          <w:rFonts w:cstheme="minorHAnsi"/>
          <w:b/>
          <w:bCs/>
          <w:i/>
          <w:iCs/>
        </w:rPr>
        <w:t>‘How often does your credit institution measure CSRBB?’</w:t>
      </w:r>
    </w:p>
    <w:p w14:paraId="1AAF1B93" w14:textId="44C103F7"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CSRBB should be captured by regular institutions’ internal reporting with possible various frequencies (daily / monthly / quarterly), as part of regular Market Risk, Treasury or ALCO reports, and is covered under the institution’s ICAAP. The frequency of measurement and frequency of reporting might d</w:t>
      </w:r>
      <w:r w:rsidR="008F5EB6" w:rsidRPr="00756F68">
        <w:rPr>
          <w:rFonts w:cstheme="minorHAnsi"/>
        </w:rPr>
        <w:t>if</w:t>
      </w:r>
      <w:r w:rsidRPr="00756F68">
        <w:rPr>
          <w:rFonts w:cstheme="minorHAnsi"/>
        </w:rPr>
        <w:t>fer as well as depending on the institutions’ internal reporting nature</w:t>
      </w:r>
      <w:r w:rsidR="008F5EB6" w:rsidRPr="00756F68">
        <w:rPr>
          <w:rFonts w:cstheme="minorHAnsi"/>
        </w:rPr>
        <w:t xml:space="preserve"> and objectives.</w:t>
      </w:r>
      <w:r w:rsidRPr="00756F68">
        <w:rPr>
          <w:rFonts w:cstheme="minorHAnsi"/>
        </w:rPr>
        <w:t xml:space="preserve"> </w:t>
      </w:r>
      <w:r w:rsidR="00811C78" w:rsidRPr="00756F68">
        <w:rPr>
          <w:rFonts w:cstheme="minorHAnsi"/>
        </w:rPr>
        <w:t>However the  frequency of internal reports focusing on CSRBB should be at least quarterly</w:t>
      </w:r>
      <w:r w:rsidR="00811C78" w:rsidRPr="00A40857">
        <w:rPr>
          <w:rFonts w:cstheme="minorHAnsi"/>
          <w:vertAlign w:val="superscript"/>
        </w:rPr>
        <w:footnoteReference w:id="13"/>
      </w:r>
      <w:r w:rsidR="00811C78" w:rsidRPr="00756F68">
        <w:rPr>
          <w:rFonts w:cstheme="minorHAnsi"/>
        </w:rPr>
        <w:t xml:space="preserve">. </w:t>
      </w:r>
    </w:p>
    <w:p w14:paraId="06E8A1F2" w14:textId="77777777" w:rsidR="00820E37" w:rsidRPr="00820E37" w:rsidRDefault="0001466A" w:rsidP="00A40857">
      <w:pPr>
        <w:spacing w:before="240" w:after="120"/>
        <w:jc w:val="both"/>
        <w:rPr>
          <w:rFonts w:cstheme="minorHAnsi"/>
          <w:b/>
          <w:bCs/>
        </w:rPr>
      </w:pPr>
      <w:r w:rsidRPr="00820E37">
        <w:rPr>
          <w:rFonts w:cstheme="minorHAnsi"/>
          <w:b/>
          <w:bCs/>
        </w:rPr>
        <w:t>Question 5</w:t>
      </w:r>
    </w:p>
    <w:p w14:paraId="4AC188E7" w14:textId="50206C54" w:rsidR="0001466A" w:rsidRPr="00756F68" w:rsidRDefault="0001466A" w:rsidP="00A40857">
      <w:pPr>
        <w:spacing w:before="240" w:after="120"/>
        <w:jc w:val="both"/>
        <w:rPr>
          <w:rFonts w:cstheme="minorHAnsi"/>
          <w:b/>
          <w:bCs/>
          <w:i/>
          <w:iCs/>
        </w:rPr>
      </w:pPr>
      <w:r w:rsidRPr="00756F68">
        <w:rPr>
          <w:rFonts w:cstheme="minorHAnsi"/>
          <w:b/>
          <w:bCs/>
          <w:i/>
          <w:iCs/>
        </w:rPr>
        <w:t xml:space="preserve">‘Please specify the way of how your credit institution performs stress tests with respect to CSRBB?’ </w:t>
      </w:r>
    </w:p>
    <w:p w14:paraId="7DADF017" w14:textId="04A5B928"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lastRenderedPageBreak/>
        <w:t>The impact of credit spread changes with respect to items in the banking book</w:t>
      </w:r>
      <w:r w:rsidR="00811C78" w:rsidRPr="00A40857">
        <w:rPr>
          <w:rFonts w:cstheme="minorHAnsi"/>
          <w:vertAlign w:val="superscript"/>
        </w:rPr>
        <w:footnoteReference w:id="14"/>
      </w:r>
      <w:r w:rsidRPr="00756F68">
        <w:rPr>
          <w:rFonts w:cstheme="minorHAnsi"/>
        </w:rPr>
        <w:t xml:space="preserve"> can be assessed on a stand-alone basis (CSRBB-specific stress tests) or analysed in the context of broader stress tests (IRRBB stress tests or market risk stress tests and macro-economic stress tests). When CSRBB is analysed in broader stress tests, CSRBB should be considered as an individual risk factor. </w:t>
      </w:r>
    </w:p>
    <w:p w14:paraId="092CB1B4" w14:textId="77777777" w:rsidR="00820E37" w:rsidRPr="00820E37" w:rsidRDefault="0001466A" w:rsidP="00A40857">
      <w:pPr>
        <w:spacing w:before="240" w:after="120"/>
        <w:jc w:val="both"/>
        <w:rPr>
          <w:rFonts w:cstheme="minorHAnsi"/>
          <w:b/>
          <w:bCs/>
        </w:rPr>
      </w:pPr>
      <w:r w:rsidRPr="00820E37">
        <w:rPr>
          <w:rFonts w:cstheme="minorHAnsi"/>
          <w:b/>
          <w:bCs/>
        </w:rPr>
        <w:t>Question 6</w:t>
      </w:r>
    </w:p>
    <w:p w14:paraId="14E08AF5" w14:textId="47F12531" w:rsidR="0001466A" w:rsidRPr="00756F68" w:rsidRDefault="0001466A" w:rsidP="00A40857">
      <w:pPr>
        <w:spacing w:before="240" w:after="120"/>
        <w:jc w:val="both"/>
        <w:rPr>
          <w:rFonts w:cstheme="minorHAnsi"/>
          <w:b/>
          <w:bCs/>
          <w:i/>
          <w:iCs/>
        </w:rPr>
      </w:pPr>
      <w:r w:rsidRPr="00756F68">
        <w:rPr>
          <w:rFonts w:cstheme="minorHAnsi"/>
          <w:b/>
          <w:bCs/>
          <w:i/>
          <w:iCs/>
        </w:rPr>
        <w:t>‘Does your credit institution differentiate the idiosyncratic and non-idiosyncratic components of the credit spread changes in the stress tests performed?’</w:t>
      </w:r>
    </w:p>
    <w:p w14:paraId="4D38F4D0" w14:textId="7A85ADA9" w:rsidR="00811C78" w:rsidRPr="00756F68" w:rsidRDefault="00F07E09" w:rsidP="00A40857">
      <w:pPr>
        <w:pStyle w:val="ListParagraph"/>
        <w:numPr>
          <w:ilvl w:val="0"/>
          <w:numId w:val="2"/>
        </w:numPr>
        <w:spacing w:before="240" w:after="120"/>
        <w:ind w:left="426"/>
        <w:jc w:val="both"/>
        <w:rPr>
          <w:rFonts w:cstheme="minorHAnsi"/>
        </w:rPr>
      </w:pPr>
      <w:r w:rsidRPr="00756F68">
        <w:rPr>
          <w:rFonts w:cstheme="minorHAnsi"/>
        </w:rPr>
        <w:t>Refer to  paragraph 26 related to the definition of CSRBB.</w:t>
      </w:r>
    </w:p>
    <w:p w14:paraId="4DFE2BC2" w14:textId="77777777" w:rsidR="00820E37" w:rsidRPr="00820E37" w:rsidRDefault="0001466A" w:rsidP="00A40857">
      <w:pPr>
        <w:spacing w:before="240" w:after="120"/>
        <w:jc w:val="both"/>
        <w:rPr>
          <w:rFonts w:cstheme="minorHAnsi"/>
          <w:b/>
          <w:bCs/>
        </w:rPr>
      </w:pPr>
      <w:r w:rsidRPr="00820E37">
        <w:rPr>
          <w:rFonts w:cstheme="minorHAnsi"/>
          <w:b/>
          <w:bCs/>
        </w:rPr>
        <w:t>Question 7</w:t>
      </w:r>
    </w:p>
    <w:p w14:paraId="053FA25D" w14:textId="3733818F" w:rsidR="0001466A" w:rsidRPr="00756F68" w:rsidRDefault="0001466A" w:rsidP="00A40857">
      <w:pPr>
        <w:spacing w:before="240" w:after="120"/>
        <w:jc w:val="both"/>
        <w:rPr>
          <w:rFonts w:cstheme="minorHAnsi"/>
          <w:b/>
          <w:bCs/>
          <w:i/>
          <w:iCs/>
        </w:rPr>
      </w:pPr>
      <w:r w:rsidRPr="00756F68">
        <w:rPr>
          <w:rFonts w:cstheme="minorHAnsi"/>
          <w:b/>
          <w:bCs/>
          <w:i/>
          <w:iCs/>
        </w:rPr>
        <w:t>‘How are the stress scenarios calibrated?’</w:t>
      </w:r>
    </w:p>
    <w:p w14:paraId="75447697" w14:textId="6E2D2067"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 xml:space="preserve">Credit spreads shocks applied in the stress scenarios can be calibrated using different approaches including but not limited to historical evolution of the credit spread changes, hypothetical </w:t>
      </w:r>
      <w:proofErr w:type="gramStart"/>
      <w:r w:rsidRPr="00756F68">
        <w:rPr>
          <w:rFonts w:cstheme="minorHAnsi"/>
        </w:rPr>
        <w:t>scenarios</w:t>
      </w:r>
      <w:proofErr w:type="gramEnd"/>
      <w:r w:rsidRPr="00756F68">
        <w:rPr>
          <w:rFonts w:cstheme="minorHAnsi"/>
        </w:rPr>
        <w:t xml:space="preserve"> or other scenarios. </w:t>
      </w:r>
    </w:p>
    <w:p w14:paraId="644BDAED" w14:textId="77777777" w:rsidR="00820E37" w:rsidRPr="00820E37" w:rsidRDefault="0001466A" w:rsidP="00A40857">
      <w:pPr>
        <w:spacing w:before="240" w:after="120"/>
        <w:jc w:val="both"/>
        <w:rPr>
          <w:rFonts w:cstheme="minorHAnsi"/>
          <w:b/>
          <w:bCs/>
        </w:rPr>
      </w:pPr>
      <w:r w:rsidRPr="00820E37">
        <w:rPr>
          <w:rFonts w:cstheme="minorHAnsi"/>
          <w:b/>
          <w:bCs/>
        </w:rPr>
        <w:t>Question 8</w:t>
      </w:r>
    </w:p>
    <w:p w14:paraId="5E867085" w14:textId="6618E667" w:rsidR="0001466A" w:rsidRPr="00756F68" w:rsidRDefault="0001466A" w:rsidP="00A40857">
      <w:pPr>
        <w:spacing w:before="240" w:after="120"/>
        <w:jc w:val="both"/>
        <w:rPr>
          <w:rFonts w:cstheme="minorHAnsi"/>
          <w:b/>
          <w:bCs/>
          <w:i/>
          <w:iCs/>
        </w:rPr>
      </w:pPr>
      <w:r w:rsidRPr="00756F68">
        <w:rPr>
          <w:rFonts w:cstheme="minorHAnsi"/>
          <w:b/>
          <w:bCs/>
          <w:i/>
          <w:iCs/>
        </w:rPr>
        <w:t>‘How often are these scenarios reviewed?’</w:t>
      </w:r>
    </w:p>
    <w:p w14:paraId="5F1403BB" w14:textId="61E65DA8"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 xml:space="preserve">Stress scenarios can be reviewed at different frequencies depending on the relevance of CSRBB to institutions. </w:t>
      </w:r>
      <w:r w:rsidR="00F07E09" w:rsidRPr="00756F68">
        <w:rPr>
          <w:rFonts w:cstheme="minorHAnsi"/>
        </w:rPr>
        <w:t>The management body and delegates should be responsible for setting ‘procedures for updating shock, parameters and stress scenarios’’</w:t>
      </w:r>
      <w:r w:rsidR="00F07E09" w:rsidRPr="00A40857">
        <w:rPr>
          <w:rFonts w:cstheme="minorHAnsi"/>
          <w:vertAlign w:val="superscript"/>
        </w:rPr>
        <w:footnoteReference w:id="15"/>
      </w:r>
      <w:r w:rsidR="00F07E09" w:rsidRPr="00756F68">
        <w:rPr>
          <w:rFonts w:cstheme="minorHAnsi"/>
        </w:rPr>
        <w:t>.</w:t>
      </w:r>
    </w:p>
    <w:p w14:paraId="12637543" w14:textId="77777777" w:rsidR="00820E37" w:rsidRPr="00820E37" w:rsidRDefault="0001466A" w:rsidP="00A40857">
      <w:pPr>
        <w:spacing w:before="240" w:after="120"/>
        <w:jc w:val="both"/>
        <w:rPr>
          <w:rFonts w:cstheme="minorHAnsi"/>
          <w:b/>
          <w:bCs/>
        </w:rPr>
      </w:pPr>
      <w:r w:rsidRPr="00820E37">
        <w:rPr>
          <w:rFonts w:cstheme="minorHAnsi"/>
          <w:b/>
          <w:bCs/>
        </w:rPr>
        <w:t xml:space="preserve">Question </w:t>
      </w:r>
      <w:r w:rsidR="00820E37" w:rsidRPr="00820E37">
        <w:rPr>
          <w:rFonts w:cstheme="minorHAnsi"/>
          <w:b/>
          <w:bCs/>
        </w:rPr>
        <w:t>9</w:t>
      </w:r>
    </w:p>
    <w:p w14:paraId="1DE01173" w14:textId="56158385" w:rsidR="0001466A" w:rsidRPr="00756F68" w:rsidRDefault="0001466A" w:rsidP="00A40857">
      <w:pPr>
        <w:spacing w:before="240" w:after="120"/>
        <w:jc w:val="both"/>
        <w:rPr>
          <w:rFonts w:cstheme="minorHAnsi"/>
          <w:b/>
          <w:bCs/>
          <w:i/>
          <w:iCs/>
        </w:rPr>
      </w:pPr>
      <w:r w:rsidRPr="00756F68">
        <w:rPr>
          <w:rFonts w:cstheme="minorHAnsi"/>
          <w:b/>
          <w:bCs/>
          <w:i/>
          <w:iCs/>
        </w:rPr>
        <w:t xml:space="preserve">‘Which approach do you expect to follow (or you already apply) to assess the impact on NII of your CSRBB exposures?’ </w:t>
      </w:r>
    </w:p>
    <w:p w14:paraId="380A2D90" w14:textId="45641260"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In absence of guidelines in the EBA</w:t>
      </w:r>
      <w:r w:rsidR="00142801" w:rsidRPr="00756F68">
        <w:rPr>
          <w:rFonts w:cstheme="minorHAnsi"/>
        </w:rPr>
        <w:t>/</w:t>
      </w:r>
      <w:r w:rsidRPr="00756F68">
        <w:rPr>
          <w:rFonts w:cstheme="minorHAnsi"/>
        </w:rPr>
        <w:t>GL</w:t>
      </w:r>
      <w:r w:rsidR="00142801" w:rsidRPr="00756F68">
        <w:rPr>
          <w:rFonts w:cstheme="minorHAnsi"/>
        </w:rPr>
        <w:t>/</w:t>
      </w:r>
      <w:r w:rsidRPr="00756F68">
        <w:rPr>
          <w:rFonts w:cstheme="minorHAnsi"/>
        </w:rPr>
        <w:t>2022/14 covering this assumption, institutions can decide which balance sheet assumption they would use to compute the impact of credit spread changes to NII (excluding market value changes) between a constant balance sheet or dynamic balance sheet assumption.</w:t>
      </w:r>
      <w:r w:rsidR="00F07E09" w:rsidRPr="00756F68">
        <w:rPr>
          <w:rFonts w:cstheme="minorHAnsi"/>
        </w:rPr>
        <w:t xml:space="preserve"> In any case, </w:t>
      </w:r>
      <w:r w:rsidR="00756F68" w:rsidRPr="00756F68">
        <w:rPr>
          <w:rFonts w:cstheme="minorHAnsi"/>
        </w:rPr>
        <w:t xml:space="preserve">the assumptions used by institutions should be documented and justified. </w:t>
      </w:r>
    </w:p>
    <w:p w14:paraId="6F5DC332" w14:textId="77777777" w:rsidR="00820E37" w:rsidRPr="00820E37" w:rsidRDefault="0001466A" w:rsidP="00A40857">
      <w:pPr>
        <w:spacing w:before="240" w:after="120"/>
        <w:jc w:val="both"/>
        <w:rPr>
          <w:rFonts w:cstheme="minorHAnsi"/>
          <w:b/>
          <w:bCs/>
        </w:rPr>
      </w:pPr>
      <w:r w:rsidRPr="00820E37">
        <w:rPr>
          <w:rFonts w:cstheme="minorHAnsi"/>
          <w:b/>
          <w:bCs/>
        </w:rPr>
        <w:t>Question 10</w:t>
      </w:r>
    </w:p>
    <w:p w14:paraId="7982BD68" w14:textId="7B164448" w:rsidR="0001466A" w:rsidRPr="00756F68" w:rsidRDefault="0001466A" w:rsidP="00A40857">
      <w:pPr>
        <w:spacing w:before="240" w:after="120"/>
        <w:jc w:val="both"/>
        <w:rPr>
          <w:rFonts w:cstheme="minorHAnsi"/>
          <w:b/>
          <w:bCs/>
          <w:i/>
          <w:iCs/>
        </w:rPr>
      </w:pPr>
      <w:r w:rsidRPr="00756F68">
        <w:rPr>
          <w:rFonts w:cstheme="minorHAnsi"/>
          <w:b/>
          <w:bCs/>
          <w:i/>
          <w:iCs/>
        </w:rPr>
        <w:t>‘Which approach do you expect to follow (or you already apply) to assess the impact on EVE of your CSRBB exposures? Please briefly explain.’</w:t>
      </w:r>
    </w:p>
    <w:p w14:paraId="27A945A7" w14:textId="041E7C6F"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lastRenderedPageBreak/>
        <w:t>In absence of guidelines in the EBA</w:t>
      </w:r>
      <w:r w:rsidR="00142801" w:rsidRPr="00756F68">
        <w:rPr>
          <w:rFonts w:cstheme="minorHAnsi"/>
        </w:rPr>
        <w:t>/</w:t>
      </w:r>
      <w:r w:rsidRPr="00756F68">
        <w:rPr>
          <w:rFonts w:cstheme="minorHAnsi"/>
        </w:rPr>
        <w:t>GL</w:t>
      </w:r>
      <w:r w:rsidR="00142801" w:rsidRPr="00756F68">
        <w:rPr>
          <w:rFonts w:cstheme="minorHAnsi"/>
        </w:rPr>
        <w:t>/</w:t>
      </w:r>
      <w:r w:rsidRPr="00756F68">
        <w:rPr>
          <w:rFonts w:cstheme="minorHAnsi"/>
        </w:rPr>
        <w:t>2022/14 covering this assumption, institutions can decide which balance sheet assumption they would use to compute the impact of credit spread changes to EVE (between a constant balance sheet or dynamic balance sheet assumption.</w:t>
      </w:r>
    </w:p>
    <w:p w14:paraId="4EFBBC67" w14:textId="77777777" w:rsidR="00820E37" w:rsidRPr="00820E37" w:rsidRDefault="0001466A" w:rsidP="00A40857">
      <w:pPr>
        <w:spacing w:before="240" w:after="120"/>
        <w:jc w:val="both"/>
        <w:rPr>
          <w:rFonts w:cstheme="minorHAnsi"/>
          <w:b/>
          <w:bCs/>
        </w:rPr>
      </w:pPr>
      <w:r w:rsidRPr="00820E37">
        <w:rPr>
          <w:rFonts w:cstheme="minorHAnsi"/>
          <w:b/>
          <w:bCs/>
        </w:rPr>
        <w:t>Question 11</w:t>
      </w:r>
    </w:p>
    <w:p w14:paraId="23E1EFB6" w14:textId="731A31F7" w:rsidR="0001466A" w:rsidRPr="00756F68" w:rsidRDefault="0001466A" w:rsidP="00A40857">
      <w:pPr>
        <w:spacing w:before="240" w:after="120"/>
        <w:jc w:val="both"/>
        <w:rPr>
          <w:rFonts w:cstheme="minorHAnsi"/>
          <w:b/>
          <w:bCs/>
          <w:i/>
          <w:iCs/>
        </w:rPr>
      </w:pPr>
      <w:r w:rsidRPr="00756F68">
        <w:rPr>
          <w:rFonts w:cstheme="minorHAnsi"/>
          <w:b/>
          <w:bCs/>
          <w:i/>
          <w:iCs/>
        </w:rPr>
        <w:t xml:space="preserve">‘Which approach do you expect to follow (or you already apply) to assess the impact on MV of your CSRBB exposures? Please briefly explain.’ </w:t>
      </w:r>
    </w:p>
    <w:p w14:paraId="2DB5DD01" w14:textId="55863AFE" w:rsidR="0001466A" w:rsidRPr="00756F68" w:rsidRDefault="0001466A" w:rsidP="00A40857">
      <w:pPr>
        <w:pStyle w:val="ListParagraph"/>
        <w:numPr>
          <w:ilvl w:val="0"/>
          <w:numId w:val="2"/>
        </w:numPr>
        <w:spacing w:before="240" w:after="120"/>
        <w:ind w:left="426"/>
        <w:jc w:val="both"/>
        <w:rPr>
          <w:rFonts w:cstheme="minorHAnsi"/>
        </w:rPr>
      </w:pPr>
      <w:r w:rsidRPr="00756F68">
        <w:rPr>
          <w:rFonts w:cstheme="minorHAnsi"/>
        </w:rPr>
        <w:t>In absence of guidelines in the EBA</w:t>
      </w:r>
      <w:r w:rsidR="00142801" w:rsidRPr="00756F68">
        <w:rPr>
          <w:rFonts w:cstheme="minorHAnsi"/>
        </w:rPr>
        <w:t>/</w:t>
      </w:r>
      <w:r w:rsidRPr="00756F68">
        <w:rPr>
          <w:rFonts w:cstheme="minorHAnsi"/>
        </w:rPr>
        <w:t>GL</w:t>
      </w:r>
      <w:r w:rsidR="00142801" w:rsidRPr="00756F68">
        <w:rPr>
          <w:rFonts w:cstheme="minorHAnsi"/>
        </w:rPr>
        <w:t>/</w:t>
      </w:r>
      <w:r w:rsidRPr="00756F68">
        <w:rPr>
          <w:rFonts w:cstheme="minorHAnsi"/>
        </w:rPr>
        <w:t>2022/14 covering this assumption, institutions can decide which balance sheet assumption they would use to compute the impact of credit spread changes to market value changes between a constant balance sheet or dynamic balance sheet assumption.</w:t>
      </w:r>
      <w:r w:rsidR="00F07E09" w:rsidRPr="00756F68">
        <w:rPr>
          <w:rFonts w:cstheme="minorHAnsi"/>
        </w:rPr>
        <w:t xml:space="preserve"> Institutions should be able to </w:t>
      </w:r>
      <w:r w:rsidR="00E42ED0" w:rsidRPr="00756F68">
        <w:rPr>
          <w:rFonts w:cstheme="minorHAnsi"/>
        </w:rPr>
        <w:t>provide</w:t>
      </w:r>
      <w:r w:rsidR="00F07E09" w:rsidRPr="00756F68">
        <w:rPr>
          <w:rFonts w:cstheme="minorHAnsi"/>
        </w:rPr>
        <w:t xml:space="preserve"> the </w:t>
      </w:r>
      <w:r w:rsidR="00E42ED0" w:rsidRPr="00756F68">
        <w:rPr>
          <w:rFonts w:cstheme="minorHAnsi"/>
        </w:rPr>
        <w:t>prudent</w:t>
      </w:r>
      <w:r w:rsidR="00F07E09" w:rsidRPr="00756F68">
        <w:rPr>
          <w:rFonts w:cstheme="minorHAnsi"/>
        </w:rPr>
        <w:t xml:space="preserve"> documentation supporting their policies assumptions and procedures</w:t>
      </w:r>
      <w:r w:rsidR="00F07E09" w:rsidRPr="00A40857">
        <w:rPr>
          <w:rFonts w:cstheme="minorHAnsi"/>
          <w:vertAlign w:val="superscript"/>
        </w:rPr>
        <w:footnoteReference w:id="16"/>
      </w:r>
      <w:r w:rsidR="00F07E09" w:rsidRPr="00756F68">
        <w:rPr>
          <w:rFonts w:cstheme="minorHAnsi"/>
        </w:rPr>
        <w:t>.</w:t>
      </w:r>
    </w:p>
    <w:p w14:paraId="557FD7EA" w14:textId="77777777" w:rsidR="00820E37" w:rsidRPr="00820E37" w:rsidRDefault="0001466A" w:rsidP="00A40857">
      <w:pPr>
        <w:spacing w:before="240" w:after="120"/>
        <w:jc w:val="both"/>
        <w:rPr>
          <w:rFonts w:cstheme="minorHAnsi"/>
          <w:b/>
          <w:bCs/>
        </w:rPr>
      </w:pPr>
      <w:r w:rsidRPr="00820E37">
        <w:rPr>
          <w:rFonts w:cstheme="minorHAnsi"/>
          <w:b/>
          <w:bCs/>
        </w:rPr>
        <w:t>Question 12</w:t>
      </w:r>
    </w:p>
    <w:p w14:paraId="66723DA8" w14:textId="6BE89A99" w:rsidR="00F55863" w:rsidRPr="00756F68" w:rsidRDefault="00142801" w:rsidP="00A40857">
      <w:pPr>
        <w:spacing w:before="240" w:after="120"/>
        <w:jc w:val="both"/>
        <w:rPr>
          <w:rFonts w:cstheme="minorHAnsi"/>
          <w:b/>
          <w:bCs/>
          <w:i/>
          <w:iCs/>
        </w:rPr>
      </w:pPr>
      <w:r w:rsidRPr="00756F68">
        <w:rPr>
          <w:rFonts w:cstheme="minorHAnsi"/>
          <w:b/>
          <w:bCs/>
          <w:i/>
          <w:iCs/>
        </w:rPr>
        <w:t>‘Memorandum item on EVE level for IRRBB’</w:t>
      </w:r>
    </w:p>
    <w:p w14:paraId="1B7660B9" w14:textId="382C26DB" w:rsidR="00F55863" w:rsidRDefault="00142801" w:rsidP="00A40857">
      <w:pPr>
        <w:pStyle w:val="ListParagraph"/>
        <w:numPr>
          <w:ilvl w:val="0"/>
          <w:numId w:val="2"/>
        </w:numPr>
        <w:spacing w:before="240" w:after="120"/>
        <w:ind w:left="426"/>
        <w:jc w:val="both"/>
        <w:rPr>
          <w:rFonts w:cstheme="minorHAnsi"/>
        </w:rPr>
      </w:pPr>
      <w:r w:rsidRPr="00756F68">
        <w:rPr>
          <w:rFonts w:cstheme="minorHAnsi"/>
        </w:rPr>
        <w:t xml:space="preserve">This question gathers information on if commercial margins or other spread components are excluded or included in the </w:t>
      </w:r>
      <w:r w:rsidR="00066B1A" w:rsidRPr="00756F68">
        <w:rPr>
          <w:rFonts w:cstheme="minorHAnsi"/>
        </w:rPr>
        <w:t xml:space="preserve">level of the </w:t>
      </w:r>
      <w:r w:rsidRPr="00756F68">
        <w:rPr>
          <w:rFonts w:cstheme="minorHAnsi"/>
        </w:rPr>
        <w:t>EVE.</w:t>
      </w:r>
    </w:p>
    <w:p w14:paraId="0AF3373A" w14:textId="77777777" w:rsidR="00F005F8" w:rsidRPr="00F005F8" w:rsidRDefault="00F005F8" w:rsidP="00F005F8">
      <w:pPr>
        <w:spacing w:before="240" w:after="120"/>
        <w:jc w:val="both"/>
        <w:rPr>
          <w:rFonts w:cstheme="minorHAnsi"/>
          <w:b/>
          <w:bCs/>
        </w:rPr>
      </w:pPr>
      <w:r w:rsidRPr="00F005F8">
        <w:rPr>
          <w:rFonts w:cstheme="minorHAnsi"/>
          <w:b/>
          <w:bCs/>
        </w:rPr>
        <w:t>Question 13</w:t>
      </w:r>
    </w:p>
    <w:p w14:paraId="10DB70A2" w14:textId="09883DC0" w:rsidR="00F005F8" w:rsidRPr="00F005F8" w:rsidRDefault="00F005F8" w:rsidP="00F005F8">
      <w:pPr>
        <w:spacing w:before="240" w:after="120"/>
        <w:jc w:val="both"/>
        <w:rPr>
          <w:rFonts w:cstheme="minorHAnsi"/>
          <w:b/>
          <w:bCs/>
          <w:i/>
          <w:iCs/>
        </w:rPr>
      </w:pPr>
      <w:r w:rsidRPr="00F005F8">
        <w:rPr>
          <w:rFonts w:cstheme="minorHAnsi"/>
          <w:b/>
          <w:bCs/>
          <w:i/>
          <w:iCs/>
        </w:rPr>
        <w:t>‘Other reasons than in point 12 (above) for different EVE level for IRRBB and CSRBB (template 2, columns 0010 and 0020)’</w:t>
      </w:r>
    </w:p>
    <w:p w14:paraId="44BE6184" w14:textId="030E8C90" w:rsidR="00F005F8" w:rsidRDefault="00F005F8" w:rsidP="00A40857">
      <w:pPr>
        <w:pStyle w:val="ListParagraph"/>
        <w:numPr>
          <w:ilvl w:val="0"/>
          <w:numId w:val="2"/>
        </w:numPr>
        <w:spacing w:before="240" w:after="120"/>
        <w:ind w:left="426"/>
        <w:jc w:val="both"/>
        <w:rPr>
          <w:rFonts w:cstheme="minorHAnsi"/>
        </w:rPr>
      </w:pPr>
      <w:r>
        <w:rPr>
          <w:rFonts w:cstheme="minorHAnsi"/>
        </w:rPr>
        <w:t xml:space="preserve">This question </w:t>
      </w:r>
      <w:r w:rsidR="00476089">
        <w:rPr>
          <w:rFonts w:cstheme="minorHAnsi"/>
        </w:rPr>
        <w:t>seeks</w:t>
      </w:r>
      <w:r>
        <w:rPr>
          <w:rFonts w:cstheme="minorHAnsi"/>
        </w:rPr>
        <w:t xml:space="preserve"> to understand the drivers of any existing differences for different EVE level for IRRBB and CSRBB other than the inclusion / exclusion of the </w:t>
      </w:r>
      <w:r w:rsidRPr="00756F68">
        <w:rPr>
          <w:rFonts w:cstheme="minorHAnsi"/>
        </w:rPr>
        <w:t>commercial margins or other spread components</w:t>
      </w:r>
      <w:r>
        <w:rPr>
          <w:rFonts w:cstheme="minorHAnsi"/>
        </w:rPr>
        <w:t xml:space="preserve">. </w:t>
      </w:r>
    </w:p>
    <w:p w14:paraId="356D69FD" w14:textId="77777777" w:rsidR="00F005F8" w:rsidRPr="00F005F8" w:rsidRDefault="00F005F8" w:rsidP="00F005F8">
      <w:pPr>
        <w:spacing w:before="240" w:after="120"/>
        <w:jc w:val="both"/>
        <w:rPr>
          <w:rFonts w:cstheme="minorHAnsi"/>
        </w:rPr>
      </w:pPr>
    </w:p>
    <w:p w14:paraId="2E141994" w14:textId="77777777" w:rsidR="00756F68" w:rsidRPr="00756F68" w:rsidRDefault="00756F68" w:rsidP="00A40857">
      <w:pPr>
        <w:pStyle w:val="ListParagraph"/>
        <w:ind w:left="426"/>
        <w:jc w:val="both"/>
        <w:rPr>
          <w:rFonts w:cstheme="minorHAnsi"/>
        </w:rPr>
      </w:pPr>
    </w:p>
    <w:p w14:paraId="2026B8BD" w14:textId="77777777" w:rsidR="00A40857" w:rsidRPr="007D43C0" w:rsidRDefault="00A40857">
      <w:pPr>
        <w:rPr>
          <w:rFonts w:eastAsiaTheme="majorEastAsia" w:cstheme="minorHAnsi"/>
          <w:b/>
          <w:bCs/>
        </w:rPr>
      </w:pPr>
      <w:bookmarkStart w:id="20" w:name="_Toc146804988"/>
      <w:r w:rsidRPr="007D43C0">
        <w:rPr>
          <w:rFonts w:cstheme="minorHAnsi"/>
        </w:rPr>
        <w:br w:type="page"/>
      </w:r>
    </w:p>
    <w:p w14:paraId="09BE26EF" w14:textId="66C14952" w:rsidR="00180C55" w:rsidRPr="00A40857" w:rsidRDefault="00180C55" w:rsidP="00A40857">
      <w:pPr>
        <w:pStyle w:val="Heading2"/>
        <w:spacing w:before="120" w:line="360" w:lineRule="auto"/>
        <w:ind w:left="66"/>
        <w:rPr>
          <w:rFonts w:asciiTheme="minorHAnsi" w:hAnsiTheme="minorHAnsi" w:cstheme="minorHAnsi"/>
          <w:color w:val="auto"/>
          <w:sz w:val="22"/>
          <w:szCs w:val="22"/>
          <w:lang w:val="fr-FR"/>
        </w:rPr>
      </w:pPr>
      <w:r w:rsidRPr="00A40857">
        <w:rPr>
          <w:rFonts w:asciiTheme="minorHAnsi" w:hAnsiTheme="minorHAnsi" w:cstheme="minorHAnsi"/>
          <w:color w:val="auto"/>
          <w:sz w:val="22"/>
          <w:szCs w:val="22"/>
          <w:lang w:val="fr-FR"/>
        </w:rPr>
        <w:lastRenderedPageBreak/>
        <w:t>Template “5_NMD_stratification”</w:t>
      </w:r>
      <w:bookmarkEnd w:id="20"/>
    </w:p>
    <w:p w14:paraId="254D2CA5" w14:textId="423DC238" w:rsidR="00777A6B" w:rsidRPr="00A40857" w:rsidRDefault="00EA0436" w:rsidP="00F005F8">
      <w:pPr>
        <w:pStyle w:val="ListParagraph"/>
        <w:numPr>
          <w:ilvl w:val="0"/>
          <w:numId w:val="2"/>
        </w:numPr>
        <w:spacing w:before="120" w:after="240"/>
        <w:ind w:left="432"/>
        <w:contextualSpacing w:val="0"/>
        <w:jc w:val="both"/>
        <w:rPr>
          <w:rFonts w:cstheme="minorHAnsi"/>
        </w:rPr>
      </w:pPr>
      <w:r w:rsidRPr="00756F68">
        <w:rPr>
          <w:rFonts w:cstheme="minorHAnsi"/>
        </w:rPr>
        <w:t>Template “5_NMD_stratification” is partly based on template “Panel E: Stratification of retail NMD accounts” of the EU specific Basel III monitoring exercise</w:t>
      </w:r>
      <w:r w:rsidRPr="00A40857">
        <w:rPr>
          <w:rFonts w:cstheme="minorHAnsi"/>
          <w:vertAlign w:val="superscript"/>
        </w:rPr>
        <w:footnoteReference w:id="17"/>
      </w:r>
      <w:r w:rsidRPr="00756F68">
        <w:rPr>
          <w:rFonts w:cstheme="minorHAnsi"/>
        </w:rPr>
        <w:t xml:space="preserve"> and reporting instructions are fully aligned. However, granularity has been removed to reduce the number of data points and consequently the reporting burden towards institutions. </w:t>
      </w:r>
    </w:p>
    <w:p w14:paraId="754EC27E" w14:textId="57AC15B1" w:rsidR="00756F68" w:rsidRPr="00756F68" w:rsidRDefault="00897912" w:rsidP="00F005F8">
      <w:pPr>
        <w:pStyle w:val="ListParagraph"/>
        <w:numPr>
          <w:ilvl w:val="0"/>
          <w:numId w:val="2"/>
        </w:numPr>
        <w:spacing w:before="120" w:after="240"/>
        <w:ind w:left="432"/>
        <w:contextualSpacing w:val="0"/>
        <w:jc w:val="both"/>
        <w:rPr>
          <w:rFonts w:cstheme="minorHAnsi"/>
        </w:rPr>
      </w:pPr>
      <w:r w:rsidRPr="00756F68">
        <w:rPr>
          <w:rFonts w:cstheme="minorHAnsi"/>
        </w:rPr>
        <w:t xml:space="preserve">This template gathers retail NMDs in the banking book of depositors being physical person/natural persons and small and medium-sized enterprise (SME), without any specific repricing dates, denominated in the reporting currency (EUR). </w:t>
      </w:r>
    </w:p>
    <w:p w14:paraId="00FC08BC" w14:textId="621A0BED" w:rsidR="00A20F4F" w:rsidRPr="00756F68" w:rsidRDefault="00897912" w:rsidP="00F005F8">
      <w:pPr>
        <w:pStyle w:val="ListParagraph"/>
        <w:numPr>
          <w:ilvl w:val="0"/>
          <w:numId w:val="2"/>
        </w:numPr>
        <w:spacing w:before="120" w:after="240"/>
        <w:ind w:left="432"/>
        <w:contextualSpacing w:val="0"/>
        <w:jc w:val="both"/>
        <w:rPr>
          <w:rFonts w:cstheme="minorHAnsi"/>
        </w:rPr>
      </w:pPr>
      <w:r w:rsidRPr="00756F68">
        <w:rPr>
          <w:rFonts w:cstheme="minorHAnsi"/>
        </w:rPr>
        <w:t>Those date</w:t>
      </w:r>
      <w:r w:rsidR="000027B7" w:rsidRPr="00756F68">
        <w:rPr>
          <w:rFonts w:cstheme="minorHAnsi"/>
        </w:rPr>
        <w:t>s</w:t>
      </w:r>
      <w:r w:rsidRPr="00756F68">
        <w:rPr>
          <w:rFonts w:cstheme="minorHAnsi"/>
        </w:rPr>
        <w:t xml:space="preserve"> are meant to complement the analysis of stability of retail NMDs under the expectation that those with lower balances will remain more stable. </w:t>
      </w:r>
    </w:p>
    <w:p w14:paraId="7536446A" w14:textId="1AC7749F" w:rsidR="006B7D66" w:rsidRPr="00756F68" w:rsidRDefault="006B7D66" w:rsidP="00F005F8">
      <w:pPr>
        <w:pStyle w:val="ListParagraph"/>
        <w:numPr>
          <w:ilvl w:val="0"/>
          <w:numId w:val="2"/>
        </w:numPr>
        <w:spacing w:before="120" w:after="240"/>
        <w:ind w:left="432"/>
        <w:contextualSpacing w:val="0"/>
        <w:jc w:val="both"/>
        <w:rPr>
          <w:rFonts w:cstheme="minorHAnsi"/>
        </w:rPr>
      </w:pPr>
      <w:r w:rsidRPr="00756F68">
        <w:rPr>
          <w:rFonts w:cstheme="minorHAnsi"/>
        </w:rPr>
        <w:t>The amount to be reported in the template refers to the amount of the relevant category of retail NMDs under the applicable accounting methodology and standard (IFRS or national GAAP) as considered in the Balance sheet of the institution.</w:t>
      </w:r>
    </w:p>
    <w:p w14:paraId="517E88AD" w14:textId="7F66862F" w:rsidR="006B7D66" w:rsidRPr="00F005F8" w:rsidRDefault="00795ABD" w:rsidP="00F005F8">
      <w:pPr>
        <w:pStyle w:val="ListParagraph"/>
        <w:numPr>
          <w:ilvl w:val="0"/>
          <w:numId w:val="2"/>
        </w:numPr>
        <w:spacing w:before="120" w:after="240"/>
        <w:ind w:left="432"/>
        <w:contextualSpacing w:val="0"/>
        <w:jc w:val="both"/>
        <w:rPr>
          <w:rFonts w:cstheme="minorHAnsi"/>
        </w:rPr>
      </w:pPr>
      <w:r w:rsidRPr="00756F68">
        <w:rPr>
          <w:rFonts w:cstheme="minorHAnsi"/>
        </w:rPr>
        <w:t xml:space="preserve">Individual depositor amount &lt; EUR 50 000 refers to the relevant retail NMDs from a natural person where the total deposit balance, including all the client's NMD accounts at that credit </w:t>
      </w:r>
      <w:r w:rsidRPr="00F005F8">
        <w:rPr>
          <w:rFonts w:cstheme="minorHAnsi"/>
        </w:rPr>
        <w:t>institution or group, is smaller than EUR 50 000.</w:t>
      </w:r>
    </w:p>
    <w:p w14:paraId="5F4C11FE" w14:textId="2354A891" w:rsidR="00F005F8" w:rsidRPr="00F005F8" w:rsidRDefault="00F005F8" w:rsidP="00F005F8">
      <w:pPr>
        <w:pStyle w:val="ListParagraph"/>
        <w:numPr>
          <w:ilvl w:val="0"/>
          <w:numId w:val="2"/>
        </w:numPr>
        <w:spacing w:before="120" w:after="240"/>
        <w:ind w:left="432"/>
        <w:contextualSpacing w:val="0"/>
        <w:jc w:val="both"/>
        <w:rPr>
          <w:rFonts w:cstheme="minorHAnsi"/>
        </w:rPr>
      </w:pPr>
      <w:r w:rsidRPr="00F005F8">
        <w:rPr>
          <w:rFonts w:cstheme="minorHAnsi"/>
        </w:rPr>
        <w:t xml:space="preserve">EUR 50 000 &lt;= </w:t>
      </w:r>
      <w:r w:rsidR="00795ABD" w:rsidRPr="00F005F8">
        <w:rPr>
          <w:rFonts w:cstheme="minorHAnsi"/>
        </w:rPr>
        <w:t xml:space="preserve">Individual depositor amount </w:t>
      </w:r>
      <w:r w:rsidRPr="00F005F8">
        <w:rPr>
          <w:rFonts w:cstheme="minorHAnsi"/>
        </w:rPr>
        <w:t>&lt;</w:t>
      </w:r>
      <w:r w:rsidR="00795ABD" w:rsidRPr="00F005F8">
        <w:rPr>
          <w:rFonts w:cstheme="minorHAnsi"/>
        </w:rPr>
        <w:t xml:space="preserve"> EUR </w:t>
      </w:r>
      <w:r w:rsidRPr="00F005F8">
        <w:rPr>
          <w:rFonts w:cstheme="minorHAnsi"/>
        </w:rPr>
        <w:t>100</w:t>
      </w:r>
      <w:r w:rsidR="00795ABD" w:rsidRPr="00F005F8">
        <w:rPr>
          <w:rFonts w:cstheme="minorHAnsi"/>
        </w:rPr>
        <w:t xml:space="preserve"> 000 refers to the relevant retail NMDs from a natural person where the total deposit balance, including all the client's NMD accounts at that credit institution or group, </w:t>
      </w:r>
      <w:r w:rsidRPr="00F005F8">
        <w:rPr>
          <w:rFonts w:cstheme="minorHAnsi"/>
        </w:rPr>
        <w:t>is smaller than EUR 100 000 and equal to or larger than EUR 50 000</w:t>
      </w:r>
    </w:p>
    <w:p w14:paraId="69A4B2D2" w14:textId="6A9C19E4" w:rsidR="00795ABD" w:rsidRPr="00F005F8" w:rsidRDefault="00F005F8" w:rsidP="000A2D2A">
      <w:pPr>
        <w:pStyle w:val="ListParagraph"/>
        <w:numPr>
          <w:ilvl w:val="0"/>
          <w:numId w:val="2"/>
        </w:numPr>
        <w:spacing w:before="120" w:after="240"/>
        <w:ind w:left="432"/>
        <w:contextualSpacing w:val="0"/>
        <w:jc w:val="both"/>
        <w:rPr>
          <w:rFonts w:cstheme="minorHAnsi"/>
        </w:rPr>
      </w:pPr>
      <w:r w:rsidRPr="00F005F8">
        <w:rPr>
          <w:rFonts w:cstheme="minorHAnsi"/>
        </w:rPr>
        <w:t xml:space="preserve">Individual depositor amount &gt;= EUR 100 000 refers to the relevant retail NMDs from a natural person where the total deposit balance, including all the client's NMD accounts at that credit institution or group, is equal to or larger than EUR 100 000. </w:t>
      </w:r>
    </w:p>
    <w:p w14:paraId="70019839" w14:textId="24AC0AA2" w:rsidR="00795ABD" w:rsidRPr="00756F68" w:rsidRDefault="00795ABD" w:rsidP="00F005F8">
      <w:pPr>
        <w:pStyle w:val="ListParagraph"/>
        <w:numPr>
          <w:ilvl w:val="0"/>
          <w:numId w:val="2"/>
        </w:numPr>
        <w:spacing w:before="120" w:after="240"/>
        <w:ind w:left="432"/>
        <w:contextualSpacing w:val="0"/>
        <w:jc w:val="both"/>
        <w:rPr>
          <w:rFonts w:cstheme="minorHAnsi"/>
        </w:rPr>
      </w:pPr>
      <w:r w:rsidRPr="00756F68">
        <w:rPr>
          <w:rFonts w:cstheme="minorHAnsi"/>
        </w:rPr>
        <w:t>Individual depositor amount &lt; EUR 100 000 refers to relevant retail NMDs from a SME where the total deposit balance, including all the client's NMD accounts at that credit institution or group, is smaller than EUR 100 000.</w:t>
      </w:r>
    </w:p>
    <w:p w14:paraId="69A111B4" w14:textId="4FBF2007" w:rsidR="00795ABD" w:rsidRDefault="00795ABD" w:rsidP="00F005F8">
      <w:pPr>
        <w:pStyle w:val="ListParagraph"/>
        <w:numPr>
          <w:ilvl w:val="0"/>
          <w:numId w:val="2"/>
        </w:numPr>
        <w:spacing w:before="120" w:after="240"/>
        <w:ind w:left="432"/>
        <w:contextualSpacing w:val="0"/>
        <w:jc w:val="both"/>
        <w:rPr>
          <w:rFonts w:cstheme="minorHAnsi"/>
        </w:rPr>
      </w:pPr>
      <w:r w:rsidRPr="00756F68">
        <w:rPr>
          <w:rFonts w:cstheme="minorHAnsi"/>
        </w:rPr>
        <w:t>EUR 100 000 &lt;= Individual depositor amount &lt; EUR 300 000 refers to relevant retail NMDs from a SME where the total deposit balance, including all the client's NMD accounts at that credit institution or group, is smaller than EUR 300 000 and equal to or larger than EUR 100 000.</w:t>
      </w:r>
    </w:p>
    <w:p w14:paraId="2335E70D" w14:textId="698B794C" w:rsidR="00F005F8" w:rsidRDefault="00F005F8" w:rsidP="00D070F2">
      <w:pPr>
        <w:pStyle w:val="ListParagraph"/>
        <w:numPr>
          <w:ilvl w:val="0"/>
          <w:numId w:val="2"/>
        </w:numPr>
        <w:spacing w:before="120" w:after="240"/>
        <w:ind w:left="432"/>
        <w:contextualSpacing w:val="0"/>
        <w:jc w:val="both"/>
        <w:rPr>
          <w:rFonts w:cstheme="minorHAnsi"/>
        </w:rPr>
      </w:pPr>
      <w:r w:rsidRPr="00F005F8">
        <w:rPr>
          <w:rFonts w:cstheme="minorHAnsi"/>
        </w:rPr>
        <w:t>EUR 300 000 &lt;= Individual depositor amount &lt; EUR 1 000 000 refers to relevant retail NMDs from a SME where the total deposit balance, including all the client's NMD accounts at that credit institution or group, is smaller than EUR 300 000 and equal to or larger than EUR 1 000 000.</w:t>
      </w:r>
    </w:p>
    <w:p w14:paraId="26B9397E" w14:textId="7D4A9A37" w:rsidR="00F005F8" w:rsidRPr="00F005F8" w:rsidRDefault="00F005F8" w:rsidP="00F005F8">
      <w:pPr>
        <w:pStyle w:val="ListParagraph"/>
        <w:numPr>
          <w:ilvl w:val="0"/>
          <w:numId w:val="2"/>
        </w:numPr>
        <w:spacing w:before="120" w:after="240"/>
        <w:ind w:left="432"/>
        <w:contextualSpacing w:val="0"/>
        <w:jc w:val="both"/>
        <w:rPr>
          <w:rFonts w:cstheme="minorHAnsi"/>
        </w:rPr>
      </w:pPr>
      <w:r w:rsidRPr="00F005F8">
        <w:rPr>
          <w:rFonts w:cstheme="minorHAnsi"/>
        </w:rPr>
        <w:lastRenderedPageBreak/>
        <w:t>Individual depositor amount &gt;= EUR 1 000 000 refers to relevant retail NMDs from a SME where the total deposit balance, including all the client's NMD accounts at that credit institution or group, is equal to or larger than EUR 1</w:t>
      </w:r>
      <w:r>
        <w:rPr>
          <w:rFonts w:cstheme="minorHAnsi"/>
        </w:rPr>
        <w:t xml:space="preserve"> 0</w:t>
      </w:r>
      <w:r w:rsidRPr="00F005F8">
        <w:rPr>
          <w:rFonts w:cstheme="minorHAnsi"/>
        </w:rPr>
        <w:t>00 000.</w:t>
      </w:r>
    </w:p>
    <w:p w14:paraId="454708C9" w14:textId="0435E8F0" w:rsidR="00FF3640" w:rsidRPr="00F005F8" w:rsidRDefault="00795ABD" w:rsidP="00D070F2">
      <w:pPr>
        <w:pStyle w:val="ListParagraph"/>
        <w:numPr>
          <w:ilvl w:val="0"/>
          <w:numId w:val="2"/>
        </w:numPr>
        <w:spacing w:before="120" w:after="240"/>
        <w:ind w:left="432"/>
        <w:contextualSpacing w:val="0"/>
        <w:jc w:val="both"/>
        <w:rPr>
          <w:rFonts w:cstheme="minorHAnsi"/>
        </w:rPr>
      </w:pPr>
      <w:r w:rsidRPr="00F005F8">
        <w:rPr>
          <w:rFonts w:cstheme="minorHAnsi"/>
        </w:rPr>
        <w:t xml:space="preserve">The deposit balance of joint accounts, where all account holders are legally entitled to dispose of the full amount of the deposit balance at their entire discretion, should be equally allocated to each account holder. </w:t>
      </w:r>
    </w:p>
    <w:p w14:paraId="30B3309D" w14:textId="02DB520E" w:rsidR="00795ABD" w:rsidRPr="00756F68" w:rsidRDefault="00795ABD" w:rsidP="00F005F8">
      <w:pPr>
        <w:pStyle w:val="ListParagraph"/>
        <w:numPr>
          <w:ilvl w:val="0"/>
          <w:numId w:val="2"/>
        </w:numPr>
        <w:spacing w:before="120" w:after="240"/>
        <w:ind w:left="432"/>
        <w:contextualSpacing w:val="0"/>
        <w:jc w:val="both"/>
        <w:rPr>
          <w:rFonts w:cstheme="minorHAnsi"/>
        </w:rPr>
      </w:pPr>
      <w:r w:rsidRPr="00756F68">
        <w:rPr>
          <w:rFonts w:cstheme="minorHAnsi"/>
        </w:rPr>
        <w:t>Term deposits shall not be considered as part of the deposit balance for the purposes of this template.</w:t>
      </w:r>
    </w:p>
    <w:tbl>
      <w:tblPr>
        <w:tblStyle w:val="TableGrid"/>
        <w:tblW w:w="8784" w:type="dxa"/>
        <w:tblLook w:val="04A0" w:firstRow="1" w:lastRow="0" w:firstColumn="1" w:lastColumn="0" w:noHBand="0" w:noVBand="1"/>
      </w:tblPr>
      <w:tblGrid>
        <w:gridCol w:w="1838"/>
        <w:gridCol w:w="2131"/>
        <w:gridCol w:w="4815"/>
      </w:tblGrid>
      <w:tr w:rsidR="00897912" w:rsidRPr="00756F68" w14:paraId="16E82910" w14:textId="77777777" w:rsidTr="008806B0">
        <w:tc>
          <w:tcPr>
            <w:tcW w:w="8784" w:type="dxa"/>
            <w:gridSpan w:val="3"/>
            <w:tcBorders>
              <w:top w:val="single" w:sz="4" w:space="0" w:color="auto"/>
              <w:left w:val="single" w:sz="4" w:space="0" w:color="auto"/>
              <w:right w:val="single" w:sz="4" w:space="0" w:color="auto"/>
            </w:tcBorders>
          </w:tcPr>
          <w:p w14:paraId="5CA09104" w14:textId="77777777" w:rsidR="00897912" w:rsidRPr="00756F68" w:rsidRDefault="00897912" w:rsidP="00A40857">
            <w:pPr>
              <w:pStyle w:val="body"/>
              <w:spacing w:before="120"/>
              <w:rPr>
                <w:rFonts w:cstheme="minorHAnsi"/>
              </w:rPr>
            </w:pPr>
            <w:r w:rsidRPr="00756F68">
              <w:rPr>
                <w:rFonts w:cstheme="minorHAnsi"/>
                <w:b/>
              </w:rPr>
              <w:t>Example:</w:t>
            </w:r>
          </w:p>
        </w:tc>
      </w:tr>
      <w:tr w:rsidR="00897912" w:rsidRPr="00756F68" w14:paraId="77374719" w14:textId="77777777" w:rsidTr="008806B0">
        <w:trPr>
          <w:trHeight w:val="867"/>
        </w:trPr>
        <w:tc>
          <w:tcPr>
            <w:tcW w:w="1838" w:type="dxa"/>
          </w:tcPr>
          <w:p w14:paraId="637BFFC9" w14:textId="32E79F8E" w:rsidR="00897912" w:rsidRPr="00756F68" w:rsidRDefault="00897912" w:rsidP="00A40857">
            <w:pPr>
              <w:pStyle w:val="body"/>
              <w:spacing w:before="120"/>
              <w:rPr>
                <w:rFonts w:cstheme="minorHAnsi"/>
              </w:rPr>
            </w:pPr>
            <w:r w:rsidRPr="00756F68">
              <w:rPr>
                <w:rFonts w:cstheme="minorHAnsi"/>
              </w:rPr>
              <w:t>Depositor A</w:t>
            </w:r>
            <w:r w:rsidR="00D0264D" w:rsidRPr="00756F68">
              <w:rPr>
                <w:rFonts w:cstheme="minorHAnsi"/>
              </w:rPr>
              <w:t xml:space="preserve"> </w:t>
            </w:r>
            <w:r w:rsidRPr="00756F68">
              <w:rPr>
                <w:rFonts w:cstheme="minorHAnsi"/>
              </w:rPr>
              <w:t>(natural person)</w:t>
            </w:r>
          </w:p>
        </w:tc>
        <w:tc>
          <w:tcPr>
            <w:tcW w:w="2131" w:type="dxa"/>
          </w:tcPr>
          <w:p w14:paraId="2710ABF8" w14:textId="024177BF" w:rsidR="00897912" w:rsidRPr="00756F68" w:rsidRDefault="00897912" w:rsidP="00A40857">
            <w:pPr>
              <w:pStyle w:val="body"/>
              <w:spacing w:before="120"/>
              <w:rPr>
                <w:rFonts w:cstheme="minorHAnsi"/>
              </w:rPr>
            </w:pPr>
            <w:r w:rsidRPr="00756F68">
              <w:rPr>
                <w:rFonts w:cstheme="minorHAnsi"/>
              </w:rPr>
              <w:t>account 1 balance: EUR 10 000</w:t>
            </w:r>
          </w:p>
        </w:tc>
        <w:tc>
          <w:tcPr>
            <w:tcW w:w="4815" w:type="dxa"/>
            <w:vMerge w:val="restart"/>
          </w:tcPr>
          <w:p w14:paraId="45A21CCA" w14:textId="53CF333E" w:rsidR="00897912" w:rsidRPr="00756F68" w:rsidRDefault="00897912" w:rsidP="00A40857">
            <w:pPr>
              <w:pStyle w:val="body"/>
              <w:spacing w:before="120"/>
              <w:rPr>
                <w:rFonts w:cstheme="minorHAnsi"/>
              </w:rPr>
            </w:pPr>
            <w:r w:rsidRPr="00756F68">
              <w:rPr>
                <w:rFonts w:cstheme="minorHAnsi"/>
              </w:rPr>
              <w:t xml:space="preserve">EUR 20 000 = 10 000 (individual account) + 10 000 (50% joint account) to be reported under row </w:t>
            </w:r>
            <w:r w:rsidR="00B43CB0" w:rsidRPr="00756F68">
              <w:rPr>
                <w:rFonts w:cstheme="minorHAnsi"/>
              </w:rPr>
              <w:t>8</w:t>
            </w:r>
            <w:r w:rsidRPr="00756F68">
              <w:rPr>
                <w:rFonts w:cstheme="minorHAnsi"/>
              </w:rPr>
              <w:t>.</w:t>
            </w:r>
          </w:p>
        </w:tc>
      </w:tr>
      <w:tr w:rsidR="00897912" w:rsidRPr="00756F68" w14:paraId="1114CBD5" w14:textId="77777777" w:rsidTr="008806B0">
        <w:trPr>
          <w:trHeight w:val="429"/>
        </w:trPr>
        <w:tc>
          <w:tcPr>
            <w:tcW w:w="1838" w:type="dxa"/>
            <w:vMerge w:val="restart"/>
          </w:tcPr>
          <w:p w14:paraId="1EAF827F" w14:textId="77777777" w:rsidR="00897912" w:rsidRPr="00756F68" w:rsidRDefault="00897912" w:rsidP="00A40857">
            <w:pPr>
              <w:pStyle w:val="body"/>
              <w:spacing w:before="120"/>
              <w:rPr>
                <w:rFonts w:cstheme="minorHAnsi"/>
              </w:rPr>
            </w:pPr>
            <w:r w:rsidRPr="00756F68">
              <w:rPr>
                <w:rFonts w:cstheme="minorHAnsi"/>
              </w:rPr>
              <w:t>Depositor A and Depositor B (natural person)</w:t>
            </w:r>
          </w:p>
        </w:tc>
        <w:tc>
          <w:tcPr>
            <w:tcW w:w="2131" w:type="dxa"/>
            <w:vMerge w:val="restart"/>
          </w:tcPr>
          <w:p w14:paraId="4E2DF1B7" w14:textId="127C9B3B" w:rsidR="00897912" w:rsidRPr="00756F68" w:rsidRDefault="00897912" w:rsidP="00A40857">
            <w:pPr>
              <w:pStyle w:val="body"/>
              <w:spacing w:before="120"/>
              <w:rPr>
                <w:rFonts w:cstheme="minorHAnsi"/>
              </w:rPr>
            </w:pPr>
            <w:r w:rsidRPr="00756F68">
              <w:rPr>
                <w:rFonts w:cstheme="minorHAnsi"/>
              </w:rPr>
              <w:t xml:space="preserve">Joint account balance: EUR </w:t>
            </w:r>
            <w:r w:rsidR="00B43CB0" w:rsidRPr="00756F68">
              <w:rPr>
                <w:rFonts w:cstheme="minorHAnsi"/>
              </w:rPr>
              <w:t>80 000</w:t>
            </w:r>
          </w:p>
        </w:tc>
        <w:tc>
          <w:tcPr>
            <w:tcW w:w="4815" w:type="dxa"/>
            <w:vMerge/>
          </w:tcPr>
          <w:p w14:paraId="539EE06E" w14:textId="77777777" w:rsidR="00897912" w:rsidRPr="00756F68" w:rsidRDefault="00897912" w:rsidP="00A40857">
            <w:pPr>
              <w:pStyle w:val="body"/>
              <w:spacing w:before="120"/>
              <w:rPr>
                <w:rFonts w:cstheme="minorHAnsi"/>
              </w:rPr>
            </w:pPr>
          </w:p>
        </w:tc>
      </w:tr>
      <w:tr w:rsidR="00897912" w:rsidRPr="00756F68" w14:paraId="5C398C8B" w14:textId="77777777" w:rsidTr="008806B0">
        <w:trPr>
          <w:trHeight w:val="860"/>
        </w:trPr>
        <w:tc>
          <w:tcPr>
            <w:tcW w:w="1838" w:type="dxa"/>
            <w:vMerge/>
          </w:tcPr>
          <w:p w14:paraId="65DC651F" w14:textId="77777777" w:rsidR="00897912" w:rsidRPr="00756F68" w:rsidRDefault="00897912" w:rsidP="00A40857">
            <w:pPr>
              <w:pStyle w:val="body"/>
              <w:spacing w:before="120"/>
              <w:rPr>
                <w:rFonts w:cstheme="minorHAnsi"/>
              </w:rPr>
            </w:pPr>
          </w:p>
        </w:tc>
        <w:tc>
          <w:tcPr>
            <w:tcW w:w="2131" w:type="dxa"/>
            <w:vMerge/>
          </w:tcPr>
          <w:p w14:paraId="53203FAF" w14:textId="77777777" w:rsidR="00897912" w:rsidRPr="00756F68" w:rsidRDefault="00897912" w:rsidP="00A40857">
            <w:pPr>
              <w:pStyle w:val="body"/>
              <w:spacing w:before="120"/>
              <w:rPr>
                <w:rFonts w:cstheme="minorHAnsi"/>
              </w:rPr>
            </w:pPr>
          </w:p>
        </w:tc>
        <w:tc>
          <w:tcPr>
            <w:tcW w:w="4815" w:type="dxa"/>
            <w:vMerge w:val="restart"/>
          </w:tcPr>
          <w:p w14:paraId="17380C38" w14:textId="34B28BF9" w:rsidR="00897912" w:rsidRPr="00756F68" w:rsidRDefault="00897912" w:rsidP="00A40857">
            <w:pPr>
              <w:pStyle w:val="body"/>
              <w:spacing w:before="120"/>
              <w:rPr>
                <w:rFonts w:cstheme="minorHAnsi"/>
              </w:rPr>
            </w:pPr>
            <w:r w:rsidRPr="00756F68">
              <w:rPr>
                <w:rFonts w:cstheme="minorHAnsi"/>
              </w:rPr>
              <w:t xml:space="preserve">EUR </w:t>
            </w:r>
            <w:r w:rsidR="00B43CB0" w:rsidRPr="00756F68">
              <w:rPr>
                <w:rFonts w:cstheme="minorHAnsi"/>
              </w:rPr>
              <w:t>6</w:t>
            </w:r>
            <w:r w:rsidRPr="00756F68">
              <w:rPr>
                <w:rFonts w:cstheme="minorHAnsi"/>
              </w:rPr>
              <w:t xml:space="preserve">2 000 = 22 000 (individual accounts) + </w:t>
            </w:r>
            <w:r w:rsidR="00B43CB0" w:rsidRPr="00756F68">
              <w:rPr>
                <w:rFonts w:cstheme="minorHAnsi"/>
              </w:rPr>
              <w:t>40</w:t>
            </w:r>
            <w:r w:rsidRPr="00756F68">
              <w:rPr>
                <w:rFonts w:cstheme="minorHAnsi"/>
              </w:rPr>
              <w:t xml:space="preserve"> 000 (50% joint account) to be reported under row </w:t>
            </w:r>
            <w:r w:rsidR="00B43CB0" w:rsidRPr="00756F68">
              <w:rPr>
                <w:rFonts w:cstheme="minorHAnsi"/>
              </w:rPr>
              <w:t>9</w:t>
            </w:r>
            <w:r w:rsidRPr="00756F68">
              <w:rPr>
                <w:rFonts w:cstheme="minorHAnsi"/>
              </w:rPr>
              <w:t>.</w:t>
            </w:r>
          </w:p>
        </w:tc>
      </w:tr>
      <w:tr w:rsidR="00897912" w:rsidRPr="00756F68" w14:paraId="276AFAEA" w14:textId="77777777" w:rsidTr="008806B0">
        <w:tc>
          <w:tcPr>
            <w:tcW w:w="1838" w:type="dxa"/>
          </w:tcPr>
          <w:p w14:paraId="26D1A649" w14:textId="77777777" w:rsidR="00897912" w:rsidRPr="00756F68" w:rsidRDefault="00897912" w:rsidP="00A40857">
            <w:pPr>
              <w:pStyle w:val="body"/>
              <w:spacing w:before="120"/>
              <w:rPr>
                <w:rFonts w:cstheme="minorHAnsi"/>
              </w:rPr>
            </w:pPr>
            <w:r w:rsidRPr="00756F68">
              <w:rPr>
                <w:rFonts w:cstheme="minorHAnsi"/>
              </w:rPr>
              <w:t>Depositor B (natural person)</w:t>
            </w:r>
          </w:p>
        </w:tc>
        <w:tc>
          <w:tcPr>
            <w:tcW w:w="2131" w:type="dxa"/>
          </w:tcPr>
          <w:p w14:paraId="53E506AD" w14:textId="1BCF06B0" w:rsidR="00897912" w:rsidRPr="00756F68" w:rsidRDefault="00897912" w:rsidP="00A40857">
            <w:pPr>
              <w:pStyle w:val="body"/>
              <w:spacing w:before="120"/>
              <w:rPr>
                <w:rFonts w:cstheme="minorHAnsi"/>
              </w:rPr>
            </w:pPr>
            <w:r w:rsidRPr="00756F68">
              <w:rPr>
                <w:rFonts w:cstheme="minorHAnsi"/>
              </w:rPr>
              <w:t>account 1 balance: EUR 12 000</w:t>
            </w:r>
          </w:p>
        </w:tc>
        <w:tc>
          <w:tcPr>
            <w:tcW w:w="4815" w:type="dxa"/>
            <w:vMerge/>
          </w:tcPr>
          <w:p w14:paraId="143DF19E" w14:textId="77777777" w:rsidR="00897912" w:rsidRPr="00756F68" w:rsidRDefault="00897912" w:rsidP="00A40857">
            <w:pPr>
              <w:pStyle w:val="body"/>
              <w:spacing w:before="120"/>
              <w:rPr>
                <w:rFonts w:cstheme="minorHAnsi"/>
              </w:rPr>
            </w:pPr>
          </w:p>
        </w:tc>
      </w:tr>
      <w:tr w:rsidR="00897912" w:rsidRPr="00756F68" w14:paraId="58091B79" w14:textId="77777777" w:rsidTr="008806B0">
        <w:tc>
          <w:tcPr>
            <w:tcW w:w="1838" w:type="dxa"/>
          </w:tcPr>
          <w:p w14:paraId="25CC272D" w14:textId="77777777" w:rsidR="00897912" w:rsidRPr="00756F68" w:rsidRDefault="00897912" w:rsidP="00A40857">
            <w:pPr>
              <w:pStyle w:val="body"/>
              <w:spacing w:before="120"/>
              <w:rPr>
                <w:rFonts w:cstheme="minorHAnsi"/>
              </w:rPr>
            </w:pPr>
            <w:r w:rsidRPr="00756F68">
              <w:rPr>
                <w:rFonts w:cstheme="minorHAnsi"/>
              </w:rPr>
              <w:t>Depositor C (natural person)</w:t>
            </w:r>
          </w:p>
        </w:tc>
        <w:tc>
          <w:tcPr>
            <w:tcW w:w="2131" w:type="dxa"/>
          </w:tcPr>
          <w:p w14:paraId="2407BDDF" w14:textId="24F41303" w:rsidR="00897912" w:rsidRPr="00756F68" w:rsidRDefault="00897912" w:rsidP="00A40857">
            <w:pPr>
              <w:pStyle w:val="body"/>
              <w:spacing w:before="120"/>
              <w:rPr>
                <w:rFonts w:cstheme="minorHAnsi"/>
              </w:rPr>
            </w:pPr>
            <w:r w:rsidRPr="00756F68">
              <w:rPr>
                <w:rFonts w:cstheme="minorHAnsi"/>
              </w:rPr>
              <w:t xml:space="preserve">account 1 balance: EUR </w:t>
            </w:r>
            <w:r w:rsidR="00B43CB0" w:rsidRPr="00756F68">
              <w:rPr>
                <w:rFonts w:cstheme="minorHAnsi"/>
              </w:rPr>
              <w:t>40</w:t>
            </w:r>
            <w:r w:rsidRPr="00756F68">
              <w:rPr>
                <w:rFonts w:cstheme="minorHAnsi"/>
              </w:rPr>
              <w:t xml:space="preserve"> 000</w:t>
            </w:r>
          </w:p>
        </w:tc>
        <w:tc>
          <w:tcPr>
            <w:tcW w:w="4815" w:type="dxa"/>
          </w:tcPr>
          <w:p w14:paraId="580BCECB" w14:textId="3963D4C4" w:rsidR="00897912" w:rsidRPr="00756F68" w:rsidRDefault="00897912" w:rsidP="00A40857">
            <w:pPr>
              <w:pStyle w:val="body"/>
              <w:spacing w:before="120"/>
              <w:rPr>
                <w:rFonts w:cstheme="minorHAnsi"/>
              </w:rPr>
            </w:pPr>
            <w:r w:rsidRPr="00756F68">
              <w:rPr>
                <w:rFonts w:cstheme="minorHAnsi"/>
              </w:rPr>
              <w:t xml:space="preserve">EUR </w:t>
            </w:r>
            <w:r w:rsidR="00B43CB0" w:rsidRPr="00756F68">
              <w:rPr>
                <w:rFonts w:cstheme="minorHAnsi"/>
              </w:rPr>
              <w:t>40</w:t>
            </w:r>
            <w:r w:rsidRPr="00756F68">
              <w:rPr>
                <w:rFonts w:cstheme="minorHAnsi"/>
              </w:rPr>
              <w:t xml:space="preserve"> 000 to be reported under row </w:t>
            </w:r>
            <w:r w:rsidR="00B43CB0" w:rsidRPr="00756F68">
              <w:rPr>
                <w:rFonts w:cstheme="minorHAnsi"/>
              </w:rPr>
              <w:t>8</w:t>
            </w:r>
            <w:r w:rsidRPr="00756F68">
              <w:rPr>
                <w:rFonts w:cstheme="minorHAnsi"/>
              </w:rPr>
              <w:t>.</w:t>
            </w:r>
          </w:p>
        </w:tc>
      </w:tr>
      <w:tr w:rsidR="00897912" w:rsidRPr="00756F68" w14:paraId="7A84C181" w14:textId="77777777" w:rsidTr="008806B0">
        <w:tc>
          <w:tcPr>
            <w:tcW w:w="1838" w:type="dxa"/>
          </w:tcPr>
          <w:p w14:paraId="625D40B7" w14:textId="77777777" w:rsidR="00897912" w:rsidRPr="00756F68" w:rsidRDefault="00897912" w:rsidP="00A40857">
            <w:pPr>
              <w:pStyle w:val="body"/>
              <w:spacing w:before="120"/>
              <w:rPr>
                <w:rFonts w:cstheme="minorHAnsi"/>
              </w:rPr>
            </w:pPr>
            <w:r w:rsidRPr="00756F68">
              <w:rPr>
                <w:rFonts w:cstheme="minorHAnsi"/>
              </w:rPr>
              <w:t>Depositor C (natural person)</w:t>
            </w:r>
          </w:p>
        </w:tc>
        <w:tc>
          <w:tcPr>
            <w:tcW w:w="2131" w:type="dxa"/>
          </w:tcPr>
          <w:p w14:paraId="2E88A86A" w14:textId="77777777" w:rsidR="00897912" w:rsidRPr="00756F68" w:rsidRDefault="00897912" w:rsidP="00A40857">
            <w:pPr>
              <w:pStyle w:val="body"/>
              <w:spacing w:before="120"/>
              <w:rPr>
                <w:rFonts w:cstheme="minorHAnsi"/>
              </w:rPr>
            </w:pPr>
            <w:r w:rsidRPr="00756F68">
              <w:rPr>
                <w:rFonts w:cstheme="minorHAnsi"/>
              </w:rPr>
              <w:t>Term deposit: EUR 20 000</w:t>
            </w:r>
          </w:p>
        </w:tc>
        <w:tc>
          <w:tcPr>
            <w:tcW w:w="4815" w:type="dxa"/>
          </w:tcPr>
          <w:p w14:paraId="4BB1AE9E" w14:textId="10352118" w:rsidR="00897912" w:rsidRPr="00756F68" w:rsidRDefault="00897912" w:rsidP="00A40857">
            <w:pPr>
              <w:pStyle w:val="body"/>
              <w:spacing w:before="120"/>
              <w:rPr>
                <w:rFonts w:cstheme="minorHAnsi"/>
              </w:rPr>
            </w:pPr>
            <w:r w:rsidRPr="00756F68">
              <w:rPr>
                <w:rFonts w:cstheme="minorHAnsi"/>
              </w:rPr>
              <w:t xml:space="preserve">Term deposits shall not be reported in this </w:t>
            </w:r>
            <w:r w:rsidR="00B43CB0" w:rsidRPr="00756F68">
              <w:rPr>
                <w:rFonts w:cstheme="minorHAnsi"/>
              </w:rPr>
              <w:t>template</w:t>
            </w:r>
            <w:r w:rsidRPr="00756F68">
              <w:rPr>
                <w:rFonts w:cstheme="minorHAnsi"/>
              </w:rPr>
              <w:t>.</w:t>
            </w:r>
          </w:p>
        </w:tc>
      </w:tr>
      <w:tr w:rsidR="00897912" w:rsidRPr="00756F68" w14:paraId="750CB692" w14:textId="77777777" w:rsidTr="008806B0">
        <w:tc>
          <w:tcPr>
            <w:tcW w:w="1838" w:type="dxa"/>
          </w:tcPr>
          <w:p w14:paraId="52007776" w14:textId="77777777" w:rsidR="00897912" w:rsidRPr="00756F68" w:rsidRDefault="00897912" w:rsidP="00A40857">
            <w:pPr>
              <w:pStyle w:val="body"/>
              <w:spacing w:before="120"/>
              <w:rPr>
                <w:rFonts w:cstheme="minorHAnsi"/>
              </w:rPr>
            </w:pPr>
            <w:r w:rsidRPr="00756F68">
              <w:rPr>
                <w:rFonts w:cstheme="minorHAnsi"/>
              </w:rPr>
              <w:t>Depositor D (SME)</w:t>
            </w:r>
          </w:p>
        </w:tc>
        <w:tc>
          <w:tcPr>
            <w:tcW w:w="2131" w:type="dxa"/>
          </w:tcPr>
          <w:p w14:paraId="76F3BE9C" w14:textId="262ADF3C" w:rsidR="00897912" w:rsidRPr="00756F68" w:rsidRDefault="00897912" w:rsidP="00A40857">
            <w:pPr>
              <w:pStyle w:val="body"/>
              <w:spacing w:before="120"/>
              <w:rPr>
                <w:rFonts w:cstheme="minorHAnsi"/>
              </w:rPr>
            </w:pPr>
            <w:r w:rsidRPr="00756F68">
              <w:rPr>
                <w:rFonts w:cstheme="minorHAnsi"/>
              </w:rPr>
              <w:t>account 1 balance: EUR 70 000</w:t>
            </w:r>
          </w:p>
        </w:tc>
        <w:tc>
          <w:tcPr>
            <w:tcW w:w="4815" w:type="dxa"/>
          </w:tcPr>
          <w:p w14:paraId="7FE45137" w14:textId="1D3FBF39" w:rsidR="00897912" w:rsidRPr="00756F68" w:rsidRDefault="00897912" w:rsidP="00A40857">
            <w:pPr>
              <w:pStyle w:val="body"/>
              <w:spacing w:before="120"/>
              <w:rPr>
                <w:rFonts w:cstheme="minorHAnsi"/>
              </w:rPr>
            </w:pPr>
            <w:r w:rsidRPr="00756F68">
              <w:rPr>
                <w:rFonts w:cstheme="minorHAnsi"/>
              </w:rPr>
              <w:t>EUR 70 000 to be reported under row 1</w:t>
            </w:r>
            <w:r w:rsidR="00B43CB0" w:rsidRPr="00756F68">
              <w:rPr>
                <w:rFonts w:cstheme="minorHAnsi"/>
              </w:rPr>
              <w:t>1</w:t>
            </w:r>
            <w:r w:rsidRPr="00756F68">
              <w:rPr>
                <w:rFonts w:cstheme="minorHAnsi"/>
              </w:rPr>
              <w:t>.</w:t>
            </w:r>
          </w:p>
        </w:tc>
      </w:tr>
      <w:tr w:rsidR="00897912" w:rsidRPr="00756F68" w14:paraId="0EFE9341" w14:textId="77777777" w:rsidTr="008806B0">
        <w:tc>
          <w:tcPr>
            <w:tcW w:w="1838" w:type="dxa"/>
          </w:tcPr>
          <w:p w14:paraId="03C4E82B" w14:textId="77777777" w:rsidR="00897912" w:rsidRPr="00756F68" w:rsidRDefault="00897912" w:rsidP="00A40857">
            <w:pPr>
              <w:pStyle w:val="body"/>
              <w:spacing w:before="120"/>
              <w:rPr>
                <w:rFonts w:cstheme="minorHAnsi"/>
                <w:b/>
                <w:bCs/>
              </w:rPr>
            </w:pPr>
            <w:r w:rsidRPr="00756F68">
              <w:rPr>
                <w:rFonts w:cstheme="minorHAnsi"/>
                <w:b/>
                <w:bCs/>
              </w:rPr>
              <w:t>Total</w:t>
            </w:r>
          </w:p>
        </w:tc>
        <w:tc>
          <w:tcPr>
            <w:tcW w:w="2131" w:type="dxa"/>
          </w:tcPr>
          <w:p w14:paraId="340B671B" w14:textId="77777777" w:rsidR="00897912" w:rsidRPr="00756F68" w:rsidRDefault="00897912" w:rsidP="00A40857">
            <w:pPr>
              <w:pStyle w:val="body"/>
              <w:spacing w:before="120"/>
              <w:rPr>
                <w:rFonts w:cstheme="minorHAnsi"/>
                <w:b/>
                <w:bCs/>
              </w:rPr>
            </w:pPr>
            <w:r w:rsidRPr="00756F68">
              <w:rPr>
                <w:rFonts w:cstheme="minorHAnsi"/>
                <w:b/>
                <w:bCs/>
              </w:rPr>
              <w:t>EUR 192 000</w:t>
            </w:r>
          </w:p>
        </w:tc>
        <w:tc>
          <w:tcPr>
            <w:tcW w:w="4815" w:type="dxa"/>
          </w:tcPr>
          <w:p w14:paraId="347F341A" w14:textId="77777777" w:rsidR="00897912" w:rsidRPr="00756F68" w:rsidRDefault="00897912" w:rsidP="00A40857">
            <w:pPr>
              <w:pStyle w:val="body"/>
              <w:spacing w:before="120"/>
              <w:rPr>
                <w:rFonts w:cstheme="minorHAnsi"/>
                <w:b/>
                <w:bCs/>
              </w:rPr>
            </w:pPr>
            <w:r w:rsidRPr="00756F68">
              <w:rPr>
                <w:rFonts w:cstheme="minorHAnsi"/>
                <w:b/>
                <w:bCs/>
              </w:rPr>
              <w:t>EUR 192 000</w:t>
            </w:r>
          </w:p>
        </w:tc>
      </w:tr>
    </w:tbl>
    <w:p w14:paraId="3A08A03C" w14:textId="527599FE" w:rsidR="00897912" w:rsidRPr="00756F68" w:rsidRDefault="00897912" w:rsidP="00A40857">
      <w:pPr>
        <w:pStyle w:val="numberedparagraph"/>
        <w:numPr>
          <w:ilvl w:val="0"/>
          <w:numId w:val="0"/>
        </w:numPr>
        <w:ind w:left="284" w:hanging="284"/>
        <w:rPr>
          <w:rFonts w:cstheme="minorHAnsi"/>
          <w:sz w:val="20"/>
          <w:szCs w:val="20"/>
        </w:rPr>
      </w:pPr>
    </w:p>
    <w:p w14:paraId="51F639EB" w14:textId="77777777" w:rsidR="00931815" w:rsidRPr="00756F68" w:rsidRDefault="00931815" w:rsidP="00A40857">
      <w:pPr>
        <w:jc w:val="both"/>
        <w:rPr>
          <w:rFonts w:eastAsiaTheme="majorEastAsia" w:cstheme="minorHAnsi"/>
          <w:b/>
          <w:bCs/>
          <w:sz w:val="20"/>
          <w:szCs w:val="20"/>
        </w:rPr>
      </w:pPr>
      <w:r w:rsidRPr="00756F68">
        <w:rPr>
          <w:rFonts w:cstheme="minorHAnsi"/>
          <w:sz w:val="20"/>
          <w:szCs w:val="20"/>
        </w:rPr>
        <w:br w:type="page"/>
      </w:r>
    </w:p>
    <w:p w14:paraId="61FE2BA2" w14:textId="7AE0D477" w:rsidR="00EE1A61" w:rsidRPr="00A40857" w:rsidRDefault="00EE1A61" w:rsidP="00A40857">
      <w:pPr>
        <w:pStyle w:val="Heading2"/>
        <w:spacing w:before="120" w:line="360" w:lineRule="auto"/>
        <w:ind w:left="66"/>
        <w:jc w:val="both"/>
        <w:rPr>
          <w:rFonts w:asciiTheme="minorHAnsi" w:hAnsiTheme="minorHAnsi" w:cstheme="minorHAnsi"/>
          <w:color w:val="auto"/>
          <w:sz w:val="22"/>
          <w:szCs w:val="22"/>
        </w:rPr>
      </w:pPr>
      <w:bookmarkStart w:id="21" w:name="_Toc146804989"/>
      <w:r w:rsidRPr="00A40857">
        <w:rPr>
          <w:rFonts w:asciiTheme="minorHAnsi" w:hAnsiTheme="minorHAnsi" w:cstheme="minorHAnsi"/>
          <w:color w:val="auto"/>
          <w:sz w:val="22"/>
          <w:szCs w:val="22"/>
        </w:rPr>
        <w:lastRenderedPageBreak/>
        <w:t>Template “6_IRRBB_Additional”</w:t>
      </w:r>
      <w:r w:rsidR="00A670A0" w:rsidRPr="00A40857">
        <w:rPr>
          <w:rStyle w:val="FootnoteReference"/>
          <w:rFonts w:asciiTheme="minorHAnsi" w:hAnsiTheme="minorHAnsi" w:cstheme="minorHAnsi"/>
          <w:color w:val="auto"/>
          <w:sz w:val="22"/>
          <w:szCs w:val="22"/>
        </w:rPr>
        <w:footnoteReference w:id="18"/>
      </w:r>
      <w:bookmarkEnd w:id="21"/>
    </w:p>
    <w:p w14:paraId="6EDCD7E4"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This template is used for gathering additional information regarding IRRBB and more specifically, to provide an overview of:</w:t>
      </w:r>
    </w:p>
    <w:p w14:paraId="7793569A" w14:textId="501D1B74" w:rsidR="00EE1A61" w:rsidRPr="00A40857" w:rsidRDefault="00EE1A61" w:rsidP="00A40857">
      <w:pPr>
        <w:pStyle w:val="ListParagraph"/>
        <w:numPr>
          <w:ilvl w:val="1"/>
          <w:numId w:val="6"/>
        </w:numPr>
        <w:spacing w:after="0" w:line="360" w:lineRule="auto"/>
        <w:ind w:left="786"/>
        <w:contextualSpacing w:val="0"/>
        <w:jc w:val="both"/>
        <w:rPr>
          <w:rFonts w:cstheme="minorHAnsi"/>
        </w:rPr>
      </w:pPr>
      <w:r w:rsidRPr="00A40857">
        <w:rPr>
          <w:rFonts w:cstheme="minorHAnsi"/>
        </w:rPr>
        <w:t xml:space="preserve">Economic value of equity (calculation based on internal models applying the principles laid down in Article 4 of the EBA/RTS/2022/10) under baseline scenario and the specified size of interest rate shocks – data points 1 and </w:t>
      </w:r>
      <w:r w:rsidR="00986BD0" w:rsidRPr="00A40857">
        <w:rPr>
          <w:rFonts w:cstheme="minorHAnsi"/>
        </w:rPr>
        <w:t>2</w:t>
      </w:r>
      <w:r w:rsidRPr="00A40857">
        <w:rPr>
          <w:rFonts w:cstheme="minorHAnsi"/>
        </w:rPr>
        <w:t>-</w:t>
      </w:r>
      <w:r w:rsidR="00986BD0" w:rsidRPr="00A40857">
        <w:rPr>
          <w:rFonts w:cstheme="minorHAnsi"/>
        </w:rPr>
        <w:t>4</w:t>
      </w:r>
      <w:r w:rsidRPr="00A40857">
        <w:rPr>
          <w:rFonts w:cstheme="minorHAnsi"/>
        </w:rPr>
        <w:t>;</w:t>
      </w:r>
    </w:p>
    <w:p w14:paraId="6A6E536B" w14:textId="5AEDD99B" w:rsidR="00EE1A61" w:rsidRPr="00A40857" w:rsidRDefault="00EE1A61" w:rsidP="00A40857">
      <w:pPr>
        <w:pStyle w:val="ListParagraph"/>
        <w:numPr>
          <w:ilvl w:val="2"/>
          <w:numId w:val="6"/>
        </w:numPr>
        <w:spacing w:after="0" w:line="360" w:lineRule="auto"/>
        <w:ind w:left="764" w:hanging="317"/>
        <w:contextualSpacing w:val="0"/>
        <w:jc w:val="both"/>
        <w:rPr>
          <w:rFonts w:cstheme="minorHAnsi"/>
        </w:rPr>
      </w:pPr>
      <w:r w:rsidRPr="00A40857">
        <w:rPr>
          <w:rFonts w:cstheme="minorHAnsi"/>
        </w:rPr>
        <w:t>Forecasted net interest income (according to Article 5 of EBA/RTS/2022/10) – data points 1</w:t>
      </w:r>
      <w:r w:rsidR="00986BD0" w:rsidRPr="00A40857">
        <w:rPr>
          <w:rFonts w:cstheme="minorHAnsi"/>
        </w:rPr>
        <w:t>2</w:t>
      </w:r>
      <w:r w:rsidRPr="00A40857">
        <w:rPr>
          <w:rFonts w:cstheme="minorHAnsi"/>
        </w:rPr>
        <w:t>-1</w:t>
      </w:r>
      <w:r w:rsidR="00986BD0" w:rsidRPr="00A40857">
        <w:rPr>
          <w:rFonts w:cstheme="minorHAnsi"/>
        </w:rPr>
        <w:t>5</w:t>
      </w:r>
      <w:r w:rsidRPr="00A40857">
        <w:rPr>
          <w:rFonts w:cstheme="minorHAnsi"/>
        </w:rPr>
        <w:t>;</w:t>
      </w:r>
    </w:p>
    <w:p w14:paraId="25832B48" w14:textId="2859400B" w:rsidR="00EE1A61" w:rsidRPr="00A40857" w:rsidRDefault="00EE1A61" w:rsidP="00A40857">
      <w:pPr>
        <w:pStyle w:val="ListParagraph"/>
        <w:numPr>
          <w:ilvl w:val="2"/>
          <w:numId w:val="6"/>
        </w:numPr>
        <w:spacing w:after="0" w:line="360" w:lineRule="auto"/>
        <w:ind w:left="764" w:hanging="317"/>
        <w:contextualSpacing w:val="0"/>
        <w:jc w:val="both"/>
        <w:rPr>
          <w:rFonts w:cstheme="minorHAnsi"/>
        </w:rPr>
      </w:pPr>
      <w:r w:rsidRPr="00A40857">
        <w:rPr>
          <w:rFonts w:cstheme="minorHAnsi"/>
        </w:rPr>
        <w:t>Forecasted earnings for a period of 12 months (according to own internal models) – data points 1</w:t>
      </w:r>
      <w:r w:rsidR="00986BD0" w:rsidRPr="00A40857">
        <w:rPr>
          <w:rFonts w:cstheme="minorHAnsi"/>
        </w:rPr>
        <w:t>6</w:t>
      </w:r>
      <w:r w:rsidRPr="00A40857">
        <w:rPr>
          <w:rFonts w:cstheme="minorHAnsi"/>
        </w:rPr>
        <w:t>-1</w:t>
      </w:r>
      <w:r w:rsidR="00986BD0" w:rsidRPr="00A40857">
        <w:rPr>
          <w:rFonts w:cstheme="minorHAnsi"/>
        </w:rPr>
        <w:t>8</w:t>
      </w:r>
      <w:r w:rsidRPr="00A40857">
        <w:rPr>
          <w:rFonts w:cstheme="minorHAnsi"/>
        </w:rPr>
        <w:t>.</w:t>
      </w:r>
    </w:p>
    <w:p w14:paraId="342022DA" w14:textId="733DB5D0" w:rsidR="00EE1A61" w:rsidRPr="00A40857" w:rsidRDefault="00EE1A61" w:rsidP="00A40857">
      <w:pPr>
        <w:pStyle w:val="ListParagraph"/>
        <w:numPr>
          <w:ilvl w:val="0"/>
          <w:numId w:val="4"/>
        </w:numPr>
        <w:spacing w:after="0" w:line="360" w:lineRule="auto"/>
        <w:ind w:left="786"/>
        <w:contextualSpacing w:val="0"/>
        <w:jc w:val="both"/>
        <w:rPr>
          <w:rFonts w:cstheme="minorHAnsi"/>
        </w:rPr>
      </w:pPr>
      <w:r w:rsidRPr="00A40857">
        <w:rPr>
          <w:rFonts w:cstheme="minorHAnsi"/>
        </w:rPr>
        <w:t xml:space="preserve">The impact of the six scenarios according to Article 1 of the EBA/RTS/2022/10 and Article 98(5), point (a) of Directive 2013/36/EU on economic value of equity (calculation based on internal models applying the principles laid down Article 4 of the EBA/RTS/2022/10) – data points </w:t>
      </w:r>
      <w:r w:rsidR="00927291" w:rsidRPr="00A40857">
        <w:rPr>
          <w:rFonts w:cstheme="minorHAnsi"/>
        </w:rPr>
        <w:t>6</w:t>
      </w:r>
      <w:r w:rsidRPr="00A40857">
        <w:rPr>
          <w:rFonts w:cstheme="minorHAnsi"/>
        </w:rPr>
        <w:t>-1</w:t>
      </w:r>
      <w:r w:rsidR="00927291" w:rsidRPr="00A40857">
        <w:rPr>
          <w:rFonts w:cstheme="minorHAnsi"/>
        </w:rPr>
        <w:t>1</w:t>
      </w:r>
      <w:r w:rsidRPr="00A40857">
        <w:rPr>
          <w:rFonts w:cstheme="minorHAnsi"/>
        </w:rPr>
        <w:t>.</w:t>
      </w:r>
    </w:p>
    <w:p w14:paraId="4FE5D9CA" w14:textId="7934D448"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 xml:space="preserve">The size of the assets and liabilities in the banking book of the institution </w:t>
      </w:r>
      <w:r w:rsidR="00927291" w:rsidRPr="00A40857">
        <w:rPr>
          <w:rFonts w:cstheme="minorHAnsi"/>
        </w:rPr>
        <w:t>–</w:t>
      </w:r>
      <w:r w:rsidRPr="00A40857">
        <w:rPr>
          <w:rFonts w:cstheme="minorHAnsi"/>
        </w:rPr>
        <w:t xml:space="preserve"> data points </w:t>
      </w:r>
      <w:r w:rsidR="00927291" w:rsidRPr="00A40857">
        <w:rPr>
          <w:rFonts w:cstheme="minorHAnsi"/>
        </w:rPr>
        <w:t>19-20.</w:t>
      </w:r>
    </w:p>
    <w:p w14:paraId="3FE0F6FF" w14:textId="49D12014"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 xml:space="preserve">The proportion of assets and liabilities with embedded optionality in the banking book – (according to own internal models) </w:t>
      </w:r>
      <w:r w:rsidR="00927291" w:rsidRPr="00A40857">
        <w:rPr>
          <w:rFonts w:cstheme="minorHAnsi"/>
        </w:rPr>
        <w:t xml:space="preserve">– </w:t>
      </w:r>
      <w:r w:rsidRPr="00A40857">
        <w:rPr>
          <w:rFonts w:cstheme="minorHAnsi"/>
        </w:rPr>
        <w:t>data points 2</w:t>
      </w:r>
      <w:r w:rsidR="00927291" w:rsidRPr="00A40857">
        <w:rPr>
          <w:rFonts w:cstheme="minorHAnsi"/>
        </w:rPr>
        <w:t>1</w:t>
      </w:r>
      <w:r w:rsidRPr="00A40857">
        <w:rPr>
          <w:rFonts w:cstheme="minorHAnsi"/>
        </w:rPr>
        <w:t>-2</w:t>
      </w:r>
      <w:r w:rsidR="00927291" w:rsidRPr="00A40857">
        <w:rPr>
          <w:rFonts w:cstheme="minorHAnsi"/>
        </w:rPr>
        <w:t>4</w:t>
      </w:r>
      <w:r w:rsidRPr="00A40857">
        <w:rPr>
          <w:rFonts w:cstheme="minorHAnsi"/>
        </w:rPr>
        <w:t>.</w:t>
      </w:r>
    </w:p>
    <w:p w14:paraId="34705B98"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Importantly, all items in this template should be denominated in EUR, by using the relevant FX rate as of the reference date (institutions should use the EUR exchange rate to be used is the euro foreign exchange reference rates available in the ECB website as of the reference date if available, or if not available, by using available market information on FX rates as of reference date).</w:t>
      </w:r>
    </w:p>
    <w:p w14:paraId="5576B095"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According to Article 4 of the EBA/RTS/2022/10, institutions should report to the competent authority the change in economic value of equity (∆ EVE) that results from calculating the outcome of the standard shock, as referred to in Article 98(5), point (a) of Directive 2013/36/EU (and in Article 1 of the EBA/RTS/2022/10). When calculating the outcome of the standard shock, institutions apply some assumptions. Some of these assumptions should be explained – questions 1 to 8.</w:t>
      </w:r>
    </w:p>
    <w:p w14:paraId="45612037"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Please take into account the following instructions regarding the calculation of the data points included in the template.</w:t>
      </w:r>
    </w:p>
    <w:p w14:paraId="3A1DC0E3" w14:textId="77777777" w:rsidR="00EE1A61" w:rsidRPr="00A40857" w:rsidRDefault="00EE1A61" w:rsidP="00A40857">
      <w:pPr>
        <w:pStyle w:val="ListParagraph"/>
        <w:spacing w:before="120" w:line="360" w:lineRule="auto"/>
        <w:ind w:left="426"/>
        <w:jc w:val="both"/>
        <w:rPr>
          <w:rFonts w:cstheme="minorHAnsi"/>
        </w:rPr>
      </w:pPr>
    </w:p>
    <w:p w14:paraId="227D9551" w14:textId="77777777" w:rsidR="00EE1A61" w:rsidRPr="00A40857" w:rsidRDefault="00EE1A61" w:rsidP="00A40857">
      <w:pPr>
        <w:pStyle w:val="ListParagraph"/>
        <w:spacing w:before="120" w:line="360" w:lineRule="auto"/>
        <w:ind w:left="426"/>
        <w:jc w:val="both"/>
        <w:rPr>
          <w:rFonts w:cstheme="minorHAnsi"/>
          <w:b/>
          <w:u w:val="single"/>
        </w:rPr>
      </w:pPr>
      <w:r w:rsidRPr="00A40857">
        <w:rPr>
          <w:rFonts w:cstheme="minorHAnsi"/>
          <w:b/>
          <w:u w:val="single"/>
        </w:rPr>
        <w:t>∆ Economic value of equity</w:t>
      </w:r>
    </w:p>
    <w:p w14:paraId="46D5F787" w14:textId="77777777" w:rsidR="00EE1A61" w:rsidRPr="00A40857" w:rsidRDefault="00EE1A61" w:rsidP="00A40857">
      <w:pPr>
        <w:spacing w:before="120" w:line="360" w:lineRule="auto"/>
        <w:jc w:val="both"/>
        <w:rPr>
          <w:rFonts w:cstheme="minorHAnsi"/>
          <w:b/>
        </w:rPr>
      </w:pPr>
      <w:r w:rsidRPr="00A40857">
        <w:rPr>
          <w:rFonts w:cstheme="minorHAnsi"/>
          <w:b/>
        </w:rPr>
        <w:lastRenderedPageBreak/>
        <w:t>Data point 1 – Level of EVE under baseline scenario</w:t>
      </w:r>
    </w:p>
    <w:p w14:paraId="1985CB3D" w14:textId="77777777" w:rsidR="00EE1A61" w:rsidRPr="00A40857" w:rsidRDefault="00EE1A61" w:rsidP="00A40857">
      <w:pPr>
        <w:spacing w:before="120" w:line="360" w:lineRule="auto"/>
        <w:jc w:val="both"/>
        <w:rPr>
          <w:rFonts w:cstheme="minorHAnsi"/>
        </w:rPr>
      </w:pPr>
      <w:r w:rsidRPr="00A40857">
        <w:rPr>
          <w:rFonts w:cstheme="minorHAnsi"/>
        </w:rPr>
        <w:t>This should reflect the level of the EVE under the baseline scenario, for each of the material currencies.</w:t>
      </w:r>
    </w:p>
    <w:p w14:paraId="3CD2AACB" w14:textId="77777777" w:rsidR="00EE1A61" w:rsidRPr="00A40857" w:rsidRDefault="00EE1A61" w:rsidP="00A40857">
      <w:pPr>
        <w:spacing w:before="120" w:line="360" w:lineRule="auto"/>
        <w:jc w:val="both"/>
        <w:rPr>
          <w:rFonts w:cstheme="minorHAnsi"/>
          <w:b/>
        </w:rPr>
      </w:pPr>
      <w:r w:rsidRPr="00A40857">
        <w:rPr>
          <w:rFonts w:cstheme="minorHAnsi"/>
          <w:b/>
        </w:rPr>
        <w:t>Data point 2-4 – Specified size of interest rate shocks, according to paragraph 92 of the EBA/GL/2022/14</w:t>
      </w:r>
    </w:p>
    <w:p w14:paraId="78EEFA18" w14:textId="494ED875" w:rsidR="00EE1A61" w:rsidRPr="00A40857" w:rsidRDefault="00EE1A61" w:rsidP="00F005F8">
      <w:pPr>
        <w:pStyle w:val="ListParagraph"/>
        <w:numPr>
          <w:ilvl w:val="0"/>
          <w:numId w:val="2"/>
        </w:numPr>
        <w:ind w:left="426"/>
        <w:jc w:val="both"/>
        <w:rPr>
          <w:rFonts w:cstheme="minorHAnsi"/>
        </w:rPr>
      </w:pPr>
      <w:r w:rsidRPr="00A40857">
        <w:rPr>
          <w:rFonts w:cstheme="minorHAnsi"/>
        </w:rPr>
        <w:t>If an institution has a material currency that does not have a pre-defined interest rate shock as per Annex I of the EBA/RTS/2022/10, it should fill in data points 4, 5 and 6 after using the methodology prescribed under Article 2 of EBA/RTS/2022/10, based on the outcome of the methodology used to calibrate the size of the interest rate shocks. The specified size of the interest rate shocks shall be entered in basis points (bps)</w:t>
      </w:r>
      <w:r w:rsidRPr="00A40857">
        <w:rPr>
          <w:rFonts w:cstheme="minorHAnsi"/>
          <w:vertAlign w:val="superscript"/>
        </w:rPr>
        <w:footnoteReference w:id="19"/>
      </w:r>
      <w:r w:rsidRPr="00A40857">
        <w:rPr>
          <w:rFonts w:cstheme="minorHAnsi"/>
        </w:rPr>
        <w:t>.</w:t>
      </w:r>
    </w:p>
    <w:p w14:paraId="00F8A66C" w14:textId="77777777" w:rsidR="00A40857" w:rsidRPr="00A40857" w:rsidRDefault="00EE1A61" w:rsidP="00A40857">
      <w:pPr>
        <w:spacing w:before="120" w:line="360" w:lineRule="auto"/>
        <w:jc w:val="both"/>
        <w:rPr>
          <w:rFonts w:cstheme="minorHAnsi"/>
          <w:b/>
        </w:rPr>
      </w:pPr>
      <w:r w:rsidRPr="00A40857">
        <w:rPr>
          <w:rFonts w:cstheme="minorHAnsi"/>
          <w:b/>
        </w:rPr>
        <w:t xml:space="preserve">Data point 5 – Outcome of the supervisory outlier test for EVE according to EBA/RTS/2022/10 </w:t>
      </w:r>
    </w:p>
    <w:p w14:paraId="02FD6E72" w14:textId="2339970D" w:rsidR="00EE1A61" w:rsidRPr="00A40857" w:rsidRDefault="00EE1A61" w:rsidP="00F005F8">
      <w:pPr>
        <w:pStyle w:val="ListParagraph"/>
        <w:numPr>
          <w:ilvl w:val="0"/>
          <w:numId w:val="2"/>
        </w:numPr>
        <w:ind w:left="426"/>
        <w:jc w:val="both"/>
        <w:rPr>
          <w:rFonts w:cstheme="minorHAnsi"/>
        </w:rPr>
      </w:pPr>
      <w:r w:rsidRPr="00A40857">
        <w:rPr>
          <w:rFonts w:cstheme="minorHAnsi"/>
        </w:rPr>
        <w:t>This should reflect the outcome of the supervisory outlier test as per EBA/RTS/2022/10. It is computed automatically, based on data points 8 to 13, filled in according to the instructions below.</w:t>
      </w:r>
    </w:p>
    <w:p w14:paraId="4F82CB7A" w14:textId="77777777" w:rsidR="00EE1A61" w:rsidRPr="00A40857" w:rsidRDefault="00EE1A61" w:rsidP="00A40857">
      <w:pPr>
        <w:spacing w:before="120" w:line="360" w:lineRule="auto"/>
        <w:jc w:val="both"/>
        <w:rPr>
          <w:rFonts w:cstheme="minorHAnsi"/>
          <w:b/>
        </w:rPr>
      </w:pPr>
      <w:r w:rsidRPr="00A40857">
        <w:rPr>
          <w:rFonts w:cstheme="minorHAnsi"/>
          <w:b/>
        </w:rPr>
        <w:t xml:space="preserve">Data point 6-11 – Change in the EVE of the banking book under six different interest rate scenarios, according to EBA/RTS/2022/10 </w:t>
      </w:r>
    </w:p>
    <w:p w14:paraId="67C4ECC6" w14:textId="77777777" w:rsidR="00EE1A61" w:rsidRPr="00A40857" w:rsidRDefault="00EE1A61" w:rsidP="00F005F8">
      <w:pPr>
        <w:pStyle w:val="ListParagraph"/>
        <w:numPr>
          <w:ilvl w:val="0"/>
          <w:numId w:val="2"/>
        </w:numPr>
        <w:spacing w:before="120" w:after="240"/>
        <w:ind w:left="432"/>
        <w:contextualSpacing w:val="0"/>
        <w:jc w:val="both"/>
        <w:rPr>
          <w:rFonts w:cstheme="minorHAnsi"/>
        </w:rPr>
      </w:pPr>
      <w:r w:rsidRPr="00A40857">
        <w:rPr>
          <w:rFonts w:cstheme="minorHAnsi"/>
        </w:rPr>
        <w:t>Institutions should report the total change (shock) in the EVE of the banking book under the six different scenarios following Article 1 of EBA/RTS/2022/10 for each material currency. The value reported in Column E is the aggregation of the impact of the shocks applied to all currency exposures in the banking book, following the rule of paragraph Article 4(l) of the EBA/RTS/2022/10. The value reported in Column J should already reflect the rule of Article 4(l) of the EBA/RTS/2022/10 for the subset of other material currencies.</w:t>
      </w:r>
    </w:p>
    <w:p w14:paraId="08BC5687" w14:textId="77777777" w:rsidR="00EE1A61" w:rsidRPr="00A40857" w:rsidRDefault="00EE1A61" w:rsidP="00F005F8">
      <w:pPr>
        <w:pStyle w:val="ListParagraph"/>
        <w:numPr>
          <w:ilvl w:val="0"/>
          <w:numId w:val="2"/>
        </w:numPr>
        <w:spacing w:before="120" w:after="240"/>
        <w:ind w:left="432"/>
        <w:contextualSpacing w:val="0"/>
        <w:jc w:val="both"/>
        <w:rPr>
          <w:rFonts w:cstheme="minorHAnsi"/>
        </w:rPr>
      </w:pPr>
      <w:r w:rsidRPr="00A40857">
        <w:rPr>
          <w:rFonts w:cstheme="minorHAnsi"/>
        </w:rPr>
        <w:t>Institutions are reminded that they should apply the set of principles described in Article 4 of the EBA/RTS/2022/10 in the calculation of the supervisory outlier test. In particular, the maturity-dependent post-shock interest rate floor should be applied for each currency as referred to in Article 4(k) of the EBA/RTS/20022/10.</w:t>
      </w:r>
    </w:p>
    <w:p w14:paraId="3C50306A" w14:textId="77777777" w:rsidR="00EE1A61" w:rsidRPr="00A40857" w:rsidRDefault="00EE1A61" w:rsidP="00F005F8">
      <w:pPr>
        <w:pStyle w:val="ListParagraph"/>
        <w:numPr>
          <w:ilvl w:val="0"/>
          <w:numId w:val="2"/>
        </w:numPr>
        <w:spacing w:before="120" w:after="240"/>
        <w:ind w:left="432"/>
        <w:contextualSpacing w:val="0"/>
        <w:jc w:val="both"/>
        <w:rPr>
          <w:rFonts w:cstheme="minorHAnsi"/>
        </w:rPr>
      </w:pPr>
      <w:r w:rsidRPr="00A40857">
        <w:rPr>
          <w:rFonts w:cstheme="minorHAnsi"/>
        </w:rPr>
        <w:t>The effects of the shock on automatic interest rate options, whether explicit or embedded, needs to be included in the calculation (as these options are interest-rate sensitive).</w:t>
      </w:r>
    </w:p>
    <w:p w14:paraId="6B5E3543" w14:textId="77777777" w:rsidR="00EE1A61" w:rsidRPr="00A40857" w:rsidRDefault="00EE1A61" w:rsidP="00A40857">
      <w:pPr>
        <w:pStyle w:val="ListParagraph"/>
        <w:spacing w:before="120" w:line="360" w:lineRule="auto"/>
        <w:ind w:left="426"/>
        <w:jc w:val="both"/>
        <w:rPr>
          <w:rFonts w:cstheme="minorHAnsi"/>
        </w:rPr>
      </w:pPr>
    </w:p>
    <w:p w14:paraId="182E349E" w14:textId="77777777" w:rsidR="00EE1A61" w:rsidRPr="00A40857" w:rsidRDefault="00EE1A61" w:rsidP="00A40857">
      <w:pPr>
        <w:pStyle w:val="ListParagraph"/>
        <w:spacing w:before="120" w:line="360" w:lineRule="auto"/>
        <w:ind w:left="426"/>
        <w:jc w:val="both"/>
        <w:rPr>
          <w:rFonts w:cstheme="minorHAnsi"/>
          <w:b/>
          <w:u w:val="single"/>
        </w:rPr>
      </w:pPr>
      <w:r w:rsidRPr="00A40857">
        <w:rPr>
          <w:rFonts w:cstheme="minorHAnsi"/>
          <w:b/>
          <w:u w:val="single"/>
        </w:rPr>
        <w:t>∆ Net Interest Income and Earnings</w:t>
      </w:r>
    </w:p>
    <w:p w14:paraId="3FA54CD1" w14:textId="77777777" w:rsidR="00EE1A61" w:rsidRPr="00A40857" w:rsidRDefault="00EE1A61" w:rsidP="00A40857">
      <w:pPr>
        <w:pStyle w:val="ListParagraph"/>
        <w:spacing w:before="120" w:after="240" w:line="360" w:lineRule="auto"/>
        <w:ind w:left="426"/>
        <w:contextualSpacing w:val="0"/>
        <w:jc w:val="both"/>
        <w:rPr>
          <w:rFonts w:cstheme="minorHAnsi"/>
          <w:b/>
          <w:u w:val="single"/>
        </w:rPr>
      </w:pPr>
    </w:p>
    <w:p w14:paraId="4380C957" w14:textId="77777777" w:rsidR="00EE1A61" w:rsidRPr="00A40857" w:rsidRDefault="00EE1A61" w:rsidP="00F005F8">
      <w:pPr>
        <w:pStyle w:val="ListParagraph"/>
        <w:numPr>
          <w:ilvl w:val="0"/>
          <w:numId w:val="2"/>
        </w:numPr>
        <w:spacing w:before="120" w:after="240" w:line="360" w:lineRule="auto"/>
        <w:ind w:left="432"/>
        <w:contextualSpacing w:val="0"/>
        <w:jc w:val="both"/>
        <w:rPr>
          <w:rFonts w:cstheme="minorHAnsi"/>
        </w:rPr>
      </w:pPr>
      <w:r w:rsidRPr="00A40857">
        <w:rPr>
          <w:rFonts w:cstheme="minorHAnsi"/>
        </w:rPr>
        <w:lastRenderedPageBreak/>
        <w:t>In line with paragraph 11 of the EBA/GL/2022/14, institutions should manage and mitigate risks arising from their IRRBB exposures that affect both their earnings and their economic value.</w:t>
      </w:r>
    </w:p>
    <w:p w14:paraId="3EB8D929" w14:textId="77777777" w:rsidR="00EE1A61" w:rsidRPr="00A40857" w:rsidRDefault="00EE1A61" w:rsidP="00F005F8">
      <w:pPr>
        <w:pStyle w:val="ListParagraph"/>
        <w:numPr>
          <w:ilvl w:val="0"/>
          <w:numId w:val="2"/>
        </w:numPr>
        <w:spacing w:before="120" w:after="240" w:line="360" w:lineRule="auto"/>
        <w:ind w:left="432"/>
        <w:contextualSpacing w:val="0"/>
        <w:jc w:val="both"/>
        <w:rPr>
          <w:rFonts w:cstheme="minorHAnsi"/>
        </w:rPr>
      </w:pPr>
      <w:r w:rsidRPr="00A40857">
        <w:rPr>
          <w:rFonts w:cstheme="minorHAnsi"/>
        </w:rPr>
        <w:t>According to the paragraph43 of the EBA/GL/2022/14, when “defining their risk appetites, institutions should take account of net interest income risks that may arise as a consequence of the accounting treatment of transactions in the non-trading book, The risk may not be limited to interest income and expenses: the effects of changes in interest rates on the market value of instruments that, depending on accounting treatment, are reflected either through the profit and loss account or directly in equity (via other comprehensive income), should be taken into account separately” Moreover, according to paragraph 14 of the EBA/GL/2022/14, “the net interest income upon which to calculate the impact of interest rate or credit spread movements should be determined by the interest income and expenses. For these purposes institutions should also consider market value changes of instruments — depending on accounting treatment (fair value/</w:t>
      </w:r>
      <w:proofErr w:type="spellStart"/>
      <w:r w:rsidRPr="00A40857">
        <w:rPr>
          <w:rFonts w:cstheme="minorHAnsi"/>
        </w:rPr>
        <w:t>nGAAP</w:t>
      </w:r>
      <w:proofErr w:type="spellEnd"/>
      <w:r w:rsidRPr="00A40857">
        <w:rPr>
          <w:rFonts w:cstheme="minorHAnsi"/>
        </w:rPr>
        <w:t>) — either shown in the profit and loss account or directly in equity (e.g., via other comprehensive income)”.</w:t>
      </w:r>
    </w:p>
    <w:p w14:paraId="546FC978" w14:textId="77777777" w:rsidR="00EE1A61" w:rsidRPr="00A40857" w:rsidRDefault="00EE1A61" w:rsidP="00F005F8">
      <w:pPr>
        <w:pStyle w:val="ListParagraph"/>
        <w:numPr>
          <w:ilvl w:val="0"/>
          <w:numId w:val="2"/>
        </w:numPr>
        <w:spacing w:before="120" w:after="240" w:line="360" w:lineRule="auto"/>
        <w:ind w:left="432"/>
        <w:contextualSpacing w:val="0"/>
        <w:jc w:val="both"/>
        <w:rPr>
          <w:rFonts w:cstheme="minorHAnsi"/>
        </w:rPr>
      </w:pPr>
      <w:r w:rsidRPr="00A40857">
        <w:rPr>
          <w:rFonts w:cstheme="minorHAnsi"/>
        </w:rPr>
        <w:t>Regarding the currency aggregation criteria, in line with Article 4(l) and Article 5 (b) 1 of EBA/RTS/2022/10, “institutions shall add together any negative and positive changes occurring in each FINAL DRAFT RTS ON SUPERVISORY OUTLIER TESTS 14 currency. Currencies other than the reporting currency shall be converted to the reporting currency at the ECB spot FX rate on the reference date. Positive changes shall be weighted by a factor of 50% or a factor of 80% in the case of Exchange Rate Mechanism - ERM II currencies with a formally agreed fluctuation band narrower than the standard band of +/- 15%. Weighted gains shall be recognised up to the greater of (</w:t>
      </w:r>
      <w:proofErr w:type="spellStart"/>
      <w:r w:rsidRPr="00A40857">
        <w:rPr>
          <w:rFonts w:cstheme="minorHAnsi"/>
        </w:rPr>
        <w:t>i</w:t>
      </w:r>
      <w:proofErr w:type="spellEnd"/>
      <w:r w:rsidRPr="00A40857">
        <w:rPr>
          <w:rFonts w:cstheme="minorHAnsi"/>
        </w:rPr>
        <w:t>) the absolute value of negative changes in EUR or ERMII currencies and (ii) the result of applying a factor of 50% to the positive changes of ERMII currencies or EUR, respectively”.</w:t>
      </w:r>
    </w:p>
    <w:p w14:paraId="5F90D6AF" w14:textId="77777777" w:rsidR="00EE1A61" w:rsidRPr="00A40857" w:rsidRDefault="00EE1A61" w:rsidP="00F005F8">
      <w:pPr>
        <w:pStyle w:val="ListParagraph"/>
        <w:numPr>
          <w:ilvl w:val="0"/>
          <w:numId w:val="2"/>
        </w:numPr>
        <w:spacing w:before="120" w:after="240" w:line="360" w:lineRule="auto"/>
        <w:ind w:left="432"/>
        <w:contextualSpacing w:val="0"/>
        <w:jc w:val="both"/>
        <w:rPr>
          <w:rFonts w:cstheme="minorHAnsi"/>
        </w:rPr>
      </w:pPr>
      <w:r w:rsidRPr="00A40857">
        <w:rPr>
          <w:rFonts w:cstheme="minorHAnsi"/>
        </w:rPr>
        <w:t>To compute the change in the forecasted net interest income (NII) and earnings metrics, institutions should use the parallel shock up and down scenarios set by Article 1(2) of EBA/RTS/2022/10.</w:t>
      </w:r>
    </w:p>
    <w:p w14:paraId="5288EC76" w14:textId="77777777" w:rsidR="00EE1A61" w:rsidRPr="00A40857" w:rsidRDefault="00EE1A61" w:rsidP="00F005F8">
      <w:pPr>
        <w:pStyle w:val="ListParagraph"/>
        <w:numPr>
          <w:ilvl w:val="0"/>
          <w:numId w:val="2"/>
        </w:numPr>
        <w:spacing w:before="120" w:after="240" w:line="360" w:lineRule="auto"/>
        <w:ind w:left="432"/>
        <w:contextualSpacing w:val="0"/>
        <w:jc w:val="both"/>
        <w:rPr>
          <w:rFonts w:cstheme="minorHAnsi"/>
        </w:rPr>
      </w:pPr>
      <w:r w:rsidRPr="00A40857">
        <w:rPr>
          <w:rFonts w:cstheme="minorHAnsi"/>
        </w:rPr>
        <w:t xml:space="preserve">Institutions should apply </w:t>
      </w:r>
      <w:proofErr w:type="gramStart"/>
      <w:r w:rsidRPr="00A40857">
        <w:rPr>
          <w:rFonts w:cstheme="minorHAnsi"/>
        </w:rPr>
        <w:t>as well the maturity-dependent post-shock interest rate floor</w:t>
      </w:r>
      <w:proofErr w:type="gramEnd"/>
      <w:r w:rsidRPr="00A40857">
        <w:rPr>
          <w:rFonts w:cstheme="minorHAnsi"/>
        </w:rPr>
        <w:t xml:space="preserve"> for each currency referred to in Article 4(k) and Article 5(b) of EBA/RTS/2022/10 for NII and other earnings metrics.</w:t>
      </w:r>
    </w:p>
    <w:p w14:paraId="69E4527E" w14:textId="77777777" w:rsidR="00EE1A61" w:rsidRPr="00A40857" w:rsidRDefault="00EE1A61" w:rsidP="00F005F8">
      <w:pPr>
        <w:pStyle w:val="ListParagraph"/>
        <w:numPr>
          <w:ilvl w:val="0"/>
          <w:numId w:val="2"/>
        </w:numPr>
        <w:spacing w:before="120" w:after="240" w:line="360" w:lineRule="auto"/>
        <w:ind w:left="432"/>
        <w:contextualSpacing w:val="0"/>
        <w:jc w:val="both"/>
        <w:rPr>
          <w:rFonts w:cstheme="minorHAnsi"/>
        </w:rPr>
      </w:pPr>
      <w:r w:rsidRPr="00A40857">
        <w:rPr>
          <w:rFonts w:cstheme="minorHAnsi"/>
        </w:rPr>
        <w:t>In principle, institutions should strive for the scope of instruments present in the ∆EVE IRRBB metrics to be applied consistently in the IRRBB NII/Earnings metrics, and in particular in relation with the principles set out in Article 4(b)(e) and Article 5(b) of EBA/RTS/2022/10.</w:t>
      </w:r>
    </w:p>
    <w:p w14:paraId="773D8DA0" w14:textId="77777777" w:rsidR="00EE1A61" w:rsidRPr="00A40857" w:rsidRDefault="00EE1A61" w:rsidP="00F005F8">
      <w:pPr>
        <w:pStyle w:val="ListParagraph"/>
        <w:numPr>
          <w:ilvl w:val="0"/>
          <w:numId w:val="2"/>
        </w:numPr>
        <w:spacing w:before="120" w:after="240" w:line="360" w:lineRule="auto"/>
        <w:ind w:left="432"/>
        <w:contextualSpacing w:val="0"/>
        <w:jc w:val="both"/>
        <w:rPr>
          <w:rFonts w:cstheme="minorHAnsi"/>
        </w:rPr>
      </w:pPr>
      <w:r w:rsidRPr="00A40857">
        <w:rPr>
          <w:rFonts w:cstheme="minorHAnsi"/>
        </w:rPr>
        <w:lastRenderedPageBreak/>
        <w:t>It is reminded that according to paragraph 82 of the EBA/GL/2022/14, when calculating earnings measures, institutions should include commercial margins.</w:t>
      </w:r>
    </w:p>
    <w:p w14:paraId="0F6F3BDF" w14:textId="77777777" w:rsidR="00EE1A61" w:rsidRPr="00A40857" w:rsidRDefault="00EE1A61" w:rsidP="00A40857">
      <w:pPr>
        <w:spacing w:before="120" w:after="240" w:line="360" w:lineRule="auto"/>
        <w:jc w:val="both"/>
        <w:rPr>
          <w:rFonts w:cstheme="minorHAnsi"/>
          <w:b/>
        </w:rPr>
      </w:pPr>
      <w:r w:rsidRPr="00A40857">
        <w:rPr>
          <w:rFonts w:cstheme="minorHAnsi"/>
          <w:b/>
        </w:rPr>
        <w:t>Data point 12 - Forecasted net interest income (NII) expected within 12 months under the current baseline interest rate scenario</w:t>
      </w:r>
    </w:p>
    <w:p w14:paraId="3958A085"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In the calculation of data point 12, institutions should forecast their NII per material currency for a timeframe of 12 months using the current baseline interest rate scenario, i.e., the interest rates used to calculate future cash flows in the baseline scenario are derived from forward rates, appropriate spreads or market expected rates for different instruments.</w:t>
      </w:r>
    </w:p>
    <w:p w14:paraId="1812E53C" w14:textId="77777777" w:rsidR="00EE1A61" w:rsidRPr="00A40857" w:rsidRDefault="00EE1A61" w:rsidP="00A40857">
      <w:pPr>
        <w:spacing w:before="120" w:after="240" w:line="360" w:lineRule="auto"/>
        <w:jc w:val="both"/>
        <w:rPr>
          <w:rFonts w:cstheme="minorHAnsi"/>
          <w:b/>
        </w:rPr>
      </w:pPr>
      <w:r w:rsidRPr="00A40857">
        <w:rPr>
          <w:rFonts w:cstheme="minorHAnsi"/>
          <w:b/>
        </w:rPr>
        <w:t>Data points 14 and 15 – Change in the forecasted net interest income expected within 12 months under a parallel shock up/down</w:t>
      </w:r>
    </w:p>
    <w:p w14:paraId="27F0FD40"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In the calculation of data points 14 and 15, institutions should apply the upward and downward parallel shock to interest rates to the forecasted net interest income reported in data point 12 for each material currency.</w:t>
      </w:r>
    </w:p>
    <w:p w14:paraId="63303A8B"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The shift (shock) should be applied only to interest-rate sensitive on- and off-balance sheet items in the banking book.</w:t>
      </w:r>
    </w:p>
    <w:p w14:paraId="4C42CC79" w14:textId="77777777" w:rsidR="00EE1A61" w:rsidRPr="00A40857" w:rsidRDefault="00EE1A61" w:rsidP="00A40857">
      <w:pPr>
        <w:spacing w:before="120" w:after="240" w:line="360" w:lineRule="auto"/>
        <w:jc w:val="both"/>
        <w:rPr>
          <w:rFonts w:cstheme="minorHAnsi"/>
          <w:b/>
        </w:rPr>
      </w:pPr>
      <w:r w:rsidRPr="00A40857">
        <w:rPr>
          <w:rFonts w:cstheme="minorHAnsi"/>
          <w:b/>
        </w:rPr>
        <w:t>Data points 16 – Forecasted earnings expected within 12 months under the current baseline interest rate scenario</w:t>
      </w:r>
    </w:p>
    <w:p w14:paraId="39AB1FF7"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In the calculation of data point 16, institutions should forecast their Earnings per material currency for a timeframe of 12 months using the current baseline interest rate scenario, i.e., the interest rates used to calculate future cash flows in the baseline scenario are derived from forward rates, appropriate spreads or market expected rates for different instruments.</w:t>
      </w:r>
    </w:p>
    <w:p w14:paraId="74F610AF" w14:textId="77777777" w:rsidR="00EE1A61" w:rsidRPr="00A40857" w:rsidRDefault="00EE1A61" w:rsidP="00A40857">
      <w:pPr>
        <w:spacing w:before="120" w:after="240" w:line="360" w:lineRule="auto"/>
        <w:jc w:val="both"/>
        <w:rPr>
          <w:rFonts w:cstheme="minorHAnsi"/>
        </w:rPr>
      </w:pPr>
      <w:r w:rsidRPr="00A40857">
        <w:rPr>
          <w:rFonts w:cstheme="minorHAnsi"/>
          <w:b/>
        </w:rPr>
        <w:t>Data points 17-18</w:t>
      </w:r>
      <w:r w:rsidRPr="00A40857">
        <w:rPr>
          <w:rFonts w:cstheme="minorHAnsi"/>
        </w:rPr>
        <w:t xml:space="preserve"> </w:t>
      </w:r>
      <w:r w:rsidRPr="00A40857">
        <w:rPr>
          <w:rFonts w:cstheme="minorHAnsi"/>
          <w:b/>
          <w:bCs/>
        </w:rPr>
        <w:t>–</w:t>
      </w:r>
      <w:r w:rsidRPr="00A40857">
        <w:rPr>
          <w:rFonts w:cstheme="minorHAnsi"/>
        </w:rPr>
        <w:t xml:space="preserve"> </w:t>
      </w:r>
      <w:r w:rsidRPr="00A40857">
        <w:rPr>
          <w:rFonts w:cstheme="minorHAnsi"/>
          <w:b/>
        </w:rPr>
        <w:t xml:space="preserve">Change in the forecasted earnings expected within 12 months under a parallel shock up/down </w:t>
      </w:r>
    </w:p>
    <w:p w14:paraId="1EEAEE21"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In the calculation of data points 17 and 18, institutions should apply the upward and downward parallel interest rate shift to the forecasted earnings reported in data point 16 for each material currency.</w:t>
      </w:r>
    </w:p>
    <w:p w14:paraId="35BE38D6"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This includes at least, according to Articles 14 and 43(c) of the EBA/GL/2022/14, the change in NII already reflected in data points 14 and 15 and the market value changes of instruments — depending on accounting treatment — either shown in the profit and loss account or directly in equity (e.g. via other comprehensive income).</w:t>
      </w:r>
    </w:p>
    <w:p w14:paraId="5D974335"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The shift (shock) should be applied only to interest-rate sensitive on- and off-balance sheet items in the banking book.</w:t>
      </w:r>
    </w:p>
    <w:p w14:paraId="0EFA1D73"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lastRenderedPageBreak/>
        <w:t>Institutions should include the effect of the forecasted impact on fair value instruments (including derivatives) net of hedging interest rate derivatives after applying the scenarios described in the paragraph above. Economic hedges derivatives, whose fair value changes are recognised through the income statement, should be included into the earnings measure.</w:t>
      </w:r>
    </w:p>
    <w:p w14:paraId="2C488C69" w14:textId="77777777" w:rsidR="00EE1A61" w:rsidRPr="00A40857" w:rsidRDefault="00EE1A61" w:rsidP="00A40857">
      <w:pPr>
        <w:spacing w:before="120" w:after="240"/>
        <w:jc w:val="both"/>
        <w:rPr>
          <w:rFonts w:cstheme="minorHAnsi"/>
        </w:rPr>
      </w:pPr>
      <w:r w:rsidRPr="00A40857">
        <w:rPr>
          <w:rFonts w:cstheme="minorHAnsi"/>
          <w:b/>
          <w:u w:val="single"/>
        </w:rPr>
        <w:t>Optionality Information</w:t>
      </w:r>
    </w:p>
    <w:p w14:paraId="763F647E" w14:textId="77777777" w:rsidR="00EE1A61" w:rsidRPr="00A40857" w:rsidRDefault="00EE1A61" w:rsidP="00A40857">
      <w:pPr>
        <w:spacing w:before="120" w:after="240" w:line="360" w:lineRule="auto"/>
        <w:jc w:val="both"/>
        <w:rPr>
          <w:rFonts w:cstheme="minorHAnsi"/>
          <w:b/>
        </w:rPr>
      </w:pPr>
      <w:r w:rsidRPr="00A40857">
        <w:rPr>
          <w:rFonts w:cstheme="minorHAnsi"/>
          <w:b/>
        </w:rPr>
        <w:t xml:space="preserve">Data </w:t>
      </w:r>
      <w:proofErr w:type="gramStart"/>
      <w:r w:rsidRPr="00A40857">
        <w:rPr>
          <w:rFonts w:cstheme="minorHAnsi"/>
          <w:b/>
        </w:rPr>
        <w:t>points</w:t>
      </w:r>
      <w:proofErr w:type="gramEnd"/>
      <w:r w:rsidRPr="00A40857">
        <w:rPr>
          <w:rFonts w:cstheme="minorHAnsi"/>
          <w:b/>
        </w:rPr>
        <w:t xml:space="preserve"> 19-24 – Quantitative information on assets and liabilities with embedded automatic or behavioural optionality</w:t>
      </w:r>
    </w:p>
    <w:p w14:paraId="78FF397F"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 xml:space="preserve">According to Article 4(d) and Article 5(b) of the EBA/RTS/2022/10, institutions should reflect automatic and behavioural options in the calculation of the supervisory outlier tests. </w:t>
      </w:r>
    </w:p>
    <w:p w14:paraId="724DA390"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 xml:space="preserve">In data points 19 and 20, institutions should provide total assets or liabilities in the banking book, per material currency. </w:t>
      </w:r>
    </w:p>
    <w:p w14:paraId="2788B0D8"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In data points 21-24, institutions should provide the nominal amount of assets and liabilities in the banking book</w:t>
      </w:r>
      <w:r w:rsidRPr="00A40857">
        <w:rPr>
          <w:rFonts w:cstheme="minorHAnsi"/>
        </w:rPr>
        <w:footnoteReference w:id="20"/>
      </w:r>
      <w:r w:rsidRPr="00A40857">
        <w:rPr>
          <w:rFonts w:cstheme="minorHAnsi"/>
        </w:rPr>
        <w:t xml:space="preserve"> subject to automatic and behavioural optionality, per material currency. Institutions should consider the instruments referred in paragraph 87 of the EBA/GL/2022/14 as examples of instruments with embedded automatic optionality and embedded behavioural optionality. For the computation of these ratios, institutions should:</w:t>
      </w:r>
    </w:p>
    <w:p w14:paraId="41F506BD" w14:textId="5650AD3E"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Use nominal amounts</w:t>
      </w:r>
      <w:r w:rsidR="00A40857">
        <w:rPr>
          <w:rStyle w:val="FootnoteReference"/>
          <w:rFonts w:cstheme="minorHAnsi"/>
        </w:rPr>
        <w:footnoteReference w:id="21"/>
      </w:r>
      <w:r w:rsidRPr="00A40857">
        <w:rPr>
          <w:rFonts w:cstheme="minorHAnsi"/>
        </w:rPr>
        <w:t xml:space="preserve"> (not STE for SREP data collection cash-flows);</w:t>
      </w:r>
    </w:p>
    <w:p w14:paraId="70106A4E"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Include On- and Off-balance sheet items associated with the Banking Book.</w:t>
      </w:r>
    </w:p>
    <w:p w14:paraId="4F056261" w14:textId="77777777" w:rsidR="00EE1A61" w:rsidRPr="00A40857" w:rsidRDefault="00EE1A61" w:rsidP="00A40857">
      <w:pPr>
        <w:spacing w:before="120" w:after="240" w:line="360" w:lineRule="auto"/>
        <w:jc w:val="both"/>
        <w:rPr>
          <w:rFonts w:cstheme="minorHAnsi"/>
          <w:b/>
        </w:rPr>
      </w:pPr>
      <w:r w:rsidRPr="00A40857">
        <w:rPr>
          <w:rFonts w:cstheme="minorHAnsi"/>
          <w:b/>
        </w:rPr>
        <w:t>Section “Questions”</w:t>
      </w:r>
    </w:p>
    <w:p w14:paraId="1C9BFAC2"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 xml:space="preserve">According to paragraph 89 of the EBA/GL/2022/14, institutions should regularly, at least quarterly and more frequently in times of increased interest rate volatility or increased IRRBB levels, measure their exposure to IRRBB in the context of the different IRRBB measures under various interest rate shock scenarios for potential changes in the level and shape of the interest rate yield curves, and to changes in the relationship between different interest rates (i.e., basis risk). </w:t>
      </w:r>
    </w:p>
    <w:p w14:paraId="26EF9DF3" w14:textId="0C55E69B"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 xml:space="preserve">When calculating the outcome of the supervisory outlier test, institutions should apply the principles reflected in the EBA/RTS/2022/10, and in particular the ones reflected in the Article 4 and Article 5 for EVE and NII sensitivities. </w:t>
      </w:r>
    </w:p>
    <w:p w14:paraId="518B32F7"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lastRenderedPageBreak/>
        <w:t>When computing the earnings metrics, institutions should apply the general principles reflected in the EBA/GL/2022/14, but also their internal assumptions and different methodologies listed in the guidelines.</w:t>
      </w:r>
    </w:p>
    <w:p w14:paraId="642F16B4"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In order to gather critical information for understanding the calculations or the methodologies used for the calculation of the supervisory shock, institutions are required to answer a few questions.</w:t>
      </w:r>
    </w:p>
    <w:p w14:paraId="7D86E395" w14:textId="77777777" w:rsidR="00EE1A61" w:rsidRPr="00A40857" w:rsidRDefault="00EE1A61" w:rsidP="00A40857">
      <w:pPr>
        <w:spacing w:before="120" w:after="240" w:line="360" w:lineRule="auto"/>
        <w:jc w:val="both"/>
        <w:rPr>
          <w:rFonts w:cstheme="minorHAnsi"/>
          <w:b/>
        </w:rPr>
      </w:pPr>
      <w:r w:rsidRPr="00A40857">
        <w:rPr>
          <w:rFonts w:cstheme="minorHAnsi"/>
          <w:b/>
        </w:rPr>
        <w:t>Question 1</w:t>
      </w:r>
    </w:p>
    <w:p w14:paraId="3AD5D66C" w14:textId="77777777" w:rsidR="00EE1A61" w:rsidRPr="00A40857" w:rsidRDefault="00EE1A61" w:rsidP="00A40857">
      <w:pPr>
        <w:spacing w:before="120" w:after="240" w:line="360" w:lineRule="auto"/>
        <w:jc w:val="both"/>
        <w:rPr>
          <w:rFonts w:cstheme="minorHAnsi"/>
          <w:b/>
        </w:rPr>
      </w:pPr>
      <w:r w:rsidRPr="00A40857">
        <w:rPr>
          <w:rFonts w:cstheme="minorHAnsi"/>
          <w:b/>
        </w:rPr>
        <w:t>“</w:t>
      </w:r>
      <w:r w:rsidRPr="00A40857">
        <w:rPr>
          <w:rFonts w:cstheme="minorHAnsi"/>
          <w:b/>
          <w:i/>
        </w:rPr>
        <w:t xml:space="preserve">Does the institution have more than 4 material currencies according to Article 1(3) of EBA/RTS/2022/10? If yes, please provide </w:t>
      </w:r>
      <w:proofErr w:type="gramStart"/>
      <w:r w:rsidRPr="00A40857">
        <w:rPr>
          <w:rFonts w:cstheme="minorHAnsi"/>
          <w:b/>
          <w:i/>
        </w:rPr>
        <w:t>a list material currencies</w:t>
      </w:r>
      <w:proofErr w:type="gramEnd"/>
      <w:r w:rsidRPr="00A40857">
        <w:rPr>
          <w:rFonts w:cstheme="minorHAnsi"/>
          <w:b/>
          <w:i/>
        </w:rPr>
        <w:t xml:space="preserve"> include in Other Material Currency using the currency ISO codes, as well as the specified interest rate shock used according to the methodology prescribed in Annex I of the EBA/RTS/2022/10.</w:t>
      </w:r>
    </w:p>
    <w:p w14:paraId="388FBA7C"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In order to gather information on the material currencies included in Other Material Currency, institutions are invited to provide a list of the material currencies included in the main metrics of IRRBB computed, and with regards to the supervisory outlier test, the size of the interest rate shocks applied per currency.</w:t>
      </w:r>
    </w:p>
    <w:p w14:paraId="7CF20B4C" w14:textId="77777777" w:rsidR="00EE1A61" w:rsidRPr="00A40857" w:rsidRDefault="00EE1A61" w:rsidP="00A40857">
      <w:pPr>
        <w:spacing w:before="120" w:after="240" w:line="360" w:lineRule="auto"/>
        <w:jc w:val="both"/>
        <w:rPr>
          <w:rFonts w:cstheme="minorHAnsi"/>
          <w:b/>
        </w:rPr>
      </w:pPr>
      <w:r w:rsidRPr="00A40857">
        <w:rPr>
          <w:rFonts w:cstheme="minorHAnsi"/>
          <w:b/>
        </w:rPr>
        <w:t>Question 2</w:t>
      </w:r>
    </w:p>
    <w:p w14:paraId="6CA86428" w14:textId="77777777" w:rsidR="00EE1A61" w:rsidRPr="00A40857" w:rsidRDefault="00EE1A61" w:rsidP="00A40857">
      <w:pPr>
        <w:spacing w:before="120" w:after="240" w:line="360" w:lineRule="auto"/>
        <w:jc w:val="both"/>
        <w:rPr>
          <w:rFonts w:cstheme="minorHAnsi"/>
          <w:b/>
          <w:i/>
        </w:rPr>
      </w:pPr>
      <w:r w:rsidRPr="00A40857">
        <w:rPr>
          <w:rFonts w:cstheme="minorHAnsi"/>
          <w:b/>
          <w:i/>
        </w:rPr>
        <w:t>“Which risk-free yield curves have been used in order to compute the supervisory standard shock?”</w:t>
      </w:r>
    </w:p>
    <w:p w14:paraId="131754FC"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According to Article 4(m) of the EBA/RTS/2022/10, an appropriate general ‘risk-free’ yield curve per currency should be applied. That curve should not include instrument-specific or entity-specific spreads such as credit risk spreads or liquidity risk spreads.</w:t>
      </w:r>
    </w:p>
    <w:p w14:paraId="0124042B"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As such, please clarify which ‘risk-free’ yield curves have been used in the calculations of the standard shock for each of the material currencies included in the computation of the standard shock, and the relevant modelling assumptions to derive specific interest rates (e.g. interpolation methods, etc).</w:t>
      </w:r>
    </w:p>
    <w:p w14:paraId="5DC09713" w14:textId="77777777" w:rsidR="00EE1A61" w:rsidRPr="00A40857" w:rsidRDefault="00EE1A61" w:rsidP="00A40857">
      <w:pPr>
        <w:tabs>
          <w:tab w:val="left" w:pos="1570"/>
        </w:tabs>
        <w:spacing w:before="120" w:after="240" w:line="360" w:lineRule="auto"/>
        <w:jc w:val="both"/>
        <w:rPr>
          <w:rFonts w:cstheme="minorHAnsi"/>
          <w:b/>
        </w:rPr>
      </w:pPr>
      <w:r w:rsidRPr="00A40857">
        <w:rPr>
          <w:rFonts w:cstheme="minorHAnsi"/>
          <w:b/>
        </w:rPr>
        <w:t>Question 3</w:t>
      </w:r>
      <w:r w:rsidRPr="00A40857">
        <w:rPr>
          <w:rFonts w:cstheme="minorHAnsi"/>
          <w:b/>
        </w:rPr>
        <w:tab/>
      </w:r>
    </w:p>
    <w:p w14:paraId="4070893F" w14:textId="77777777" w:rsidR="00EE1A61" w:rsidRPr="00A40857" w:rsidRDefault="00EE1A61" w:rsidP="00A40857">
      <w:pPr>
        <w:spacing w:before="120" w:after="240" w:line="360" w:lineRule="auto"/>
        <w:jc w:val="both"/>
        <w:rPr>
          <w:rFonts w:cstheme="minorHAnsi"/>
          <w:b/>
          <w:i/>
        </w:rPr>
      </w:pPr>
      <w:r w:rsidRPr="00A40857">
        <w:rPr>
          <w:rFonts w:cstheme="minorHAnsi"/>
          <w:b/>
          <w:i/>
        </w:rPr>
        <w:t>“Which IRRBB Measurement Methods from Annexes 1 and 2 (of EBA/GL/2022/14) have been used to compute the supervisory standard shock and earning measures?”</w:t>
      </w:r>
    </w:p>
    <w:p w14:paraId="384E16EB"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Annex 1 of EBA/GL/2022/14 provides IRRBB measurement methods for measuring changes in EVE and in earnings according to different yield curve scenarios.</w:t>
      </w:r>
    </w:p>
    <w:p w14:paraId="26D217D4"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Annex 2 of EBA/GL/2022/14 provides a sophistication matrix for IRRBB measurement. Please indicate the sophistication levels of quantitative tools and models used.</w:t>
      </w:r>
    </w:p>
    <w:p w14:paraId="64E8ED6A"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Please clarify which:</w:t>
      </w:r>
    </w:p>
    <w:p w14:paraId="56E8EDB3" w14:textId="77777777" w:rsidR="00EE1A61" w:rsidRPr="00A40857" w:rsidRDefault="00EE1A61" w:rsidP="00A40857">
      <w:pPr>
        <w:pStyle w:val="ListParagraph"/>
        <w:numPr>
          <w:ilvl w:val="1"/>
          <w:numId w:val="7"/>
        </w:numPr>
        <w:spacing w:before="120" w:after="240" w:line="360" w:lineRule="auto"/>
        <w:ind w:left="851"/>
        <w:contextualSpacing w:val="0"/>
        <w:jc w:val="both"/>
        <w:rPr>
          <w:rFonts w:cstheme="minorHAnsi"/>
        </w:rPr>
      </w:pPr>
      <w:r w:rsidRPr="00A40857">
        <w:rPr>
          <w:rFonts w:cstheme="minorHAnsi"/>
        </w:rPr>
        <w:lastRenderedPageBreak/>
        <w:t>of the methods listed in Annex I,</w:t>
      </w:r>
    </w:p>
    <w:p w14:paraId="40F3BEF9" w14:textId="77777777" w:rsidR="00EE1A61" w:rsidRPr="00A40857" w:rsidRDefault="00EE1A61" w:rsidP="00A40857">
      <w:pPr>
        <w:pStyle w:val="ListParagraph"/>
        <w:numPr>
          <w:ilvl w:val="1"/>
          <w:numId w:val="7"/>
        </w:numPr>
        <w:spacing w:before="120" w:after="240" w:line="360" w:lineRule="auto"/>
        <w:ind w:left="851"/>
        <w:contextualSpacing w:val="0"/>
        <w:jc w:val="both"/>
        <w:rPr>
          <w:rFonts w:cstheme="minorHAnsi"/>
        </w:rPr>
      </w:pPr>
      <w:r w:rsidRPr="00A40857">
        <w:rPr>
          <w:rFonts w:cstheme="minorHAnsi"/>
        </w:rPr>
        <w:t>level of sophistication listed in Annex II,</w:t>
      </w:r>
    </w:p>
    <w:p w14:paraId="61F23337" w14:textId="77777777" w:rsidR="00EE1A61" w:rsidRPr="00A40857" w:rsidRDefault="00EE1A61" w:rsidP="00A40857">
      <w:pPr>
        <w:pStyle w:val="ListParagraph"/>
        <w:spacing w:before="120" w:after="240" w:line="360" w:lineRule="auto"/>
        <w:ind w:left="426"/>
        <w:contextualSpacing w:val="0"/>
        <w:jc w:val="both"/>
        <w:rPr>
          <w:rFonts w:cstheme="minorHAnsi"/>
        </w:rPr>
      </w:pPr>
      <w:r w:rsidRPr="00A40857">
        <w:rPr>
          <w:rFonts w:cstheme="minorHAnsi"/>
        </w:rPr>
        <w:t>have been used in the computation of the supervisory standard shock and earnings measures (and in particular for earnings, what was the methodology used to aggregate the metrics across currencies).</w:t>
      </w:r>
    </w:p>
    <w:p w14:paraId="23A3C03D"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Please use the boxes “Main assumptions” to briefly explain the methods used.</w:t>
      </w:r>
    </w:p>
    <w:p w14:paraId="5C12B648" w14:textId="77777777" w:rsidR="00EE1A61" w:rsidRPr="00A40857" w:rsidRDefault="00EE1A61" w:rsidP="00A40857">
      <w:pPr>
        <w:spacing w:before="120" w:after="240" w:line="360" w:lineRule="auto"/>
        <w:jc w:val="both"/>
        <w:rPr>
          <w:rFonts w:cstheme="minorHAnsi"/>
        </w:rPr>
      </w:pPr>
      <w:r w:rsidRPr="00A40857">
        <w:rPr>
          <w:rFonts w:cstheme="minorHAnsi"/>
          <w:b/>
        </w:rPr>
        <w:t>Question 4</w:t>
      </w:r>
    </w:p>
    <w:p w14:paraId="54E7C4FE" w14:textId="77777777" w:rsidR="00EE1A61" w:rsidRPr="00A40857" w:rsidRDefault="00EE1A61" w:rsidP="00A40857">
      <w:pPr>
        <w:spacing w:before="120" w:after="240" w:line="360" w:lineRule="auto"/>
        <w:jc w:val="both"/>
        <w:rPr>
          <w:rFonts w:cstheme="minorHAnsi"/>
          <w:b/>
          <w:i/>
        </w:rPr>
      </w:pPr>
      <w:r w:rsidRPr="00A40857">
        <w:rPr>
          <w:rFonts w:cstheme="minorHAnsi"/>
          <w:b/>
          <w:i/>
        </w:rPr>
        <w:t>“Have commercial margins and other spread components been excluded in the Level of EVE under baseline scenario? If yes, please provide an explanation of the methodology used to exclude them.”</w:t>
      </w:r>
    </w:p>
    <w:p w14:paraId="5A7D2022"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According to Article 4(</w:t>
      </w:r>
      <w:proofErr w:type="spellStart"/>
      <w:r w:rsidRPr="00A40857">
        <w:rPr>
          <w:rFonts w:cstheme="minorHAnsi"/>
        </w:rPr>
        <w:t>i</w:t>
      </w:r>
      <w:proofErr w:type="spellEnd"/>
      <w:r w:rsidRPr="00A40857">
        <w:rPr>
          <w:rFonts w:cstheme="minorHAnsi"/>
        </w:rPr>
        <w:t>) of EBA/RTS/2022/10, “Commercial margins and other spread components in interest payments in terms of their exclusion from or inclusion in the cash flows shall be treated in accordance with the institutions’ internal management and measurement approach for interest rate risk in the non-trading book. If commercial margins and other spread components are excluded, institutions shall (</w:t>
      </w:r>
      <w:proofErr w:type="spellStart"/>
      <w:r w:rsidRPr="00A40857">
        <w:rPr>
          <w:rFonts w:cstheme="minorHAnsi"/>
        </w:rPr>
        <w:t>i</w:t>
      </w:r>
      <w:proofErr w:type="spellEnd"/>
      <w:r w:rsidRPr="00A40857">
        <w:rPr>
          <w:rFonts w:cstheme="minorHAnsi"/>
        </w:rPr>
        <w:t>) use a transparent methodology for identifying the risk free rate at inception of each instrument; (ii) use a methodology that is applied consistently across business units; (iii) ensure that the exclusion of commercial margins and other spread components from the cash flows is consistent with how the institution manages and hedges IRRBB and (iv) notify their exclusion to the competent authority””.</w:t>
      </w:r>
    </w:p>
    <w:p w14:paraId="0D46ACB8"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Therefore, institutions should clarify if commercial margins and other spread components have been excluded in the computation by replying “Yes” or “No”. If the answer is “Yes”, the institution should briefly explain the methodology for identifying the risk-free rate at inception of each instrument and if the methodology is applied consistently across business units and within the group (for information at a consolidated level).</w:t>
      </w:r>
    </w:p>
    <w:p w14:paraId="6B5CC5B0" w14:textId="77777777" w:rsidR="00EE1A61" w:rsidRPr="00A40857" w:rsidRDefault="00EE1A61" w:rsidP="00A40857">
      <w:pPr>
        <w:spacing w:before="120" w:after="240" w:line="360" w:lineRule="auto"/>
        <w:jc w:val="both"/>
        <w:rPr>
          <w:rFonts w:cstheme="minorHAnsi"/>
          <w:b/>
        </w:rPr>
      </w:pPr>
      <w:r w:rsidRPr="00A40857">
        <w:rPr>
          <w:rFonts w:cstheme="minorHAnsi"/>
          <w:b/>
        </w:rPr>
        <w:t>Question 5</w:t>
      </w:r>
    </w:p>
    <w:p w14:paraId="6118EFA4" w14:textId="77777777" w:rsidR="00EE1A61" w:rsidRPr="00A40857" w:rsidRDefault="00EE1A61" w:rsidP="00A40857">
      <w:pPr>
        <w:spacing w:before="120" w:after="240" w:line="360" w:lineRule="auto"/>
        <w:jc w:val="both"/>
        <w:rPr>
          <w:rFonts w:cstheme="minorHAnsi"/>
          <w:b/>
          <w:i/>
        </w:rPr>
      </w:pPr>
      <w:r w:rsidRPr="00A40857">
        <w:rPr>
          <w:rFonts w:cstheme="minorHAnsi"/>
          <w:b/>
          <w:i/>
        </w:rPr>
        <w:t>“Have pension obligations and pension plan assets been included in the computation of the supervisory standard shock and in earnings metrics? If yes, please provide an explanation on how they were incorporated in the methodology to compute the supervisory standard shock and the NII/earnings metrics.”</w:t>
      </w:r>
    </w:p>
    <w:p w14:paraId="14AE466A"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According to Article 4(e) and Article 5(b) of the EBA/RTS/2022/10 and Article 105 of EBA/GL/2022/14 “Pension obligations and pension plan assets should be included unless their interest rate risk is captured in another risk measure”.</w:t>
      </w:r>
    </w:p>
    <w:p w14:paraId="7CD01032"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lastRenderedPageBreak/>
        <w:t>Institutions should answer if they have incorporated pension obligations and pension plan assets in the computation of the supervisory standard shock on EVE and/or the computation of NII/earnings measures, and if yes, they should provide a brief explanation on how they were incorporated in the methodology to compute the supervisory standard shock on EVE and/or to compute NII/Earnings measures.</w:t>
      </w:r>
    </w:p>
    <w:p w14:paraId="550A3723" w14:textId="77777777" w:rsidR="00EE1A61" w:rsidRPr="00A40857" w:rsidRDefault="00EE1A61" w:rsidP="00A40857">
      <w:pPr>
        <w:spacing w:before="120" w:after="240" w:line="360" w:lineRule="auto"/>
        <w:jc w:val="both"/>
        <w:rPr>
          <w:rFonts w:cstheme="minorHAnsi"/>
          <w:b/>
        </w:rPr>
      </w:pPr>
      <w:r w:rsidRPr="00A40857">
        <w:rPr>
          <w:rFonts w:cstheme="minorHAnsi"/>
          <w:b/>
        </w:rPr>
        <w:t>Question 6</w:t>
      </w:r>
    </w:p>
    <w:p w14:paraId="03F225FD" w14:textId="77777777" w:rsidR="00EE1A61" w:rsidRPr="00A40857" w:rsidRDefault="00EE1A61" w:rsidP="00A40857">
      <w:pPr>
        <w:spacing w:before="120" w:after="240" w:line="360" w:lineRule="auto"/>
        <w:jc w:val="both"/>
        <w:rPr>
          <w:rFonts w:cstheme="minorHAnsi"/>
          <w:b/>
          <w:i/>
        </w:rPr>
      </w:pPr>
      <w:r w:rsidRPr="00A40857">
        <w:rPr>
          <w:rFonts w:cstheme="minorHAnsi"/>
          <w:b/>
          <w:i/>
        </w:rPr>
        <w:t>“Have any other material assumptions underlying the calculation of the supervisory standard shock on EVE and/or those underlying the calculation of Earnings measures changed since the STE for SREP data collection was last submitted? Please answer with “Yes” or “No”.</w:t>
      </w:r>
    </w:p>
    <w:p w14:paraId="7BA82071"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 xml:space="preserve">If yes, please list the changes, the </w:t>
      </w:r>
      <w:proofErr w:type="gramStart"/>
      <w:r w:rsidRPr="00A40857">
        <w:rPr>
          <w:rFonts w:cstheme="minorHAnsi"/>
        </w:rPr>
        <w:t>reasons</w:t>
      </w:r>
      <w:proofErr w:type="gramEnd"/>
      <w:r w:rsidRPr="00A40857">
        <w:rPr>
          <w:rFonts w:cstheme="minorHAnsi"/>
        </w:rPr>
        <w:t xml:space="preserve"> and the impact. Please explain in your answer whether any further material changes with regards to the underlying methodology or assumptions have occurred.</w:t>
      </w:r>
    </w:p>
    <w:p w14:paraId="7BF17E77" w14:textId="77777777" w:rsidR="00EE1A61" w:rsidRPr="00A40857" w:rsidRDefault="00EE1A61" w:rsidP="00A40857">
      <w:pPr>
        <w:spacing w:before="120" w:after="240" w:line="360" w:lineRule="auto"/>
        <w:jc w:val="both"/>
        <w:rPr>
          <w:rFonts w:cstheme="minorHAnsi"/>
          <w:b/>
        </w:rPr>
      </w:pPr>
      <w:r w:rsidRPr="00A40857">
        <w:rPr>
          <w:rFonts w:cstheme="minorHAnsi"/>
          <w:b/>
        </w:rPr>
        <w:t>Question 7</w:t>
      </w:r>
    </w:p>
    <w:p w14:paraId="7A8D9F53" w14:textId="77777777" w:rsidR="00EE1A61" w:rsidRPr="00A40857" w:rsidRDefault="00EE1A61" w:rsidP="00A40857">
      <w:pPr>
        <w:spacing w:before="120" w:after="240" w:line="360" w:lineRule="auto"/>
        <w:jc w:val="both"/>
        <w:rPr>
          <w:rFonts w:cstheme="minorHAnsi"/>
          <w:b/>
          <w:i/>
        </w:rPr>
      </w:pPr>
      <w:r w:rsidRPr="00A40857">
        <w:rPr>
          <w:rFonts w:cstheme="minorHAnsi"/>
          <w:b/>
          <w:i/>
        </w:rPr>
        <w:t>“Which items have been included in lines "Other" in Template 1 "</w:t>
      </w:r>
      <w:proofErr w:type="spellStart"/>
      <w:r w:rsidRPr="00A40857">
        <w:rPr>
          <w:rFonts w:cstheme="minorHAnsi"/>
          <w:b/>
          <w:i/>
        </w:rPr>
        <w:t>IRRBB_CSRBB_mapping</w:t>
      </w:r>
      <w:proofErr w:type="spellEnd"/>
      <w:r w:rsidRPr="00A40857">
        <w:rPr>
          <w:rFonts w:cstheme="minorHAnsi"/>
          <w:b/>
          <w:i/>
        </w:rPr>
        <w:t>", Template 2 ''CSRBB sensitivities'' and Template 3 "Unrealised losses"?”</w:t>
      </w:r>
    </w:p>
    <w:p w14:paraId="26263C59" w14:textId="77777777" w:rsidR="00EE1A61" w:rsidRPr="00A40857" w:rsidRDefault="00EE1A61" w:rsidP="00F005F8">
      <w:pPr>
        <w:pStyle w:val="ListParagraph"/>
        <w:numPr>
          <w:ilvl w:val="0"/>
          <w:numId w:val="2"/>
        </w:numPr>
        <w:spacing w:before="120" w:after="240"/>
        <w:ind w:left="426"/>
        <w:contextualSpacing w:val="0"/>
        <w:jc w:val="both"/>
        <w:rPr>
          <w:rFonts w:cstheme="minorHAnsi"/>
        </w:rPr>
      </w:pPr>
      <w:r w:rsidRPr="00A40857">
        <w:rPr>
          <w:rFonts w:cstheme="minorHAnsi"/>
        </w:rPr>
        <w:t>The lines “Other” should only comprise notional repricing cash flows associated with interest rate sensitive instruments in the banking book which have not been reported in the remaining categories. Please enumerate the items which have been included in “Other Assets” and in “Other Liabilities”.</w:t>
      </w:r>
    </w:p>
    <w:p w14:paraId="04A19452" w14:textId="77777777" w:rsidR="00EE1A61" w:rsidRPr="00A40857" w:rsidRDefault="00EE1A61" w:rsidP="00A40857">
      <w:pPr>
        <w:pStyle w:val="numberedparagraph"/>
        <w:numPr>
          <w:ilvl w:val="0"/>
          <w:numId w:val="0"/>
        </w:numPr>
        <w:spacing w:before="120" w:after="240"/>
        <w:ind w:left="284" w:hanging="284"/>
        <w:rPr>
          <w:rFonts w:cstheme="minorHAnsi"/>
          <w:szCs w:val="22"/>
        </w:rPr>
      </w:pPr>
    </w:p>
    <w:sectPr w:rsidR="00EE1A61" w:rsidRPr="00A40857" w:rsidSect="002A4158">
      <w:headerReference w:type="default" r:id="rId8"/>
      <w:footerReference w:type="default" r:id="rId9"/>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78D34" w14:textId="77777777" w:rsidR="004F29FC" w:rsidRDefault="004F29FC" w:rsidP="00C65F28">
      <w:pPr>
        <w:spacing w:after="0" w:line="240" w:lineRule="auto"/>
      </w:pPr>
      <w:r>
        <w:separator/>
      </w:r>
    </w:p>
  </w:endnote>
  <w:endnote w:type="continuationSeparator" w:id="0">
    <w:p w14:paraId="73480EF5" w14:textId="77777777" w:rsidR="004F29FC" w:rsidRDefault="004F29FC" w:rsidP="00C65F28">
      <w:pPr>
        <w:spacing w:after="0" w:line="240" w:lineRule="auto"/>
      </w:pPr>
      <w:r>
        <w:continuationSeparator/>
      </w:r>
    </w:p>
  </w:endnote>
  <w:endnote w:type="continuationNotice" w:id="1">
    <w:p w14:paraId="04B5E1E6" w14:textId="77777777" w:rsidR="004F29FC" w:rsidRDefault="004F29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ndnya">
    <w:altName w:val="Cambria"/>
    <w:panose1 w:val="00000400000000000000"/>
    <w:charset w:val="01"/>
    <w:family w:val="roman"/>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784906"/>
      <w:docPartObj>
        <w:docPartGallery w:val="Page Numbers (Bottom of Page)"/>
        <w:docPartUnique/>
      </w:docPartObj>
    </w:sdtPr>
    <w:sdtEndPr>
      <w:rPr>
        <w:noProof/>
        <w:sz w:val="18"/>
      </w:rPr>
    </w:sdtEndPr>
    <w:sdtContent>
      <w:p w14:paraId="00FC08C8" w14:textId="1B28C5FA" w:rsidR="00F932BE" w:rsidRPr="00C65F28" w:rsidRDefault="00F932BE" w:rsidP="00C65F28">
        <w:pPr>
          <w:pStyle w:val="Footer"/>
          <w:jc w:val="center"/>
          <w:rPr>
            <w:sz w:val="18"/>
          </w:rPr>
        </w:pPr>
        <w:r w:rsidRPr="00C65F28">
          <w:rPr>
            <w:sz w:val="18"/>
          </w:rPr>
          <w:fldChar w:fldCharType="begin"/>
        </w:r>
        <w:r w:rsidRPr="00C65F28">
          <w:rPr>
            <w:sz w:val="18"/>
          </w:rPr>
          <w:instrText xml:space="preserve"> PAGE   \* MERGEFORMAT </w:instrText>
        </w:r>
        <w:r w:rsidRPr="00C65F28">
          <w:rPr>
            <w:sz w:val="18"/>
          </w:rPr>
          <w:fldChar w:fldCharType="separate"/>
        </w:r>
        <w:r w:rsidR="0066476B">
          <w:rPr>
            <w:noProof/>
            <w:sz w:val="18"/>
          </w:rPr>
          <w:t>35</w:t>
        </w:r>
        <w:r w:rsidRPr="00C65F28">
          <w:rPr>
            <w:noProof/>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F6C49" w14:textId="77777777" w:rsidR="004F29FC" w:rsidRDefault="004F29FC" w:rsidP="00C65F28">
      <w:pPr>
        <w:spacing w:after="0" w:line="240" w:lineRule="auto"/>
      </w:pPr>
      <w:r>
        <w:separator/>
      </w:r>
    </w:p>
  </w:footnote>
  <w:footnote w:type="continuationSeparator" w:id="0">
    <w:p w14:paraId="4C3E426D" w14:textId="77777777" w:rsidR="004F29FC" w:rsidRDefault="004F29FC" w:rsidP="00C65F28">
      <w:pPr>
        <w:spacing w:after="0" w:line="240" w:lineRule="auto"/>
      </w:pPr>
      <w:r>
        <w:continuationSeparator/>
      </w:r>
    </w:p>
  </w:footnote>
  <w:footnote w:type="continuationNotice" w:id="1">
    <w:p w14:paraId="5A8CE806" w14:textId="77777777" w:rsidR="004F29FC" w:rsidRDefault="004F29FC">
      <w:pPr>
        <w:spacing w:after="0" w:line="240" w:lineRule="auto"/>
      </w:pPr>
    </w:p>
  </w:footnote>
  <w:footnote w:id="2">
    <w:p w14:paraId="7095488F" w14:textId="1859BB4E" w:rsidR="00F932BE" w:rsidRPr="00180AC3" w:rsidRDefault="00F932BE" w:rsidP="00271777">
      <w:pPr>
        <w:pStyle w:val="FootnoteText"/>
        <w:rPr>
          <w:rFonts w:cstheme="minorHAnsi"/>
        </w:rPr>
      </w:pPr>
      <w:r w:rsidRPr="00180AC3">
        <w:rPr>
          <w:rStyle w:val="FootnoteReference"/>
          <w:rFonts w:cstheme="minorHAnsi"/>
        </w:rPr>
        <w:footnoteRef/>
      </w:r>
      <w:r w:rsidRPr="00180AC3">
        <w:rPr>
          <w:rFonts w:cstheme="minorHAnsi"/>
        </w:rPr>
        <w:t xml:space="preserve"> This ratio should include on- and off-balance sheet banking book interest-rate sensitive items</w:t>
      </w:r>
      <w:r w:rsidR="001527C1" w:rsidRPr="00180AC3">
        <w:rPr>
          <w:rFonts w:cstheme="minorHAnsi"/>
        </w:rPr>
        <w:t>.</w:t>
      </w:r>
    </w:p>
  </w:footnote>
  <w:footnote w:id="3">
    <w:p w14:paraId="079159B6" w14:textId="6619D31A" w:rsidR="009864E7" w:rsidRPr="008806B0" w:rsidRDefault="009864E7">
      <w:pPr>
        <w:pStyle w:val="FootnoteText"/>
        <w:rPr>
          <w:lang w:val="en-US"/>
        </w:rPr>
      </w:pPr>
      <w:r>
        <w:rPr>
          <w:rStyle w:val="FootnoteReference"/>
        </w:rPr>
        <w:footnoteRef/>
      </w:r>
      <w:r>
        <w:t xml:space="preserve"> EBA GLs on IRRBB and CSRBB (</w:t>
      </w:r>
      <w:r w:rsidR="00A45217">
        <w:t>EBA/GL/</w:t>
      </w:r>
      <w:r>
        <w:t>2022/14), paragraph 122</w:t>
      </w:r>
    </w:p>
  </w:footnote>
  <w:footnote w:id="4">
    <w:p w14:paraId="02AB7A78" w14:textId="77777777" w:rsidR="00616D33" w:rsidRPr="007972CE" w:rsidRDefault="00616D33" w:rsidP="00616D33">
      <w:pPr>
        <w:pStyle w:val="FootnoteText"/>
      </w:pPr>
      <w:r>
        <w:rPr>
          <w:rStyle w:val="FootnoteReference"/>
        </w:rPr>
        <w:footnoteRef/>
      </w:r>
      <w:r>
        <w:t xml:space="preserve"> </w:t>
      </w:r>
      <w:r w:rsidRPr="00EE1D3E">
        <w:t>Commission Implementing Regulation (EU) 2021/451 of 17 December 2020 laying down implementing technical standards for the application of Regulation (EU) No 575/2013 of the European Parliament and of the Council with regard to supervisory reporting of institutions and repealing Implementing Regulation (EU) No 680/2014</w:t>
      </w:r>
    </w:p>
  </w:footnote>
  <w:footnote w:id="5">
    <w:p w14:paraId="5CDAD6A1" w14:textId="3D8070F7" w:rsidR="00C43506" w:rsidRPr="00C43506" w:rsidRDefault="00C43506">
      <w:pPr>
        <w:pStyle w:val="FootnoteText"/>
      </w:pPr>
      <w:r>
        <w:rPr>
          <w:rStyle w:val="FootnoteReference"/>
        </w:rPr>
        <w:footnoteRef/>
      </w:r>
      <w:r>
        <w:t xml:space="preserve"> </w:t>
      </w:r>
      <w:hyperlink r:id="rId1" w:history="1">
        <w:r w:rsidRPr="00C43506">
          <w:rPr>
            <w:rStyle w:val="Hyperlink"/>
          </w:rPr>
          <w:t>ECB Guide to the internal capital adequacy assessment process</w:t>
        </w:r>
      </w:hyperlink>
      <w:r>
        <w:t xml:space="preserve"> (November 2018)</w:t>
      </w:r>
    </w:p>
  </w:footnote>
  <w:footnote w:id="6">
    <w:p w14:paraId="36E6585C" w14:textId="2147BBD2" w:rsidR="003D6336" w:rsidRPr="003D6336" w:rsidRDefault="003D6336">
      <w:pPr>
        <w:pStyle w:val="FootnoteText"/>
      </w:pPr>
    </w:p>
  </w:footnote>
  <w:footnote w:id="7">
    <w:p w14:paraId="1AEC5190" w14:textId="77777777" w:rsidR="00A670A0" w:rsidRPr="00082112" w:rsidRDefault="00A670A0" w:rsidP="00A670A0">
      <w:pPr>
        <w:pStyle w:val="FootnoteText"/>
      </w:pPr>
      <w:r>
        <w:rPr>
          <w:rStyle w:val="FootnoteReference"/>
        </w:rPr>
        <w:footnoteRef/>
      </w:r>
      <w:r>
        <w:t xml:space="preserve"> E.g. for non-maturity deposits (NMDs)</w:t>
      </w:r>
    </w:p>
  </w:footnote>
  <w:footnote w:id="8">
    <w:p w14:paraId="34581A37" w14:textId="3E2BF592" w:rsidR="003D6336" w:rsidRPr="003D6336" w:rsidRDefault="003D6336">
      <w:pPr>
        <w:pStyle w:val="FootnoteText"/>
      </w:pPr>
      <w:r>
        <w:rPr>
          <w:rStyle w:val="FootnoteReference"/>
        </w:rPr>
        <w:t>5</w:t>
      </w:r>
      <w:r>
        <w:t>,</w:t>
      </w:r>
      <w:r>
        <w:rPr>
          <w:rStyle w:val="FootnoteReference"/>
        </w:rPr>
        <w:footnoteRef/>
      </w:r>
      <w:r>
        <w:t xml:space="preserve"> Data points still under discussions</w:t>
      </w:r>
    </w:p>
  </w:footnote>
  <w:footnote w:id="9">
    <w:p w14:paraId="6542FE45" w14:textId="77777777" w:rsidR="0001466A" w:rsidRPr="00307E5E" w:rsidRDefault="0001466A" w:rsidP="0001466A">
      <w:pPr>
        <w:pStyle w:val="FootnoteText"/>
        <w:jc w:val="both"/>
        <w:rPr>
          <w:lang w:val="en-US"/>
        </w:rPr>
      </w:pPr>
      <w:r>
        <w:rPr>
          <w:rStyle w:val="FootnoteReference"/>
        </w:rPr>
        <w:footnoteRef/>
      </w:r>
      <w:r>
        <w:t xml:space="preserve"> This exception is introduced in the EBA GLs 2022/14 in paragraph 156. </w:t>
      </w:r>
    </w:p>
  </w:footnote>
  <w:footnote w:id="10">
    <w:p w14:paraId="44B2FE99" w14:textId="6AD98D19" w:rsidR="008F5EB6" w:rsidRPr="008806B0" w:rsidRDefault="008F5EB6">
      <w:pPr>
        <w:pStyle w:val="FootnoteText"/>
        <w:rPr>
          <w:lang w:val="en-US"/>
        </w:rPr>
      </w:pPr>
      <w:r>
        <w:rPr>
          <w:rStyle w:val="FootnoteReference"/>
        </w:rPr>
        <w:footnoteRef/>
      </w:r>
      <w:r>
        <w:t xml:space="preserve"> </w:t>
      </w:r>
      <w:r>
        <w:rPr>
          <w:lang w:val="en-US"/>
        </w:rPr>
        <w:t xml:space="preserve">See section 4.5.1 ‘perimeter of CSRBB’ in the EBA GLs </w:t>
      </w:r>
      <w:r>
        <w:t xml:space="preserve">2022/14 </w:t>
      </w:r>
      <w:r>
        <w:rPr>
          <w:lang w:val="en-US"/>
        </w:rPr>
        <w:t xml:space="preserve"> </w:t>
      </w:r>
    </w:p>
  </w:footnote>
  <w:footnote w:id="11">
    <w:p w14:paraId="6557FC9C" w14:textId="21BC53ED" w:rsidR="008F5EB6" w:rsidRPr="008806B0" w:rsidRDefault="008F5EB6">
      <w:pPr>
        <w:pStyle w:val="FootnoteText"/>
        <w:rPr>
          <w:lang w:val="en-US"/>
        </w:rPr>
      </w:pPr>
      <w:r>
        <w:rPr>
          <w:rStyle w:val="FootnoteReference"/>
        </w:rPr>
        <w:footnoteRef/>
      </w:r>
      <w:r>
        <w:t xml:space="preserve"> See EBA GLs 2022/14 para. 121</w:t>
      </w:r>
    </w:p>
  </w:footnote>
  <w:footnote w:id="12">
    <w:p w14:paraId="217577D6" w14:textId="66DD4DA9" w:rsidR="008F5EB6" w:rsidRPr="008806B0" w:rsidRDefault="008F5EB6">
      <w:pPr>
        <w:pStyle w:val="FootnoteText"/>
        <w:rPr>
          <w:lang w:val="en-US"/>
        </w:rPr>
      </w:pPr>
      <w:r>
        <w:rPr>
          <w:rStyle w:val="FootnoteReference"/>
        </w:rPr>
        <w:footnoteRef/>
      </w:r>
      <w:r>
        <w:t xml:space="preserve"> </w:t>
      </w:r>
      <w:r>
        <w:rPr>
          <w:lang w:val="en-US"/>
        </w:rPr>
        <w:t xml:space="preserve">See EBA GLs 2022/14 </w:t>
      </w:r>
      <w:r>
        <w:t>para. 71(e), 106(g) and 159</w:t>
      </w:r>
    </w:p>
  </w:footnote>
  <w:footnote w:id="13">
    <w:p w14:paraId="3BC1F4F2" w14:textId="6B176DD8" w:rsidR="00811C78" w:rsidRPr="00811C78" w:rsidRDefault="00811C78">
      <w:pPr>
        <w:pStyle w:val="FootnoteText"/>
      </w:pPr>
      <w:r>
        <w:rPr>
          <w:rStyle w:val="FootnoteReference"/>
        </w:rPr>
        <w:footnoteRef/>
      </w:r>
      <w:r>
        <w:t xml:space="preserve"> See EBA GLs 2022/14, para. 144</w:t>
      </w:r>
    </w:p>
  </w:footnote>
  <w:footnote w:id="14">
    <w:p w14:paraId="66437646" w14:textId="7E15A81A" w:rsidR="00811C78" w:rsidRPr="008806B0" w:rsidRDefault="00811C78">
      <w:pPr>
        <w:pStyle w:val="FootnoteText"/>
        <w:rPr>
          <w:lang w:val="en-US"/>
        </w:rPr>
      </w:pPr>
      <w:r>
        <w:rPr>
          <w:rStyle w:val="FootnoteReference"/>
        </w:rPr>
        <w:footnoteRef/>
      </w:r>
      <w:r>
        <w:t xml:space="preserve"> </w:t>
      </w:r>
      <w:r>
        <w:rPr>
          <w:lang w:val="en-US"/>
        </w:rPr>
        <w:t>See EBA GLs 2022/14, para. 131(b</w:t>
      </w:r>
      <w:proofErr w:type="gramStart"/>
      <w:r>
        <w:rPr>
          <w:lang w:val="en-US"/>
        </w:rPr>
        <w:t>),(</w:t>
      </w:r>
      <w:proofErr w:type="spellStart"/>
      <w:proofErr w:type="gramEnd"/>
      <w:r>
        <w:rPr>
          <w:lang w:val="en-US"/>
        </w:rPr>
        <w:t>i</w:t>
      </w:r>
      <w:proofErr w:type="spellEnd"/>
      <w:r>
        <w:rPr>
          <w:lang w:val="en-US"/>
        </w:rPr>
        <w:t>)</w:t>
      </w:r>
    </w:p>
  </w:footnote>
  <w:footnote w:id="15">
    <w:p w14:paraId="11B8FABB" w14:textId="30142AD3" w:rsidR="00F07E09" w:rsidRPr="00F07E09" w:rsidRDefault="00F07E09">
      <w:pPr>
        <w:pStyle w:val="FootnoteText"/>
      </w:pPr>
      <w:r>
        <w:rPr>
          <w:rStyle w:val="FootnoteReference"/>
        </w:rPr>
        <w:footnoteRef/>
      </w:r>
      <w:r>
        <w:t xml:space="preserve"> See EBA GLs 2022/14, para. 131(b)(</w:t>
      </w:r>
      <w:proofErr w:type="spellStart"/>
      <w:r>
        <w:t>i</w:t>
      </w:r>
      <w:proofErr w:type="spellEnd"/>
      <w:r>
        <w:t>)</w:t>
      </w:r>
    </w:p>
  </w:footnote>
  <w:footnote w:id="16">
    <w:p w14:paraId="0EEE476F" w14:textId="5013BB1F" w:rsidR="00F07E09" w:rsidRPr="008806B0" w:rsidRDefault="00F07E09">
      <w:pPr>
        <w:pStyle w:val="FootnoteText"/>
        <w:rPr>
          <w:lang w:val="en-US"/>
        </w:rPr>
      </w:pPr>
      <w:r>
        <w:rPr>
          <w:rStyle w:val="FootnoteReference"/>
        </w:rPr>
        <w:footnoteRef/>
      </w:r>
      <w:r>
        <w:t xml:space="preserve"> </w:t>
      </w:r>
      <w:r>
        <w:rPr>
          <w:lang w:val="en-US"/>
        </w:rPr>
        <w:t>See EBA GLs 2022/14, 159</w:t>
      </w:r>
    </w:p>
  </w:footnote>
  <w:footnote w:id="17">
    <w:p w14:paraId="1CFB3ADD" w14:textId="10F49F6D" w:rsidR="00EA0436" w:rsidRPr="00EA0436" w:rsidRDefault="00EA0436">
      <w:pPr>
        <w:pStyle w:val="FootnoteText"/>
      </w:pPr>
      <w:r>
        <w:rPr>
          <w:rStyle w:val="FootnoteReference"/>
        </w:rPr>
        <w:footnoteRef/>
      </w:r>
      <w:r>
        <w:t xml:space="preserve"> As part of the Quantitative impact study (QIS) </w:t>
      </w:r>
      <w:r w:rsidR="00156DF2">
        <w:t>for</w:t>
      </w:r>
      <w:r>
        <w:t xml:space="preserve"> Basel III monitoring (</w:t>
      </w:r>
      <w:hyperlink r:id="rId2" w:history="1">
        <w:r w:rsidRPr="00EA0436">
          <w:rPr>
            <w:rStyle w:val="Hyperlink"/>
          </w:rPr>
          <w:t>link</w:t>
        </w:r>
      </w:hyperlink>
      <w:r>
        <w:t>)</w:t>
      </w:r>
    </w:p>
  </w:footnote>
  <w:footnote w:id="18">
    <w:p w14:paraId="505E93B4" w14:textId="3EBD45F6" w:rsidR="00A670A0" w:rsidRPr="008806B0" w:rsidRDefault="00A670A0">
      <w:pPr>
        <w:pStyle w:val="FootnoteText"/>
        <w:rPr>
          <w:lang w:val="en-US"/>
        </w:rPr>
      </w:pPr>
      <w:r>
        <w:rPr>
          <w:rStyle w:val="FootnoteReference"/>
        </w:rPr>
        <w:footnoteRef/>
      </w:r>
      <w:r>
        <w:t xml:space="preserve"> </w:t>
      </w:r>
      <w:r>
        <w:rPr>
          <w:lang w:val="en-US"/>
        </w:rPr>
        <w:t xml:space="preserve">For SIs and </w:t>
      </w:r>
      <w:r w:rsidR="00C22395">
        <w:rPr>
          <w:lang w:val="en-US"/>
        </w:rPr>
        <w:t>s</w:t>
      </w:r>
      <w:r>
        <w:rPr>
          <w:lang w:val="en-US"/>
        </w:rPr>
        <w:t xml:space="preserve">ubsidiaries subject to a targeted SREP, this template would only </w:t>
      </w:r>
      <w:r w:rsidR="00C22395">
        <w:rPr>
          <w:lang w:val="en-US"/>
        </w:rPr>
        <w:t>be</w:t>
      </w:r>
      <w:r>
        <w:rPr>
          <w:lang w:val="en-US"/>
        </w:rPr>
        <w:t xml:space="preserve"> reported for reference date Q4 2023. </w:t>
      </w:r>
    </w:p>
  </w:footnote>
  <w:footnote w:id="19">
    <w:p w14:paraId="1CDB7F05" w14:textId="77777777" w:rsidR="00EE1A61" w:rsidRPr="007D43C0" w:rsidRDefault="00EE1A61" w:rsidP="00EE1A61">
      <w:pPr>
        <w:pStyle w:val="FootnoteText"/>
        <w:rPr>
          <w:rFonts w:cstheme="minorHAnsi"/>
        </w:rPr>
      </w:pPr>
      <w:r w:rsidRPr="007D43C0">
        <w:rPr>
          <w:rStyle w:val="FootnoteReference"/>
          <w:rFonts w:cstheme="minorHAnsi"/>
        </w:rPr>
        <w:footnoteRef/>
      </w:r>
      <w:r w:rsidRPr="007D43C0">
        <w:rPr>
          <w:rFonts w:cstheme="minorHAnsi"/>
        </w:rPr>
        <w:t xml:space="preserve"> E.g. if the specified size of interest rate shock is 100 bps, institutions should fill the data points as “100”.</w:t>
      </w:r>
    </w:p>
  </w:footnote>
  <w:footnote w:id="20">
    <w:p w14:paraId="2BA4A31B" w14:textId="77777777" w:rsidR="00EE1A61" w:rsidRDefault="00EE1A61" w:rsidP="00EE1A61">
      <w:pPr>
        <w:pStyle w:val="FootnoteText"/>
      </w:pPr>
      <w:r>
        <w:rPr>
          <w:rStyle w:val="FootnoteReference"/>
        </w:rPr>
        <w:footnoteRef/>
      </w:r>
      <w:r>
        <w:t xml:space="preserve"> </w:t>
      </w:r>
      <w:r w:rsidRPr="00F74CE2">
        <w:rPr>
          <w:rFonts w:cstheme="minorHAnsi"/>
          <w:sz w:val="22"/>
          <w:szCs w:val="22"/>
        </w:rPr>
        <w:t>The ratios below should include in denominator only on- and off-balance sheet banking book interest-rate sensitive items.</w:t>
      </w:r>
    </w:p>
  </w:footnote>
  <w:footnote w:id="21">
    <w:p w14:paraId="701307A0" w14:textId="7E3A21B2" w:rsidR="00A40857" w:rsidRPr="00F74CE2" w:rsidRDefault="00A40857" w:rsidP="00F74CE2">
      <w:pPr>
        <w:pStyle w:val="CommentText"/>
        <w:rPr>
          <w:lang w:val="fr-FR"/>
        </w:rPr>
      </w:pPr>
      <w:r>
        <w:rPr>
          <w:rStyle w:val="FootnoteReference"/>
        </w:rPr>
        <w:footnoteRef/>
      </w:r>
      <w:r>
        <w:t xml:space="preserve"> </w:t>
      </w:r>
      <w:r w:rsidR="00F74CE2" w:rsidRPr="00F74CE2">
        <w:rPr>
          <w:rFonts w:cstheme="minorHAnsi"/>
          <w:sz w:val="22"/>
          <w:szCs w:val="22"/>
        </w:rPr>
        <w:t>Defined as: ‘Outstanding amount the debtor owes to the creditor, which is composed of the outstanding principal amount including any accrued interest.’</w:t>
      </w:r>
      <w:r w:rsidR="00F74CE2">
        <w:rPr>
          <w:rFonts w:cstheme="minorHAnsi"/>
          <w:sz w:val="22"/>
          <w:szCs w:val="22"/>
        </w:rPr>
        <w:t xml:space="preserve"> </w:t>
      </w:r>
      <w:r w:rsidR="00F74CE2" w:rsidRPr="00F74CE2">
        <w:rPr>
          <w:rFonts w:cstheme="minorHAnsi"/>
          <w:sz w:val="22"/>
          <w:szCs w:val="22"/>
          <w:lang w:val="fr-FR"/>
        </w:rPr>
        <w:t xml:space="preserve">Source: </w:t>
      </w:r>
      <w:r w:rsidR="00000000">
        <w:fldChar w:fldCharType="begin"/>
      </w:r>
      <w:r w:rsidR="00000000" w:rsidRPr="009003E4">
        <w:rPr>
          <w:lang w:val="fr-FR"/>
        </w:rPr>
        <w:instrText xml:space="preserve"> HYPERLINK "https://www.bis.org/statistics/glossary.htm?&amp;selection=283&amp;scope=Statistics&amp;c=a&amp;base=term" </w:instrText>
      </w:r>
      <w:r w:rsidR="00000000">
        <w:fldChar w:fldCharType="separate"/>
      </w:r>
      <w:r w:rsidR="00F74CE2" w:rsidRPr="00E107C8">
        <w:rPr>
          <w:rStyle w:val="Hyperlink"/>
          <w:lang w:val="fr-FR"/>
        </w:rPr>
        <w:t>https://www.bis.org/statistics/glossary.htm?&amp;selection=283&amp;scope=Statistics&amp;c=a&amp;base=term</w:t>
      </w:r>
      <w:r w:rsidR="00000000">
        <w:rPr>
          <w:rStyle w:val="Hyperlink"/>
          <w:lang w:val="fr-FR"/>
        </w:rPr>
        <w:fldChar w:fldCharType="end"/>
      </w:r>
      <w:r w:rsidR="00F74CE2" w:rsidRPr="00247703">
        <w:rPr>
          <w:lang w:val="fr-F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E7F14" w14:textId="77777777" w:rsidR="00F932BE" w:rsidRPr="00A37128" w:rsidRDefault="00F932BE" w:rsidP="00A37128">
    <w:pPr>
      <w:spacing w:before="60" w:after="60" w:line="160" w:lineRule="atLeast"/>
      <w:ind w:left="720"/>
      <w:jc w:val="right"/>
      <w:rPr>
        <w:rFonts w:ascii="Arial" w:eastAsia="Times New Roman" w:hAnsi="Arial" w:cs="Sendnya"/>
        <w:b/>
        <w:bCs/>
        <w:sz w:val="20"/>
        <w:szCs w:val="20"/>
        <w:lang w:val="en-US" w:eastAsia="en-GB"/>
      </w:rPr>
    </w:pPr>
    <w:r w:rsidRPr="00A37128">
      <w:rPr>
        <w:rFonts w:ascii="Arial" w:eastAsia="Times New Roman" w:hAnsi="Arial" w:cs="Sendnya"/>
        <w:b/>
        <w:bCs/>
        <w:sz w:val="20"/>
        <w:szCs w:val="20"/>
        <w:lang w:val="en-US" w:eastAsia="en-GB"/>
      </w:rPr>
      <w:t>ECB-PUBLIC</w:t>
    </w:r>
  </w:p>
  <w:p w14:paraId="00FC08C7" w14:textId="77777777" w:rsidR="00F932BE" w:rsidRDefault="00F932BE" w:rsidP="002A415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C08C9" w14:textId="46F7CA32" w:rsidR="00F932BE" w:rsidRDefault="00F932BE" w:rsidP="002A4158">
    <w:pPr>
      <w:pStyle w:val="Header"/>
      <w:jc w:val="center"/>
    </w:pPr>
    <w:r>
      <w:object w:dxaOrig="16078" w:dyaOrig="5774" w14:anchorId="00FC08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9pt;height:59.1pt">
          <v:imagedata r:id="rId1" o:title=""/>
        </v:shape>
        <o:OLEObject Type="Embed" ProgID="PBrush" ShapeID="_x0000_i1025" DrawAspect="Content" ObjectID="_1758104791"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78AC"/>
    <w:multiLevelType w:val="hybridMultilevel"/>
    <w:tmpl w:val="51EA01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BF4233"/>
    <w:multiLevelType w:val="hybridMultilevel"/>
    <w:tmpl w:val="C7162702"/>
    <w:lvl w:ilvl="0" w:tplc="F93C00C6">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07E3A"/>
    <w:multiLevelType w:val="hybridMultilevel"/>
    <w:tmpl w:val="0B6EF89A"/>
    <w:lvl w:ilvl="0" w:tplc="FFFFFFFF">
      <w:start w:val="1"/>
      <w:numFmt w:val="decimal"/>
      <w:lvlText w:val="%1."/>
      <w:lvlJc w:val="left"/>
      <w:pPr>
        <w:ind w:left="1636" w:hanging="360"/>
      </w:pPr>
      <w:rPr>
        <w:rFonts w:hint="default"/>
        <w:b w:val="0"/>
        <w:i w:val="0"/>
        <w:color w:val="auto"/>
      </w:rPr>
    </w:lvl>
    <w:lvl w:ilvl="1" w:tplc="FFFFFFFF">
      <w:start w:val="1"/>
      <w:numFmt w:val="lowerLetter"/>
      <w:lvlText w:val="%2."/>
      <w:lvlJc w:val="left"/>
      <w:pPr>
        <w:ind w:left="2094" w:hanging="360"/>
      </w:pPr>
      <w:rPr>
        <w:rFonts w:ascii="Times New Roman" w:hAnsi="Times New Roman" w:cs="Times New Roman" w:hint="default"/>
      </w:rPr>
    </w:lvl>
    <w:lvl w:ilvl="2" w:tplc="FFFFFFFF">
      <w:start w:val="1"/>
      <w:numFmt w:val="lowerRoman"/>
      <w:lvlText w:val="%3."/>
      <w:lvlJc w:val="right"/>
      <w:pPr>
        <w:ind w:left="2814" w:hanging="180"/>
      </w:pPr>
    </w:lvl>
    <w:lvl w:ilvl="3" w:tplc="FFFFFFFF" w:tentative="1">
      <w:start w:val="1"/>
      <w:numFmt w:val="decimal"/>
      <w:lvlText w:val="%4."/>
      <w:lvlJc w:val="left"/>
      <w:pPr>
        <w:ind w:left="3534" w:hanging="360"/>
      </w:pPr>
    </w:lvl>
    <w:lvl w:ilvl="4" w:tplc="FFFFFFFF" w:tentative="1">
      <w:start w:val="1"/>
      <w:numFmt w:val="lowerLetter"/>
      <w:lvlText w:val="%5."/>
      <w:lvlJc w:val="left"/>
      <w:pPr>
        <w:ind w:left="4254" w:hanging="360"/>
      </w:pPr>
    </w:lvl>
    <w:lvl w:ilvl="5" w:tplc="FFFFFFFF" w:tentative="1">
      <w:start w:val="1"/>
      <w:numFmt w:val="lowerRoman"/>
      <w:lvlText w:val="%6."/>
      <w:lvlJc w:val="right"/>
      <w:pPr>
        <w:ind w:left="4974" w:hanging="180"/>
      </w:pPr>
    </w:lvl>
    <w:lvl w:ilvl="6" w:tplc="FFFFFFFF" w:tentative="1">
      <w:start w:val="1"/>
      <w:numFmt w:val="decimal"/>
      <w:lvlText w:val="%7."/>
      <w:lvlJc w:val="left"/>
      <w:pPr>
        <w:ind w:left="5694" w:hanging="360"/>
      </w:pPr>
    </w:lvl>
    <w:lvl w:ilvl="7" w:tplc="FFFFFFFF" w:tentative="1">
      <w:start w:val="1"/>
      <w:numFmt w:val="lowerLetter"/>
      <w:lvlText w:val="%8."/>
      <w:lvlJc w:val="left"/>
      <w:pPr>
        <w:ind w:left="6414" w:hanging="360"/>
      </w:pPr>
    </w:lvl>
    <w:lvl w:ilvl="8" w:tplc="FFFFFFFF" w:tentative="1">
      <w:start w:val="1"/>
      <w:numFmt w:val="lowerRoman"/>
      <w:lvlText w:val="%9."/>
      <w:lvlJc w:val="right"/>
      <w:pPr>
        <w:ind w:left="7134" w:hanging="180"/>
      </w:pPr>
    </w:lvl>
  </w:abstractNum>
  <w:abstractNum w:abstractNumId="3" w15:restartNumberingAfterBreak="0">
    <w:nsid w:val="02436224"/>
    <w:multiLevelType w:val="hybridMultilevel"/>
    <w:tmpl w:val="B61853BA"/>
    <w:lvl w:ilvl="0" w:tplc="0809000F">
      <w:start w:val="1"/>
      <w:numFmt w:val="decimal"/>
      <w:lvlText w:val="%1."/>
      <w:lvlJc w:val="left"/>
      <w:pPr>
        <w:ind w:left="720" w:hanging="360"/>
      </w:pPr>
      <w:rPr>
        <w:rFonts w:hint="default"/>
      </w:rPr>
    </w:lvl>
    <w:lvl w:ilvl="1" w:tplc="F93C00C6">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C24FE5"/>
    <w:multiLevelType w:val="hybridMultilevel"/>
    <w:tmpl w:val="8B5CDD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86C3E03"/>
    <w:multiLevelType w:val="hybridMultilevel"/>
    <w:tmpl w:val="54A841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D169C2"/>
    <w:multiLevelType w:val="hybridMultilevel"/>
    <w:tmpl w:val="05E0B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AC6662"/>
    <w:multiLevelType w:val="hybridMultilevel"/>
    <w:tmpl w:val="D56E99B2"/>
    <w:lvl w:ilvl="0" w:tplc="DD468972">
      <w:start w:val="1"/>
      <w:numFmt w:val="decimal"/>
      <w:pStyle w:val="Normalwithnumbering"/>
      <w:lvlText w:val="%1"/>
      <w:lvlJc w:val="left"/>
      <w:pPr>
        <w:ind w:left="360" w:hanging="360"/>
      </w:pPr>
      <w:rPr>
        <w:rFonts w:hint="default"/>
        <w:b w:val="0"/>
        <w:i w:val="0"/>
        <w:color w:val="auto"/>
      </w:rPr>
    </w:lvl>
    <w:lvl w:ilvl="1" w:tplc="0809000B">
      <w:start w:val="1"/>
      <w:numFmt w:val="bullet"/>
      <w:lvlText w:val=""/>
      <w:lvlJc w:val="left"/>
      <w:pPr>
        <w:ind w:left="-5170" w:hanging="360"/>
      </w:pPr>
      <w:rPr>
        <w:rFonts w:ascii="Wingdings" w:hAnsi="Wingdings" w:hint="default"/>
        <w:b w:val="0"/>
        <w:bCs w:val="0"/>
      </w:rPr>
    </w:lvl>
    <w:lvl w:ilvl="2" w:tplc="48C6689C">
      <w:start w:val="1"/>
      <w:numFmt w:val="lowerRoman"/>
      <w:lvlText w:val="%3."/>
      <w:lvlJc w:val="right"/>
      <w:pPr>
        <w:ind w:left="-3653" w:hanging="180"/>
      </w:pPr>
      <w:rPr>
        <w:b w:val="0"/>
        <w:bCs w:val="0"/>
        <w:i/>
        <w:iCs/>
      </w:rPr>
    </w:lvl>
    <w:lvl w:ilvl="3" w:tplc="0809000F" w:tentative="1">
      <w:start w:val="1"/>
      <w:numFmt w:val="decimal"/>
      <w:lvlText w:val="%4."/>
      <w:lvlJc w:val="left"/>
      <w:pPr>
        <w:ind w:left="-2933" w:hanging="360"/>
      </w:pPr>
    </w:lvl>
    <w:lvl w:ilvl="4" w:tplc="08090019" w:tentative="1">
      <w:start w:val="1"/>
      <w:numFmt w:val="lowerLetter"/>
      <w:lvlText w:val="%5."/>
      <w:lvlJc w:val="left"/>
      <w:pPr>
        <w:ind w:left="-2213" w:hanging="360"/>
      </w:pPr>
    </w:lvl>
    <w:lvl w:ilvl="5" w:tplc="0809001B" w:tentative="1">
      <w:start w:val="1"/>
      <w:numFmt w:val="lowerRoman"/>
      <w:lvlText w:val="%6."/>
      <w:lvlJc w:val="right"/>
      <w:pPr>
        <w:ind w:left="-1493" w:hanging="180"/>
      </w:pPr>
    </w:lvl>
    <w:lvl w:ilvl="6" w:tplc="0809000F" w:tentative="1">
      <w:start w:val="1"/>
      <w:numFmt w:val="decimal"/>
      <w:lvlText w:val="%7."/>
      <w:lvlJc w:val="left"/>
      <w:pPr>
        <w:ind w:left="-773" w:hanging="360"/>
      </w:pPr>
    </w:lvl>
    <w:lvl w:ilvl="7" w:tplc="08090019" w:tentative="1">
      <w:start w:val="1"/>
      <w:numFmt w:val="lowerLetter"/>
      <w:lvlText w:val="%8."/>
      <w:lvlJc w:val="left"/>
      <w:pPr>
        <w:ind w:left="-53" w:hanging="360"/>
      </w:pPr>
    </w:lvl>
    <w:lvl w:ilvl="8" w:tplc="0809001B" w:tentative="1">
      <w:start w:val="1"/>
      <w:numFmt w:val="lowerRoman"/>
      <w:lvlText w:val="%9."/>
      <w:lvlJc w:val="right"/>
      <w:pPr>
        <w:ind w:left="667" w:hanging="180"/>
      </w:pPr>
    </w:lvl>
  </w:abstractNum>
  <w:abstractNum w:abstractNumId="8" w15:restartNumberingAfterBreak="0">
    <w:nsid w:val="177231F1"/>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7931CA"/>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89C4EEE"/>
    <w:multiLevelType w:val="hybridMultilevel"/>
    <w:tmpl w:val="738A1A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8A51EEF"/>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E83B2A"/>
    <w:multiLevelType w:val="hybridMultilevel"/>
    <w:tmpl w:val="66F8A78E"/>
    <w:lvl w:ilvl="0" w:tplc="08090017">
      <w:start w:val="1"/>
      <w:numFmt w:val="lowerLetter"/>
      <w:lvlText w:val="%1)"/>
      <w:lvlJc w:val="left"/>
      <w:pPr>
        <w:ind w:left="1636" w:hanging="360"/>
      </w:pPr>
      <w:rPr>
        <w:rFonts w:hint="default"/>
        <w:b w:val="0"/>
        <w:i w:val="0"/>
        <w:color w:val="auto"/>
      </w:rPr>
    </w:lvl>
    <w:lvl w:ilvl="1" w:tplc="FFFFFFFF">
      <w:start w:val="1"/>
      <w:numFmt w:val="lowerLetter"/>
      <w:lvlText w:val="%2."/>
      <w:lvlJc w:val="left"/>
      <w:pPr>
        <w:ind w:left="2094" w:hanging="360"/>
      </w:pPr>
      <w:rPr>
        <w:rFonts w:ascii="Times New Roman" w:hAnsi="Times New Roman" w:cs="Times New Roman" w:hint="default"/>
      </w:rPr>
    </w:lvl>
    <w:lvl w:ilvl="2" w:tplc="FFFFFFFF">
      <w:start w:val="1"/>
      <w:numFmt w:val="lowerRoman"/>
      <w:lvlText w:val="%3."/>
      <w:lvlJc w:val="right"/>
      <w:pPr>
        <w:ind w:left="2814" w:hanging="180"/>
      </w:pPr>
    </w:lvl>
    <w:lvl w:ilvl="3" w:tplc="FFFFFFFF" w:tentative="1">
      <w:start w:val="1"/>
      <w:numFmt w:val="decimal"/>
      <w:lvlText w:val="%4."/>
      <w:lvlJc w:val="left"/>
      <w:pPr>
        <w:ind w:left="3534" w:hanging="360"/>
      </w:pPr>
    </w:lvl>
    <w:lvl w:ilvl="4" w:tplc="FFFFFFFF" w:tentative="1">
      <w:start w:val="1"/>
      <w:numFmt w:val="lowerLetter"/>
      <w:lvlText w:val="%5."/>
      <w:lvlJc w:val="left"/>
      <w:pPr>
        <w:ind w:left="4254" w:hanging="360"/>
      </w:pPr>
    </w:lvl>
    <w:lvl w:ilvl="5" w:tplc="FFFFFFFF" w:tentative="1">
      <w:start w:val="1"/>
      <w:numFmt w:val="lowerRoman"/>
      <w:lvlText w:val="%6."/>
      <w:lvlJc w:val="right"/>
      <w:pPr>
        <w:ind w:left="4974" w:hanging="180"/>
      </w:pPr>
    </w:lvl>
    <w:lvl w:ilvl="6" w:tplc="FFFFFFFF" w:tentative="1">
      <w:start w:val="1"/>
      <w:numFmt w:val="decimal"/>
      <w:lvlText w:val="%7."/>
      <w:lvlJc w:val="left"/>
      <w:pPr>
        <w:ind w:left="5694" w:hanging="360"/>
      </w:pPr>
    </w:lvl>
    <w:lvl w:ilvl="7" w:tplc="FFFFFFFF" w:tentative="1">
      <w:start w:val="1"/>
      <w:numFmt w:val="lowerLetter"/>
      <w:lvlText w:val="%8."/>
      <w:lvlJc w:val="left"/>
      <w:pPr>
        <w:ind w:left="6414" w:hanging="360"/>
      </w:pPr>
    </w:lvl>
    <w:lvl w:ilvl="8" w:tplc="FFFFFFFF" w:tentative="1">
      <w:start w:val="1"/>
      <w:numFmt w:val="lowerRoman"/>
      <w:lvlText w:val="%9."/>
      <w:lvlJc w:val="right"/>
      <w:pPr>
        <w:ind w:left="7134" w:hanging="180"/>
      </w:pPr>
    </w:lvl>
  </w:abstractNum>
  <w:abstractNum w:abstractNumId="13" w15:restartNumberingAfterBreak="0">
    <w:nsid w:val="1CFE643B"/>
    <w:multiLevelType w:val="hybridMultilevel"/>
    <w:tmpl w:val="D6C6FD84"/>
    <w:lvl w:ilvl="0" w:tplc="BF6622A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3871A6C"/>
    <w:multiLevelType w:val="hybridMultilevel"/>
    <w:tmpl w:val="991AE07E"/>
    <w:lvl w:ilvl="0" w:tplc="0809000F">
      <w:start w:val="1"/>
      <w:numFmt w:val="decimal"/>
      <w:lvlText w:val="%1."/>
      <w:lvlJc w:val="left"/>
      <w:pPr>
        <w:ind w:left="4330"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3D438C"/>
    <w:multiLevelType w:val="hybridMultilevel"/>
    <w:tmpl w:val="0D4A11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856345B"/>
    <w:multiLevelType w:val="hybridMultilevel"/>
    <w:tmpl w:val="9AE61A7C"/>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2A8B4517"/>
    <w:multiLevelType w:val="hybridMultilevel"/>
    <w:tmpl w:val="15221AD6"/>
    <w:lvl w:ilvl="0" w:tplc="0809000F">
      <w:start w:val="1"/>
      <w:numFmt w:val="decimal"/>
      <w:lvlText w:val="%1."/>
      <w:lvlJc w:val="left"/>
      <w:pPr>
        <w:ind w:left="1636" w:hanging="360"/>
      </w:pPr>
      <w:rPr>
        <w:rFonts w:hint="default"/>
        <w:b w:val="0"/>
        <w:i w:val="0"/>
        <w:color w:val="auto"/>
      </w:rPr>
    </w:lvl>
    <w:lvl w:ilvl="1" w:tplc="0C0EF0EE">
      <w:start w:val="1"/>
      <w:numFmt w:val="lowerLetter"/>
      <w:lvlText w:val="%2."/>
      <w:lvlJc w:val="left"/>
      <w:pPr>
        <w:ind w:left="2094" w:hanging="360"/>
      </w:pPr>
      <w:rPr>
        <w:rFonts w:ascii="Times New Roman" w:hAnsi="Times New Roman" w:cs="Times New Roman" w:hint="default"/>
      </w:rPr>
    </w:lvl>
    <w:lvl w:ilvl="2" w:tplc="0809001B">
      <w:start w:val="1"/>
      <w:numFmt w:val="lowerRoman"/>
      <w:lvlText w:val="%3."/>
      <w:lvlJc w:val="right"/>
      <w:pPr>
        <w:ind w:left="2814" w:hanging="180"/>
      </w:pPr>
    </w:lvl>
    <w:lvl w:ilvl="3" w:tplc="0809000F" w:tentative="1">
      <w:start w:val="1"/>
      <w:numFmt w:val="decimal"/>
      <w:lvlText w:val="%4."/>
      <w:lvlJc w:val="left"/>
      <w:pPr>
        <w:ind w:left="3534" w:hanging="360"/>
      </w:pPr>
    </w:lvl>
    <w:lvl w:ilvl="4" w:tplc="08090019" w:tentative="1">
      <w:start w:val="1"/>
      <w:numFmt w:val="lowerLetter"/>
      <w:lvlText w:val="%5."/>
      <w:lvlJc w:val="left"/>
      <w:pPr>
        <w:ind w:left="4254" w:hanging="360"/>
      </w:pPr>
    </w:lvl>
    <w:lvl w:ilvl="5" w:tplc="0809001B" w:tentative="1">
      <w:start w:val="1"/>
      <w:numFmt w:val="lowerRoman"/>
      <w:lvlText w:val="%6."/>
      <w:lvlJc w:val="right"/>
      <w:pPr>
        <w:ind w:left="4974" w:hanging="180"/>
      </w:pPr>
    </w:lvl>
    <w:lvl w:ilvl="6" w:tplc="0809000F" w:tentative="1">
      <w:start w:val="1"/>
      <w:numFmt w:val="decimal"/>
      <w:lvlText w:val="%7."/>
      <w:lvlJc w:val="left"/>
      <w:pPr>
        <w:ind w:left="5694" w:hanging="360"/>
      </w:pPr>
    </w:lvl>
    <w:lvl w:ilvl="7" w:tplc="08090019" w:tentative="1">
      <w:start w:val="1"/>
      <w:numFmt w:val="lowerLetter"/>
      <w:lvlText w:val="%8."/>
      <w:lvlJc w:val="left"/>
      <w:pPr>
        <w:ind w:left="6414" w:hanging="360"/>
      </w:pPr>
    </w:lvl>
    <w:lvl w:ilvl="8" w:tplc="0809001B" w:tentative="1">
      <w:start w:val="1"/>
      <w:numFmt w:val="lowerRoman"/>
      <w:lvlText w:val="%9."/>
      <w:lvlJc w:val="right"/>
      <w:pPr>
        <w:ind w:left="7134" w:hanging="180"/>
      </w:pPr>
    </w:lvl>
  </w:abstractNum>
  <w:abstractNum w:abstractNumId="18" w15:restartNumberingAfterBreak="0">
    <w:nsid w:val="2BA34D21"/>
    <w:multiLevelType w:val="hybridMultilevel"/>
    <w:tmpl w:val="6D6C445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299531B"/>
    <w:multiLevelType w:val="hybridMultilevel"/>
    <w:tmpl w:val="78B4F24C"/>
    <w:lvl w:ilvl="0" w:tplc="07CEDC62">
      <w:start w:val="1"/>
      <w:numFmt w:val="decimal"/>
      <w:lvlText w:val="%1."/>
      <w:lvlJc w:val="left"/>
      <w:pPr>
        <w:ind w:left="2716" w:hanging="360"/>
      </w:pPr>
      <w:rPr>
        <w:rFonts w:hint="default"/>
        <w:b w:val="0"/>
      </w:rPr>
    </w:lvl>
    <w:lvl w:ilvl="1" w:tplc="08090019">
      <w:start w:val="1"/>
      <w:numFmt w:val="lowerLetter"/>
      <w:lvlText w:val="%2."/>
      <w:lvlJc w:val="left"/>
      <w:pPr>
        <w:ind w:left="2094" w:hanging="360"/>
      </w:pPr>
      <w:rPr>
        <w:rFonts w:hint="default"/>
      </w:rPr>
    </w:lvl>
    <w:lvl w:ilvl="2" w:tplc="0809001B">
      <w:start w:val="1"/>
      <w:numFmt w:val="lowerRoman"/>
      <w:lvlText w:val="%3."/>
      <w:lvlJc w:val="right"/>
      <w:pPr>
        <w:ind w:left="2814" w:hanging="180"/>
      </w:pPr>
    </w:lvl>
    <w:lvl w:ilvl="3" w:tplc="0809000F" w:tentative="1">
      <w:start w:val="1"/>
      <w:numFmt w:val="decimal"/>
      <w:lvlText w:val="%4."/>
      <w:lvlJc w:val="left"/>
      <w:pPr>
        <w:ind w:left="3534" w:hanging="360"/>
      </w:pPr>
    </w:lvl>
    <w:lvl w:ilvl="4" w:tplc="08090019" w:tentative="1">
      <w:start w:val="1"/>
      <w:numFmt w:val="lowerLetter"/>
      <w:lvlText w:val="%5."/>
      <w:lvlJc w:val="left"/>
      <w:pPr>
        <w:ind w:left="4254" w:hanging="360"/>
      </w:pPr>
    </w:lvl>
    <w:lvl w:ilvl="5" w:tplc="0809001B" w:tentative="1">
      <w:start w:val="1"/>
      <w:numFmt w:val="lowerRoman"/>
      <w:lvlText w:val="%6."/>
      <w:lvlJc w:val="right"/>
      <w:pPr>
        <w:ind w:left="4974" w:hanging="180"/>
      </w:pPr>
    </w:lvl>
    <w:lvl w:ilvl="6" w:tplc="0809000F" w:tentative="1">
      <w:start w:val="1"/>
      <w:numFmt w:val="decimal"/>
      <w:lvlText w:val="%7."/>
      <w:lvlJc w:val="left"/>
      <w:pPr>
        <w:ind w:left="5694" w:hanging="360"/>
      </w:pPr>
    </w:lvl>
    <w:lvl w:ilvl="7" w:tplc="08090019" w:tentative="1">
      <w:start w:val="1"/>
      <w:numFmt w:val="lowerLetter"/>
      <w:lvlText w:val="%8."/>
      <w:lvlJc w:val="left"/>
      <w:pPr>
        <w:ind w:left="6414" w:hanging="360"/>
      </w:pPr>
    </w:lvl>
    <w:lvl w:ilvl="8" w:tplc="0809001B" w:tentative="1">
      <w:start w:val="1"/>
      <w:numFmt w:val="lowerRoman"/>
      <w:lvlText w:val="%9."/>
      <w:lvlJc w:val="right"/>
      <w:pPr>
        <w:ind w:left="7134" w:hanging="180"/>
      </w:pPr>
    </w:lvl>
  </w:abstractNum>
  <w:abstractNum w:abstractNumId="20" w15:restartNumberingAfterBreak="0">
    <w:nsid w:val="34E03095"/>
    <w:multiLevelType w:val="hybridMultilevel"/>
    <w:tmpl w:val="3E42C5D2"/>
    <w:lvl w:ilvl="0" w:tplc="B554D88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E86206"/>
    <w:multiLevelType w:val="hybridMultilevel"/>
    <w:tmpl w:val="99B8B5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094336"/>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EC35AC"/>
    <w:multiLevelType w:val="hybridMultilevel"/>
    <w:tmpl w:val="9F30842C"/>
    <w:lvl w:ilvl="0" w:tplc="6F58F30C">
      <w:start w:val="1"/>
      <w:numFmt w:val="decimal"/>
      <w:lvlText w:val="%1."/>
      <w:lvlJc w:val="left"/>
      <w:pPr>
        <w:ind w:left="720" w:hanging="360"/>
      </w:pPr>
      <w:rPr>
        <w:rFonts w:ascii="Arial" w:hAnsi="Arial" w:cs="Arial" w:hint="default"/>
        <w:b w:val="0"/>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3372F1"/>
    <w:multiLevelType w:val="hybridMultilevel"/>
    <w:tmpl w:val="D3F87D88"/>
    <w:lvl w:ilvl="0" w:tplc="0809000F">
      <w:start w:val="1"/>
      <w:numFmt w:val="decimal"/>
      <w:lvlText w:val="%1."/>
      <w:lvlJc w:val="left"/>
      <w:pPr>
        <w:ind w:left="720" w:hanging="360"/>
      </w:pPr>
      <w:rPr>
        <w:rFonts w:hint="default"/>
        <w:b w:val="0"/>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1005B6"/>
    <w:multiLevelType w:val="hybridMultilevel"/>
    <w:tmpl w:val="918C3BA8"/>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3A420D8"/>
    <w:multiLevelType w:val="hybridMultilevel"/>
    <w:tmpl w:val="15221AD6"/>
    <w:lvl w:ilvl="0" w:tplc="FFFFFFFF">
      <w:start w:val="1"/>
      <w:numFmt w:val="decimal"/>
      <w:lvlText w:val="%1."/>
      <w:lvlJc w:val="left"/>
      <w:pPr>
        <w:ind w:left="1636" w:hanging="360"/>
      </w:pPr>
      <w:rPr>
        <w:rFonts w:hint="default"/>
        <w:b w:val="0"/>
        <w:i w:val="0"/>
        <w:color w:val="auto"/>
      </w:rPr>
    </w:lvl>
    <w:lvl w:ilvl="1" w:tplc="FFFFFFFF">
      <w:start w:val="1"/>
      <w:numFmt w:val="lowerLetter"/>
      <w:lvlText w:val="%2."/>
      <w:lvlJc w:val="left"/>
      <w:pPr>
        <w:ind w:left="2094" w:hanging="360"/>
      </w:pPr>
      <w:rPr>
        <w:rFonts w:ascii="Times New Roman" w:hAnsi="Times New Roman" w:cs="Times New Roman" w:hint="default"/>
      </w:rPr>
    </w:lvl>
    <w:lvl w:ilvl="2" w:tplc="FFFFFFFF">
      <w:start w:val="1"/>
      <w:numFmt w:val="lowerRoman"/>
      <w:lvlText w:val="%3."/>
      <w:lvlJc w:val="right"/>
      <w:pPr>
        <w:ind w:left="2814" w:hanging="180"/>
      </w:pPr>
    </w:lvl>
    <w:lvl w:ilvl="3" w:tplc="FFFFFFFF" w:tentative="1">
      <w:start w:val="1"/>
      <w:numFmt w:val="decimal"/>
      <w:lvlText w:val="%4."/>
      <w:lvlJc w:val="left"/>
      <w:pPr>
        <w:ind w:left="3534" w:hanging="360"/>
      </w:pPr>
    </w:lvl>
    <w:lvl w:ilvl="4" w:tplc="FFFFFFFF" w:tentative="1">
      <w:start w:val="1"/>
      <w:numFmt w:val="lowerLetter"/>
      <w:lvlText w:val="%5."/>
      <w:lvlJc w:val="left"/>
      <w:pPr>
        <w:ind w:left="4254" w:hanging="360"/>
      </w:pPr>
    </w:lvl>
    <w:lvl w:ilvl="5" w:tplc="FFFFFFFF" w:tentative="1">
      <w:start w:val="1"/>
      <w:numFmt w:val="lowerRoman"/>
      <w:lvlText w:val="%6."/>
      <w:lvlJc w:val="right"/>
      <w:pPr>
        <w:ind w:left="4974" w:hanging="180"/>
      </w:pPr>
    </w:lvl>
    <w:lvl w:ilvl="6" w:tplc="FFFFFFFF" w:tentative="1">
      <w:start w:val="1"/>
      <w:numFmt w:val="decimal"/>
      <w:lvlText w:val="%7."/>
      <w:lvlJc w:val="left"/>
      <w:pPr>
        <w:ind w:left="5694" w:hanging="360"/>
      </w:pPr>
    </w:lvl>
    <w:lvl w:ilvl="7" w:tplc="FFFFFFFF" w:tentative="1">
      <w:start w:val="1"/>
      <w:numFmt w:val="lowerLetter"/>
      <w:lvlText w:val="%8."/>
      <w:lvlJc w:val="left"/>
      <w:pPr>
        <w:ind w:left="6414" w:hanging="360"/>
      </w:pPr>
    </w:lvl>
    <w:lvl w:ilvl="8" w:tplc="FFFFFFFF" w:tentative="1">
      <w:start w:val="1"/>
      <w:numFmt w:val="lowerRoman"/>
      <w:lvlText w:val="%9."/>
      <w:lvlJc w:val="right"/>
      <w:pPr>
        <w:ind w:left="7134" w:hanging="180"/>
      </w:pPr>
    </w:lvl>
  </w:abstractNum>
  <w:abstractNum w:abstractNumId="27" w15:restartNumberingAfterBreak="0">
    <w:nsid w:val="45AD4469"/>
    <w:multiLevelType w:val="hybridMultilevel"/>
    <w:tmpl w:val="5B900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FD6ADA"/>
    <w:multiLevelType w:val="hybridMultilevel"/>
    <w:tmpl w:val="43381A72"/>
    <w:lvl w:ilvl="0" w:tplc="0809000F">
      <w:start w:val="1"/>
      <w:numFmt w:val="decimal"/>
      <w:lvlText w:val="%1."/>
      <w:lvlJc w:val="left"/>
      <w:pPr>
        <w:ind w:left="2062" w:hanging="360"/>
      </w:pPr>
      <w:rPr>
        <w:rFonts w:hint="default"/>
      </w:rPr>
    </w:lvl>
    <w:lvl w:ilvl="1" w:tplc="08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C1202FD"/>
    <w:multiLevelType w:val="hybridMultilevel"/>
    <w:tmpl w:val="ADD2C9A6"/>
    <w:lvl w:ilvl="0" w:tplc="08090019">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243926"/>
    <w:multiLevelType w:val="hybridMultilevel"/>
    <w:tmpl w:val="85FA59AC"/>
    <w:lvl w:ilvl="0" w:tplc="0809000F">
      <w:start w:val="1"/>
      <w:numFmt w:val="decimal"/>
      <w:lvlText w:val="%1."/>
      <w:lvlJc w:val="left"/>
      <w:pPr>
        <w:ind w:left="720" w:hanging="360"/>
      </w:pPr>
      <w:rPr>
        <w:rFonts w:hint="default"/>
      </w:rPr>
    </w:lvl>
    <w:lvl w:ilvl="1" w:tplc="B554D886">
      <w:numFmt w:val="bullet"/>
      <w:lvlText w:val="-"/>
      <w:lvlJc w:val="left"/>
      <w:pPr>
        <w:ind w:left="1440" w:hanging="360"/>
      </w:pPr>
      <w:rPr>
        <w:rFonts w:ascii="Calibri" w:eastAsiaTheme="minorHAnsi" w:hAnsi="Calibri" w:cs="Calibri" w:hint="default"/>
      </w:rPr>
    </w:lvl>
    <w:lvl w:ilvl="2" w:tplc="B554D886">
      <w:numFmt w:val="bullet"/>
      <w:lvlText w:val="-"/>
      <w:lvlJc w:val="left"/>
      <w:pPr>
        <w:ind w:left="2340" w:hanging="360"/>
      </w:pPr>
      <w:rPr>
        <w:rFonts w:ascii="Calibri" w:eastAsiaTheme="minorHAnsi" w:hAnsi="Calibri" w:cs="Calibr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CA21F82"/>
    <w:multiLevelType w:val="hybridMultilevel"/>
    <w:tmpl w:val="F15AB992"/>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4E777DC6"/>
    <w:multiLevelType w:val="hybridMultilevel"/>
    <w:tmpl w:val="BCC66FAA"/>
    <w:lvl w:ilvl="0" w:tplc="0809000F">
      <w:start w:val="1"/>
      <w:numFmt w:val="decimal"/>
      <w:lvlText w:val="%1."/>
      <w:lvlJc w:val="left"/>
      <w:pPr>
        <w:ind w:left="720" w:hanging="360"/>
      </w:pPr>
      <w:rPr>
        <w:rFonts w:hint="default"/>
      </w:rPr>
    </w:lvl>
    <w:lvl w:ilvl="1" w:tplc="F93C00C6">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7F08E4FC">
      <w:start w:val="99"/>
      <w:numFmt w:val="decimal"/>
      <w:lvlText w:val="%4"/>
      <w:lvlJc w:val="left"/>
      <w:pPr>
        <w:ind w:left="2880" w:hanging="360"/>
      </w:pPr>
      <w:rPr>
        <w:rFonts w:hint="default"/>
      </w:rPr>
    </w:lvl>
    <w:lvl w:ilvl="4" w:tplc="3AB0C65C">
      <w:start w:val="1"/>
      <w:numFmt w:val="lowerRoman"/>
      <w:lvlText w:val="%5)"/>
      <w:lvlJc w:val="left"/>
      <w:pPr>
        <w:ind w:left="3960" w:hanging="72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EF30DF1"/>
    <w:multiLevelType w:val="hybridMultilevel"/>
    <w:tmpl w:val="95BE37A4"/>
    <w:lvl w:ilvl="0" w:tplc="B2366634">
      <w:start w:val="1"/>
      <w:numFmt w:val="upperRoman"/>
      <w:pStyle w:val="Nummerierungsart3"/>
      <w:lvlText w:val="%1."/>
      <w:lvlJc w:val="left"/>
      <w:pPr>
        <w:tabs>
          <w:tab w:val="num" w:pos="357"/>
        </w:tabs>
        <w:ind w:left="357" w:hanging="357"/>
      </w:pPr>
      <w:rPr>
        <w:rFonts w:cs="Times New Roman" w:hint="default"/>
      </w:rPr>
    </w:lvl>
    <w:lvl w:ilvl="1" w:tplc="04070003" w:tentative="1">
      <w:start w:val="1"/>
      <w:numFmt w:val="lowerLetter"/>
      <w:lvlText w:val="%2."/>
      <w:lvlJc w:val="left"/>
      <w:pPr>
        <w:tabs>
          <w:tab w:val="num" w:pos="1440"/>
        </w:tabs>
        <w:ind w:left="1440" w:hanging="360"/>
      </w:pPr>
      <w:rPr>
        <w:rFonts w:cs="Times New Roman"/>
      </w:rPr>
    </w:lvl>
    <w:lvl w:ilvl="2" w:tplc="04070005" w:tentative="1">
      <w:start w:val="1"/>
      <w:numFmt w:val="lowerRoman"/>
      <w:lvlText w:val="%3."/>
      <w:lvlJc w:val="right"/>
      <w:pPr>
        <w:tabs>
          <w:tab w:val="num" w:pos="2160"/>
        </w:tabs>
        <w:ind w:left="2160" w:hanging="180"/>
      </w:pPr>
      <w:rPr>
        <w:rFonts w:cs="Times New Roman"/>
      </w:rPr>
    </w:lvl>
    <w:lvl w:ilvl="3" w:tplc="04070001" w:tentative="1">
      <w:start w:val="1"/>
      <w:numFmt w:val="decimal"/>
      <w:lvlText w:val="%4."/>
      <w:lvlJc w:val="left"/>
      <w:pPr>
        <w:tabs>
          <w:tab w:val="num" w:pos="2880"/>
        </w:tabs>
        <w:ind w:left="2880" w:hanging="360"/>
      </w:pPr>
      <w:rPr>
        <w:rFonts w:cs="Times New Roman"/>
      </w:rPr>
    </w:lvl>
    <w:lvl w:ilvl="4" w:tplc="04070003" w:tentative="1">
      <w:start w:val="1"/>
      <w:numFmt w:val="lowerLetter"/>
      <w:lvlText w:val="%5."/>
      <w:lvlJc w:val="left"/>
      <w:pPr>
        <w:tabs>
          <w:tab w:val="num" w:pos="3600"/>
        </w:tabs>
        <w:ind w:left="3600" w:hanging="360"/>
      </w:pPr>
      <w:rPr>
        <w:rFonts w:cs="Times New Roman"/>
      </w:rPr>
    </w:lvl>
    <w:lvl w:ilvl="5" w:tplc="04070005" w:tentative="1">
      <w:start w:val="1"/>
      <w:numFmt w:val="lowerRoman"/>
      <w:lvlText w:val="%6."/>
      <w:lvlJc w:val="right"/>
      <w:pPr>
        <w:tabs>
          <w:tab w:val="num" w:pos="4320"/>
        </w:tabs>
        <w:ind w:left="4320" w:hanging="180"/>
      </w:pPr>
      <w:rPr>
        <w:rFonts w:cs="Times New Roman"/>
      </w:rPr>
    </w:lvl>
    <w:lvl w:ilvl="6" w:tplc="04070001" w:tentative="1">
      <w:start w:val="1"/>
      <w:numFmt w:val="decimal"/>
      <w:lvlText w:val="%7."/>
      <w:lvlJc w:val="left"/>
      <w:pPr>
        <w:tabs>
          <w:tab w:val="num" w:pos="5040"/>
        </w:tabs>
        <w:ind w:left="5040" w:hanging="360"/>
      </w:pPr>
      <w:rPr>
        <w:rFonts w:cs="Times New Roman"/>
      </w:rPr>
    </w:lvl>
    <w:lvl w:ilvl="7" w:tplc="04070003" w:tentative="1">
      <w:start w:val="1"/>
      <w:numFmt w:val="lowerLetter"/>
      <w:lvlText w:val="%8."/>
      <w:lvlJc w:val="left"/>
      <w:pPr>
        <w:tabs>
          <w:tab w:val="num" w:pos="5760"/>
        </w:tabs>
        <w:ind w:left="5760" w:hanging="360"/>
      </w:pPr>
      <w:rPr>
        <w:rFonts w:cs="Times New Roman"/>
      </w:rPr>
    </w:lvl>
    <w:lvl w:ilvl="8" w:tplc="04070005" w:tentative="1">
      <w:start w:val="1"/>
      <w:numFmt w:val="lowerRoman"/>
      <w:lvlText w:val="%9."/>
      <w:lvlJc w:val="right"/>
      <w:pPr>
        <w:tabs>
          <w:tab w:val="num" w:pos="6480"/>
        </w:tabs>
        <w:ind w:left="6480" w:hanging="180"/>
      </w:pPr>
      <w:rPr>
        <w:rFonts w:cs="Times New Roman"/>
      </w:rPr>
    </w:lvl>
  </w:abstractNum>
  <w:abstractNum w:abstractNumId="34" w15:restartNumberingAfterBreak="0">
    <w:nsid w:val="50227369"/>
    <w:multiLevelType w:val="hybridMultilevel"/>
    <w:tmpl w:val="BEFEBC26"/>
    <w:lvl w:ilvl="0" w:tplc="24A2AC34">
      <w:start w:val="1"/>
      <w:numFmt w:val="decimal"/>
      <w:pStyle w:val="numberedparagraph"/>
      <w:lvlText w:val="%1."/>
      <w:lvlJc w:val="left"/>
      <w:pPr>
        <w:tabs>
          <w:tab w:val="num" w:pos="284"/>
        </w:tabs>
        <w:ind w:left="284" w:hanging="284"/>
      </w:pPr>
      <w:rPr>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BB713F"/>
    <w:multiLevelType w:val="hybridMultilevel"/>
    <w:tmpl w:val="ADD2C9A6"/>
    <w:lvl w:ilvl="0" w:tplc="08090019">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51010A2"/>
    <w:multiLevelType w:val="hybridMultilevel"/>
    <w:tmpl w:val="AC48D1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7E635F"/>
    <w:multiLevelType w:val="hybridMultilevel"/>
    <w:tmpl w:val="1A966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6C75F93"/>
    <w:multiLevelType w:val="hybridMultilevel"/>
    <w:tmpl w:val="2EA4A9EE"/>
    <w:lvl w:ilvl="0" w:tplc="19764D92">
      <w:start w:val="5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39" w15:restartNumberingAfterBreak="0">
    <w:nsid w:val="56E142CF"/>
    <w:multiLevelType w:val="hybridMultilevel"/>
    <w:tmpl w:val="880A65D8"/>
    <w:lvl w:ilvl="0" w:tplc="0809000F">
      <w:start w:val="1"/>
      <w:numFmt w:val="decimal"/>
      <w:lvlText w:val="%1."/>
      <w:lvlJc w:val="left"/>
      <w:pPr>
        <w:ind w:left="720" w:hanging="360"/>
      </w:pPr>
      <w:rPr>
        <w:rFonts w:hint="default"/>
      </w:rPr>
    </w:lvl>
    <w:lvl w:ilvl="1" w:tplc="08090019">
      <w:start w:val="1"/>
      <w:numFmt w:val="lowerLetter"/>
      <w:lvlText w:val="%2."/>
      <w:lvlJc w:val="left"/>
      <w:pPr>
        <w:ind w:left="1353"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85F7F4F"/>
    <w:multiLevelType w:val="hybridMultilevel"/>
    <w:tmpl w:val="AA8A14A4"/>
    <w:lvl w:ilvl="0" w:tplc="8996BD0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1" w15:restartNumberingAfterBreak="0">
    <w:nsid w:val="593751D2"/>
    <w:multiLevelType w:val="hybridMultilevel"/>
    <w:tmpl w:val="604808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CD06362"/>
    <w:multiLevelType w:val="hybridMultilevel"/>
    <w:tmpl w:val="B7D60816"/>
    <w:lvl w:ilvl="0" w:tplc="F93C00C6">
      <w:start w:val="1"/>
      <w:numFmt w:val="bullet"/>
      <w:lvlText w:val=""/>
      <w:lvlJc w:val="left"/>
      <w:pPr>
        <w:ind w:left="1440" w:hanging="360"/>
      </w:pPr>
      <w:rPr>
        <w:rFonts w:ascii="Symbol" w:hAnsi="Symbol"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62615E36"/>
    <w:multiLevelType w:val="hybridMultilevel"/>
    <w:tmpl w:val="0AD62A2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95E0E68"/>
    <w:multiLevelType w:val="hybridMultilevel"/>
    <w:tmpl w:val="2D3A99B4"/>
    <w:lvl w:ilvl="0" w:tplc="280A5820">
      <w:start w:val="33"/>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45" w15:restartNumberingAfterBreak="0">
    <w:nsid w:val="6CF07B68"/>
    <w:multiLevelType w:val="hybridMultilevel"/>
    <w:tmpl w:val="155A83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0FE190D"/>
    <w:multiLevelType w:val="hybridMultilevel"/>
    <w:tmpl w:val="739E15CE"/>
    <w:lvl w:ilvl="0" w:tplc="F93C00C6">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71395C18"/>
    <w:multiLevelType w:val="hybridMultilevel"/>
    <w:tmpl w:val="A4B89E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1D36B3D"/>
    <w:multiLevelType w:val="hybridMultilevel"/>
    <w:tmpl w:val="85300E36"/>
    <w:lvl w:ilvl="0" w:tplc="0809000F">
      <w:start w:val="1"/>
      <w:numFmt w:val="decimal"/>
      <w:lvlText w:val="%1."/>
      <w:lvlJc w:val="left"/>
      <w:pPr>
        <w:ind w:left="720" w:hanging="360"/>
      </w:pPr>
      <w:rPr>
        <w:rFonts w:hint="default"/>
        <w:b w:val="0"/>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44C46B0"/>
    <w:multiLevelType w:val="hybridMultilevel"/>
    <w:tmpl w:val="B17EE07C"/>
    <w:lvl w:ilvl="0" w:tplc="FFFFFFFF">
      <w:start w:val="1"/>
      <w:numFmt w:val="decimal"/>
      <w:lvlText w:val="%1."/>
      <w:lvlJc w:val="left"/>
      <w:pPr>
        <w:ind w:left="1636" w:hanging="360"/>
      </w:pPr>
      <w:rPr>
        <w:rFonts w:ascii="Arial" w:hAnsi="Arial" w:cs="Arial" w:hint="default"/>
        <w:b w:val="0"/>
        <w:i w:val="0"/>
        <w:color w:val="auto"/>
      </w:rPr>
    </w:lvl>
    <w:lvl w:ilvl="1" w:tplc="FFFFFFFF">
      <w:start w:val="1"/>
      <w:numFmt w:val="lowerLetter"/>
      <w:lvlText w:val="%2."/>
      <w:lvlJc w:val="left"/>
      <w:pPr>
        <w:ind w:left="2094" w:hanging="360"/>
      </w:pPr>
      <w:rPr>
        <w:rFonts w:ascii="Times New Roman" w:hAnsi="Times New Roman" w:cs="Times New Roman" w:hint="default"/>
      </w:rPr>
    </w:lvl>
    <w:lvl w:ilvl="2" w:tplc="FFFFFFFF">
      <w:start w:val="1"/>
      <w:numFmt w:val="lowerRoman"/>
      <w:lvlText w:val="%3."/>
      <w:lvlJc w:val="right"/>
      <w:pPr>
        <w:ind w:left="2814" w:hanging="180"/>
      </w:pPr>
    </w:lvl>
    <w:lvl w:ilvl="3" w:tplc="FFFFFFFF" w:tentative="1">
      <w:start w:val="1"/>
      <w:numFmt w:val="decimal"/>
      <w:lvlText w:val="%4."/>
      <w:lvlJc w:val="left"/>
      <w:pPr>
        <w:ind w:left="3534" w:hanging="360"/>
      </w:pPr>
    </w:lvl>
    <w:lvl w:ilvl="4" w:tplc="FFFFFFFF" w:tentative="1">
      <w:start w:val="1"/>
      <w:numFmt w:val="lowerLetter"/>
      <w:lvlText w:val="%5."/>
      <w:lvlJc w:val="left"/>
      <w:pPr>
        <w:ind w:left="4254" w:hanging="360"/>
      </w:pPr>
    </w:lvl>
    <w:lvl w:ilvl="5" w:tplc="FFFFFFFF" w:tentative="1">
      <w:start w:val="1"/>
      <w:numFmt w:val="lowerRoman"/>
      <w:lvlText w:val="%6."/>
      <w:lvlJc w:val="right"/>
      <w:pPr>
        <w:ind w:left="4974" w:hanging="180"/>
      </w:pPr>
    </w:lvl>
    <w:lvl w:ilvl="6" w:tplc="FFFFFFFF" w:tentative="1">
      <w:start w:val="1"/>
      <w:numFmt w:val="decimal"/>
      <w:lvlText w:val="%7."/>
      <w:lvlJc w:val="left"/>
      <w:pPr>
        <w:ind w:left="5694" w:hanging="360"/>
      </w:pPr>
    </w:lvl>
    <w:lvl w:ilvl="7" w:tplc="FFFFFFFF" w:tentative="1">
      <w:start w:val="1"/>
      <w:numFmt w:val="lowerLetter"/>
      <w:lvlText w:val="%8."/>
      <w:lvlJc w:val="left"/>
      <w:pPr>
        <w:ind w:left="6414" w:hanging="360"/>
      </w:pPr>
    </w:lvl>
    <w:lvl w:ilvl="8" w:tplc="FFFFFFFF" w:tentative="1">
      <w:start w:val="1"/>
      <w:numFmt w:val="lowerRoman"/>
      <w:lvlText w:val="%9."/>
      <w:lvlJc w:val="right"/>
      <w:pPr>
        <w:ind w:left="7134" w:hanging="180"/>
      </w:pPr>
    </w:lvl>
  </w:abstractNum>
  <w:abstractNum w:abstractNumId="50" w15:restartNumberingAfterBreak="0">
    <w:nsid w:val="7C3A010D"/>
    <w:multiLevelType w:val="hybridMultilevel"/>
    <w:tmpl w:val="0B6EF89A"/>
    <w:lvl w:ilvl="0" w:tplc="FFFFFFFF">
      <w:start w:val="1"/>
      <w:numFmt w:val="decimal"/>
      <w:lvlText w:val="%1."/>
      <w:lvlJc w:val="left"/>
      <w:pPr>
        <w:ind w:left="1636" w:hanging="360"/>
      </w:pPr>
      <w:rPr>
        <w:rFonts w:hint="default"/>
        <w:b w:val="0"/>
        <w:i w:val="0"/>
        <w:color w:val="auto"/>
      </w:rPr>
    </w:lvl>
    <w:lvl w:ilvl="1" w:tplc="FFFFFFFF">
      <w:start w:val="1"/>
      <w:numFmt w:val="lowerLetter"/>
      <w:lvlText w:val="%2."/>
      <w:lvlJc w:val="left"/>
      <w:pPr>
        <w:ind w:left="2094" w:hanging="360"/>
      </w:pPr>
      <w:rPr>
        <w:rFonts w:ascii="Times New Roman" w:hAnsi="Times New Roman" w:cs="Times New Roman" w:hint="default"/>
      </w:rPr>
    </w:lvl>
    <w:lvl w:ilvl="2" w:tplc="FFFFFFFF">
      <w:start w:val="1"/>
      <w:numFmt w:val="lowerRoman"/>
      <w:lvlText w:val="%3."/>
      <w:lvlJc w:val="right"/>
      <w:pPr>
        <w:ind w:left="2814" w:hanging="180"/>
      </w:pPr>
    </w:lvl>
    <w:lvl w:ilvl="3" w:tplc="FFFFFFFF" w:tentative="1">
      <w:start w:val="1"/>
      <w:numFmt w:val="decimal"/>
      <w:lvlText w:val="%4."/>
      <w:lvlJc w:val="left"/>
      <w:pPr>
        <w:ind w:left="3534" w:hanging="360"/>
      </w:pPr>
    </w:lvl>
    <w:lvl w:ilvl="4" w:tplc="FFFFFFFF" w:tentative="1">
      <w:start w:val="1"/>
      <w:numFmt w:val="lowerLetter"/>
      <w:lvlText w:val="%5."/>
      <w:lvlJc w:val="left"/>
      <w:pPr>
        <w:ind w:left="4254" w:hanging="360"/>
      </w:pPr>
    </w:lvl>
    <w:lvl w:ilvl="5" w:tplc="FFFFFFFF" w:tentative="1">
      <w:start w:val="1"/>
      <w:numFmt w:val="lowerRoman"/>
      <w:lvlText w:val="%6."/>
      <w:lvlJc w:val="right"/>
      <w:pPr>
        <w:ind w:left="4974" w:hanging="180"/>
      </w:pPr>
    </w:lvl>
    <w:lvl w:ilvl="6" w:tplc="FFFFFFFF" w:tentative="1">
      <w:start w:val="1"/>
      <w:numFmt w:val="decimal"/>
      <w:lvlText w:val="%7."/>
      <w:lvlJc w:val="left"/>
      <w:pPr>
        <w:ind w:left="5694" w:hanging="360"/>
      </w:pPr>
    </w:lvl>
    <w:lvl w:ilvl="7" w:tplc="FFFFFFFF" w:tentative="1">
      <w:start w:val="1"/>
      <w:numFmt w:val="lowerLetter"/>
      <w:lvlText w:val="%8."/>
      <w:lvlJc w:val="left"/>
      <w:pPr>
        <w:ind w:left="6414" w:hanging="360"/>
      </w:pPr>
    </w:lvl>
    <w:lvl w:ilvl="8" w:tplc="FFFFFFFF" w:tentative="1">
      <w:start w:val="1"/>
      <w:numFmt w:val="lowerRoman"/>
      <w:lvlText w:val="%9."/>
      <w:lvlJc w:val="right"/>
      <w:pPr>
        <w:ind w:left="7134" w:hanging="180"/>
      </w:pPr>
    </w:lvl>
  </w:abstractNum>
  <w:num w:numId="1" w16cid:durableId="1069233821">
    <w:abstractNumId w:val="39"/>
  </w:num>
  <w:num w:numId="2" w16cid:durableId="184827208">
    <w:abstractNumId w:val="17"/>
  </w:num>
  <w:num w:numId="3" w16cid:durableId="395663333">
    <w:abstractNumId w:val="18"/>
  </w:num>
  <w:num w:numId="4" w16cid:durableId="305739611">
    <w:abstractNumId w:val="42"/>
  </w:num>
  <w:num w:numId="5" w16cid:durableId="819886200">
    <w:abstractNumId w:val="3"/>
  </w:num>
  <w:num w:numId="6" w16cid:durableId="10570793">
    <w:abstractNumId w:val="30"/>
  </w:num>
  <w:num w:numId="7" w16cid:durableId="228805581">
    <w:abstractNumId w:val="32"/>
  </w:num>
  <w:num w:numId="8" w16cid:durableId="1734348592">
    <w:abstractNumId w:val="14"/>
  </w:num>
  <w:num w:numId="9" w16cid:durableId="1768767903">
    <w:abstractNumId w:val="46"/>
  </w:num>
  <w:num w:numId="10" w16cid:durableId="1347292593">
    <w:abstractNumId w:val="25"/>
  </w:num>
  <w:num w:numId="11" w16cid:durableId="692220141">
    <w:abstractNumId w:val="1"/>
  </w:num>
  <w:num w:numId="12" w16cid:durableId="637076031">
    <w:abstractNumId w:val="29"/>
  </w:num>
  <w:num w:numId="13" w16cid:durableId="1588615353">
    <w:abstractNumId w:val="35"/>
  </w:num>
  <w:num w:numId="14" w16cid:durableId="1070731566">
    <w:abstractNumId w:val="11"/>
  </w:num>
  <w:num w:numId="15" w16cid:durableId="1761020639">
    <w:abstractNumId w:val="8"/>
  </w:num>
  <w:num w:numId="16" w16cid:durableId="1459227335">
    <w:abstractNumId w:val="28"/>
  </w:num>
  <w:num w:numId="17" w16cid:durableId="1231690610">
    <w:abstractNumId w:val="22"/>
  </w:num>
  <w:num w:numId="18" w16cid:durableId="1007097524">
    <w:abstractNumId w:val="9"/>
  </w:num>
  <w:num w:numId="19" w16cid:durableId="1106387787">
    <w:abstractNumId w:val="44"/>
  </w:num>
  <w:num w:numId="20" w16cid:durableId="173111650">
    <w:abstractNumId w:val="38"/>
  </w:num>
  <w:num w:numId="21" w16cid:durableId="977152638">
    <w:abstractNumId w:val="19"/>
  </w:num>
  <w:num w:numId="22" w16cid:durableId="450171291">
    <w:abstractNumId w:val="20"/>
  </w:num>
  <w:num w:numId="23" w16cid:durableId="17316929">
    <w:abstractNumId w:val="43"/>
  </w:num>
  <w:num w:numId="24" w16cid:durableId="665396665">
    <w:abstractNumId w:val="27"/>
  </w:num>
  <w:num w:numId="25" w16cid:durableId="1318146969">
    <w:abstractNumId w:val="49"/>
  </w:num>
  <w:num w:numId="26" w16cid:durableId="445273961">
    <w:abstractNumId w:val="34"/>
  </w:num>
  <w:num w:numId="27" w16cid:durableId="892430582">
    <w:abstractNumId w:val="40"/>
  </w:num>
  <w:num w:numId="28" w16cid:durableId="603922540">
    <w:abstractNumId w:val="13"/>
  </w:num>
  <w:num w:numId="29" w16cid:durableId="478115587">
    <w:abstractNumId w:val="34"/>
  </w:num>
  <w:num w:numId="30" w16cid:durableId="182013551">
    <w:abstractNumId w:val="34"/>
  </w:num>
  <w:num w:numId="31" w16cid:durableId="1366372681">
    <w:abstractNumId w:val="33"/>
  </w:num>
  <w:num w:numId="32" w16cid:durableId="83840423">
    <w:abstractNumId w:val="6"/>
  </w:num>
  <w:num w:numId="33" w16cid:durableId="1889409937">
    <w:abstractNumId w:val="7"/>
  </w:num>
  <w:num w:numId="34" w16cid:durableId="1808013644">
    <w:abstractNumId w:val="23"/>
  </w:num>
  <w:num w:numId="35" w16cid:durableId="1328902631">
    <w:abstractNumId w:val="5"/>
  </w:num>
  <w:num w:numId="36" w16cid:durableId="451898691">
    <w:abstractNumId w:val="4"/>
  </w:num>
  <w:num w:numId="37" w16cid:durableId="783036277">
    <w:abstractNumId w:val="41"/>
  </w:num>
  <w:num w:numId="38" w16cid:durableId="1437405764">
    <w:abstractNumId w:val="0"/>
  </w:num>
  <w:num w:numId="39" w16cid:durableId="1117409494">
    <w:abstractNumId w:val="47"/>
  </w:num>
  <w:num w:numId="40" w16cid:durableId="1634214304">
    <w:abstractNumId w:val="21"/>
  </w:num>
  <w:num w:numId="41" w16cid:durableId="906691378">
    <w:abstractNumId w:val="36"/>
  </w:num>
  <w:num w:numId="42" w16cid:durableId="531576138">
    <w:abstractNumId w:val="10"/>
  </w:num>
  <w:num w:numId="43" w16cid:durableId="1974021627">
    <w:abstractNumId w:val="15"/>
  </w:num>
  <w:num w:numId="44" w16cid:durableId="1325234709">
    <w:abstractNumId w:val="37"/>
  </w:num>
  <w:num w:numId="45" w16cid:durableId="233903414">
    <w:abstractNumId w:val="45"/>
  </w:num>
  <w:num w:numId="46" w16cid:durableId="1808468107">
    <w:abstractNumId w:val="48"/>
  </w:num>
  <w:num w:numId="47" w16cid:durableId="1891064145">
    <w:abstractNumId w:val="24"/>
  </w:num>
  <w:num w:numId="48" w16cid:durableId="1401441293">
    <w:abstractNumId w:val="31"/>
  </w:num>
  <w:num w:numId="49" w16cid:durableId="1632977918">
    <w:abstractNumId w:val="16"/>
  </w:num>
  <w:num w:numId="50" w16cid:durableId="1552576141">
    <w:abstractNumId w:val="2"/>
  </w:num>
  <w:num w:numId="51" w16cid:durableId="254442173">
    <w:abstractNumId w:val="50"/>
  </w:num>
  <w:num w:numId="52" w16cid:durableId="1359354353">
    <w:abstractNumId w:val="34"/>
  </w:num>
  <w:num w:numId="53" w16cid:durableId="476268088">
    <w:abstractNumId w:val="34"/>
  </w:num>
  <w:num w:numId="54" w16cid:durableId="1794866108">
    <w:abstractNumId w:val="12"/>
  </w:num>
  <w:num w:numId="55" w16cid:durableId="923952710">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ctiveWritingStyle w:appName="MSWord" w:lang="fr-FR" w:vendorID="64" w:dllVersion="6" w:nlCheck="1" w:checkStyle="0"/>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fr-FR" w:vendorID="64" w:dllVersion="0" w:nlCheck="1" w:checkStyle="0"/>
  <w:activeWritingStyle w:appName="MSWord" w:lang="en-US" w:vendorID="64" w:dllVersion="6" w:nlCheck="1" w:checkStyle="1"/>
  <w:activeWritingStyle w:appName="MSWord" w:lang="it-IT" w:vendorID="64" w:dllVersion="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D10EAE"/>
    <w:rsid w:val="0000109F"/>
    <w:rsid w:val="000012A5"/>
    <w:rsid w:val="000014D1"/>
    <w:rsid w:val="0000260A"/>
    <w:rsid w:val="000027B7"/>
    <w:rsid w:val="00002F06"/>
    <w:rsid w:val="00005B49"/>
    <w:rsid w:val="000066EB"/>
    <w:rsid w:val="00007DAD"/>
    <w:rsid w:val="00010C6D"/>
    <w:rsid w:val="0001109A"/>
    <w:rsid w:val="00012030"/>
    <w:rsid w:val="00012396"/>
    <w:rsid w:val="00012A80"/>
    <w:rsid w:val="00013004"/>
    <w:rsid w:val="0001466A"/>
    <w:rsid w:val="000146EF"/>
    <w:rsid w:val="000155A1"/>
    <w:rsid w:val="0001671E"/>
    <w:rsid w:val="00022C8F"/>
    <w:rsid w:val="00023823"/>
    <w:rsid w:val="000238E5"/>
    <w:rsid w:val="000255C8"/>
    <w:rsid w:val="000258B3"/>
    <w:rsid w:val="00025B86"/>
    <w:rsid w:val="00026445"/>
    <w:rsid w:val="000272DB"/>
    <w:rsid w:val="00027852"/>
    <w:rsid w:val="000327D3"/>
    <w:rsid w:val="00032A9C"/>
    <w:rsid w:val="00032EA8"/>
    <w:rsid w:val="0003425D"/>
    <w:rsid w:val="00035492"/>
    <w:rsid w:val="000366AA"/>
    <w:rsid w:val="00037B82"/>
    <w:rsid w:val="000408F0"/>
    <w:rsid w:val="00040C76"/>
    <w:rsid w:val="0004167E"/>
    <w:rsid w:val="000425E5"/>
    <w:rsid w:val="00042B45"/>
    <w:rsid w:val="0004338A"/>
    <w:rsid w:val="00043B6E"/>
    <w:rsid w:val="00043CB1"/>
    <w:rsid w:val="0004469D"/>
    <w:rsid w:val="00044E87"/>
    <w:rsid w:val="00045655"/>
    <w:rsid w:val="00046593"/>
    <w:rsid w:val="00047449"/>
    <w:rsid w:val="00047CF9"/>
    <w:rsid w:val="000500D5"/>
    <w:rsid w:val="0005257A"/>
    <w:rsid w:val="000526D8"/>
    <w:rsid w:val="000526EE"/>
    <w:rsid w:val="00054541"/>
    <w:rsid w:val="00057195"/>
    <w:rsid w:val="000574F1"/>
    <w:rsid w:val="000579DB"/>
    <w:rsid w:val="00057FB4"/>
    <w:rsid w:val="000601AE"/>
    <w:rsid w:val="00061653"/>
    <w:rsid w:val="00061B1D"/>
    <w:rsid w:val="00066A65"/>
    <w:rsid w:val="00066B1A"/>
    <w:rsid w:val="00066E5C"/>
    <w:rsid w:val="00070136"/>
    <w:rsid w:val="000702CD"/>
    <w:rsid w:val="0007066C"/>
    <w:rsid w:val="0007071F"/>
    <w:rsid w:val="00072E86"/>
    <w:rsid w:val="000732FD"/>
    <w:rsid w:val="0007506D"/>
    <w:rsid w:val="00075209"/>
    <w:rsid w:val="000757A9"/>
    <w:rsid w:val="00076437"/>
    <w:rsid w:val="00077465"/>
    <w:rsid w:val="00080043"/>
    <w:rsid w:val="0008070F"/>
    <w:rsid w:val="00081716"/>
    <w:rsid w:val="00082112"/>
    <w:rsid w:val="00083B4B"/>
    <w:rsid w:val="00083B59"/>
    <w:rsid w:val="00085ADC"/>
    <w:rsid w:val="000867DB"/>
    <w:rsid w:val="00086C98"/>
    <w:rsid w:val="00087E56"/>
    <w:rsid w:val="00091D2D"/>
    <w:rsid w:val="000924B0"/>
    <w:rsid w:val="00092656"/>
    <w:rsid w:val="00092C74"/>
    <w:rsid w:val="000938DA"/>
    <w:rsid w:val="00096287"/>
    <w:rsid w:val="00096663"/>
    <w:rsid w:val="00096B0B"/>
    <w:rsid w:val="00096E7C"/>
    <w:rsid w:val="00097082"/>
    <w:rsid w:val="0009757D"/>
    <w:rsid w:val="000A0E77"/>
    <w:rsid w:val="000A20E0"/>
    <w:rsid w:val="000A3D55"/>
    <w:rsid w:val="000A464C"/>
    <w:rsid w:val="000A4F46"/>
    <w:rsid w:val="000A6AF1"/>
    <w:rsid w:val="000A6BD6"/>
    <w:rsid w:val="000A7021"/>
    <w:rsid w:val="000B0D79"/>
    <w:rsid w:val="000B21E2"/>
    <w:rsid w:val="000B2A91"/>
    <w:rsid w:val="000B2FEB"/>
    <w:rsid w:val="000B32E4"/>
    <w:rsid w:val="000B4FF7"/>
    <w:rsid w:val="000B62D9"/>
    <w:rsid w:val="000B6705"/>
    <w:rsid w:val="000B6F1D"/>
    <w:rsid w:val="000B74BC"/>
    <w:rsid w:val="000C5C3D"/>
    <w:rsid w:val="000C6488"/>
    <w:rsid w:val="000C68A3"/>
    <w:rsid w:val="000C6F32"/>
    <w:rsid w:val="000C6F4E"/>
    <w:rsid w:val="000D1753"/>
    <w:rsid w:val="000D204C"/>
    <w:rsid w:val="000D2AD4"/>
    <w:rsid w:val="000D2D92"/>
    <w:rsid w:val="000D44F6"/>
    <w:rsid w:val="000D4B00"/>
    <w:rsid w:val="000D4B4F"/>
    <w:rsid w:val="000D627B"/>
    <w:rsid w:val="000D6608"/>
    <w:rsid w:val="000E0207"/>
    <w:rsid w:val="000E02CC"/>
    <w:rsid w:val="000E2365"/>
    <w:rsid w:val="000E2EFA"/>
    <w:rsid w:val="000E3A4E"/>
    <w:rsid w:val="000E400C"/>
    <w:rsid w:val="000E6383"/>
    <w:rsid w:val="000F03EC"/>
    <w:rsid w:val="000F1E09"/>
    <w:rsid w:val="000F2903"/>
    <w:rsid w:val="000F2A04"/>
    <w:rsid w:val="000F37A4"/>
    <w:rsid w:val="000F3F14"/>
    <w:rsid w:val="000F6613"/>
    <w:rsid w:val="00101BCC"/>
    <w:rsid w:val="0010263E"/>
    <w:rsid w:val="00103D7A"/>
    <w:rsid w:val="00104493"/>
    <w:rsid w:val="00105214"/>
    <w:rsid w:val="00105481"/>
    <w:rsid w:val="0010569E"/>
    <w:rsid w:val="00105D66"/>
    <w:rsid w:val="0010733C"/>
    <w:rsid w:val="00107708"/>
    <w:rsid w:val="00111506"/>
    <w:rsid w:val="00111E1E"/>
    <w:rsid w:val="0011236B"/>
    <w:rsid w:val="001123BD"/>
    <w:rsid w:val="00112896"/>
    <w:rsid w:val="00112A59"/>
    <w:rsid w:val="00112DEC"/>
    <w:rsid w:val="001144A9"/>
    <w:rsid w:val="00114B09"/>
    <w:rsid w:val="00117002"/>
    <w:rsid w:val="001173BC"/>
    <w:rsid w:val="001201D0"/>
    <w:rsid w:val="001216AC"/>
    <w:rsid w:val="00123CAC"/>
    <w:rsid w:val="00123E12"/>
    <w:rsid w:val="00124C2A"/>
    <w:rsid w:val="001268AB"/>
    <w:rsid w:val="00126DDA"/>
    <w:rsid w:val="00127CC7"/>
    <w:rsid w:val="00130750"/>
    <w:rsid w:val="00133013"/>
    <w:rsid w:val="001336F0"/>
    <w:rsid w:val="001350D4"/>
    <w:rsid w:val="00135811"/>
    <w:rsid w:val="00135BDA"/>
    <w:rsid w:val="001377C0"/>
    <w:rsid w:val="001402F4"/>
    <w:rsid w:val="00140753"/>
    <w:rsid w:val="00142801"/>
    <w:rsid w:val="00142B95"/>
    <w:rsid w:val="0014357E"/>
    <w:rsid w:val="0014455D"/>
    <w:rsid w:val="00145BBE"/>
    <w:rsid w:val="00145CD2"/>
    <w:rsid w:val="00146B11"/>
    <w:rsid w:val="0014763D"/>
    <w:rsid w:val="00151A1B"/>
    <w:rsid w:val="00151C0B"/>
    <w:rsid w:val="00152751"/>
    <w:rsid w:val="001527C1"/>
    <w:rsid w:val="00152B26"/>
    <w:rsid w:val="00154049"/>
    <w:rsid w:val="00154BCF"/>
    <w:rsid w:val="00155070"/>
    <w:rsid w:val="00155A46"/>
    <w:rsid w:val="001564AA"/>
    <w:rsid w:val="0015654B"/>
    <w:rsid w:val="0015662F"/>
    <w:rsid w:val="00156DF2"/>
    <w:rsid w:val="00160897"/>
    <w:rsid w:val="00162DAA"/>
    <w:rsid w:val="001630BE"/>
    <w:rsid w:val="001630DE"/>
    <w:rsid w:val="00165A1F"/>
    <w:rsid w:val="00165C9A"/>
    <w:rsid w:val="00166AC2"/>
    <w:rsid w:val="00167B4E"/>
    <w:rsid w:val="00167E4F"/>
    <w:rsid w:val="00172CF3"/>
    <w:rsid w:val="00173513"/>
    <w:rsid w:val="00173E4A"/>
    <w:rsid w:val="00174CA4"/>
    <w:rsid w:val="001766BC"/>
    <w:rsid w:val="001802F8"/>
    <w:rsid w:val="00180AC3"/>
    <w:rsid w:val="00180C55"/>
    <w:rsid w:val="0018186A"/>
    <w:rsid w:val="00184821"/>
    <w:rsid w:val="00184AD5"/>
    <w:rsid w:val="00184D0F"/>
    <w:rsid w:val="00185322"/>
    <w:rsid w:val="001900D4"/>
    <w:rsid w:val="0019019A"/>
    <w:rsid w:val="00190476"/>
    <w:rsid w:val="00190CE2"/>
    <w:rsid w:val="001917A0"/>
    <w:rsid w:val="001920C5"/>
    <w:rsid w:val="00192899"/>
    <w:rsid w:val="0019404A"/>
    <w:rsid w:val="00194EFB"/>
    <w:rsid w:val="00195240"/>
    <w:rsid w:val="001972F4"/>
    <w:rsid w:val="0019734C"/>
    <w:rsid w:val="001A09CD"/>
    <w:rsid w:val="001A324B"/>
    <w:rsid w:val="001A3FF1"/>
    <w:rsid w:val="001A463C"/>
    <w:rsid w:val="001A4833"/>
    <w:rsid w:val="001A501B"/>
    <w:rsid w:val="001A6E10"/>
    <w:rsid w:val="001B0A50"/>
    <w:rsid w:val="001B12F7"/>
    <w:rsid w:val="001B24A8"/>
    <w:rsid w:val="001B2CA1"/>
    <w:rsid w:val="001B55B7"/>
    <w:rsid w:val="001B5886"/>
    <w:rsid w:val="001B6C42"/>
    <w:rsid w:val="001B7805"/>
    <w:rsid w:val="001C1243"/>
    <w:rsid w:val="001C3A02"/>
    <w:rsid w:val="001C7DE3"/>
    <w:rsid w:val="001D06F5"/>
    <w:rsid w:val="001D2739"/>
    <w:rsid w:val="001D2BDE"/>
    <w:rsid w:val="001D3B7D"/>
    <w:rsid w:val="001D463E"/>
    <w:rsid w:val="001D523C"/>
    <w:rsid w:val="001D5D08"/>
    <w:rsid w:val="001D6E21"/>
    <w:rsid w:val="001D7034"/>
    <w:rsid w:val="001E1007"/>
    <w:rsid w:val="001E1C6D"/>
    <w:rsid w:val="001E210F"/>
    <w:rsid w:val="001E3D7F"/>
    <w:rsid w:val="001E43C2"/>
    <w:rsid w:val="001E6340"/>
    <w:rsid w:val="001E6BE8"/>
    <w:rsid w:val="001F083C"/>
    <w:rsid w:val="001F0941"/>
    <w:rsid w:val="001F2D5A"/>
    <w:rsid w:val="001F40E1"/>
    <w:rsid w:val="001F4D2D"/>
    <w:rsid w:val="001F5136"/>
    <w:rsid w:val="001F5413"/>
    <w:rsid w:val="001F578E"/>
    <w:rsid w:val="001F6E46"/>
    <w:rsid w:val="001F7185"/>
    <w:rsid w:val="001F7A43"/>
    <w:rsid w:val="00201530"/>
    <w:rsid w:val="002020DD"/>
    <w:rsid w:val="00202ACD"/>
    <w:rsid w:val="0020369B"/>
    <w:rsid w:val="00203BC8"/>
    <w:rsid w:val="00203CA9"/>
    <w:rsid w:val="0020560D"/>
    <w:rsid w:val="00205C84"/>
    <w:rsid w:val="00207332"/>
    <w:rsid w:val="00207848"/>
    <w:rsid w:val="00207D7E"/>
    <w:rsid w:val="00210483"/>
    <w:rsid w:val="002117C7"/>
    <w:rsid w:val="00213310"/>
    <w:rsid w:val="0021472D"/>
    <w:rsid w:val="00214EC8"/>
    <w:rsid w:val="00214F7D"/>
    <w:rsid w:val="0021535A"/>
    <w:rsid w:val="00215CEA"/>
    <w:rsid w:val="00215E97"/>
    <w:rsid w:val="00216BD5"/>
    <w:rsid w:val="00216E2F"/>
    <w:rsid w:val="0022252E"/>
    <w:rsid w:val="002232AA"/>
    <w:rsid w:val="0022395C"/>
    <w:rsid w:val="0022395E"/>
    <w:rsid w:val="00224842"/>
    <w:rsid w:val="00225339"/>
    <w:rsid w:val="00226BBE"/>
    <w:rsid w:val="00226EC6"/>
    <w:rsid w:val="0022709F"/>
    <w:rsid w:val="00230257"/>
    <w:rsid w:val="002314BD"/>
    <w:rsid w:val="002334F7"/>
    <w:rsid w:val="00233587"/>
    <w:rsid w:val="002338A9"/>
    <w:rsid w:val="00235159"/>
    <w:rsid w:val="002379C4"/>
    <w:rsid w:val="002434B4"/>
    <w:rsid w:val="002435D2"/>
    <w:rsid w:val="0024471A"/>
    <w:rsid w:val="002449BB"/>
    <w:rsid w:val="0024541C"/>
    <w:rsid w:val="00245ED1"/>
    <w:rsid w:val="00246162"/>
    <w:rsid w:val="002471C5"/>
    <w:rsid w:val="00247703"/>
    <w:rsid w:val="002477BE"/>
    <w:rsid w:val="0024782B"/>
    <w:rsid w:val="00247A59"/>
    <w:rsid w:val="002513FE"/>
    <w:rsid w:val="00252DDC"/>
    <w:rsid w:val="00252DEB"/>
    <w:rsid w:val="00253DFC"/>
    <w:rsid w:val="00254646"/>
    <w:rsid w:val="00256B89"/>
    <w:rsid w:val="00256F15"/>
    <w:rsid w:val="00257AFC"/>
    <w:rsid w:val="002613E7"/>
    <w:rsid w:val="00262036"/>
    <w:rsid w:val="002640DE"/>
    <w:rsid w:val="00266CA7"/>
    <w:rsid w:val="00270862"/>
    <w:rsid w:val="00271286"/>
    <w:rsid w:val="002713A3"/>
    <w:rsid w:val="00271522"/>
    <w:rsid w:val="00271777"/>
    <w:rsid w:val="0027263F"/>
    <w:rsid w:val="00273B2F"/>
    <w:rsid w:val="00274D7E"/>
    <w:rsid w:val="0027622D"/>
    <w:rsid w:val="0027687A"/>
    <w:rsid w:val="00276ED0"/>
    <w:rsid w:val="00281309"/>
    <w:rsid w:val="0028157B"/>
    <w:rsid w:val="00281609"/>
    <w:rsid w:val="00281961"/>
    <w:rsid w:val="002833DA"/>
    <w:rsid w:val="0028343E"/>
    <w:rsid w:val="00284DC2"/>
    <w:rsid w:val="00285949"/>
    <w:rsid w:val="00285D68"/>
    <w:rsid w:val="0028676D"/>
    <w:rsid w:val="00286C85"/>
    <w:rsid w:val="00291C8C"/>
    <w:rsid w:val="00294752"/>
    <w:rsid w:val="00294CDE"/>
    <w:rsid w:val="002952A5"/>
    <w:rsid w:val="00295FA5"/>
    <w:rsid w:val="0029759D"/>
    <w:rsid w:val="00297A5D"/>
    <w:rsid w:val="002A4090"/>
    <w:rsid w:val="002A4158"/>
    <w:rsid w:val="002A48F1"/>
    <w:rsid w:val="002A5B75"/>
    <w:rsid w:val="002B06E9"/>
    <w:rsid w:val="002B3BB6"/>
    <w:rsid w:val="002B3C4B"/>
    <w:rsid w:val="002B48D6"/>
    <w:rsid w:val="002B4DC1"/>
    <w:rsid w:val="002B51AD"/>
    <w:rsid w:val="002B7380"/>
    <w:rsid w:val="002C08F6"/>
    <w:rsid w:val="002C143E"/>
    <w:rsid w:val="002C152D"/>
    <w:rsid w:val="002C1ADF"/>
    <w:rsid w:val="002C3887"/>
    <w:rsid w:val="002C3BBB"/>
    <w:rsid w:val="002C401D"/>
    <w:rsid w:val="002C41D0"/>
    <w:rsid w:val="002C452D"/>
    <w:rsid w:val="002C4DC7"/>
    <w:rsid w:val="002D0AE2"/>
    <w:rsid w:val="002D2178"/>
    <w:rsid w:val="002D283D"/>
    <w:rsid w:val="002D4088"/>
    <w:rsid w:val="002D43DF"/>
    <w:rsid w:val="002D4F65"/>
    <w:rsid w:val="002D526D"/>
    <w:rsid w:val="002E20DD"/>
    <w:rsid w:val="002E2883"/>
    <w:rsid w:val="002E2BF1"/>
    <w:rsid w:val="002E2ED5"/>
    <w:rsid w:val="002E3DB1"/>
    <w:rsid w:val="002E3FDC"/>
    <w:rsid w:val="002E46D4"/>
    <w:rsid w:val="002E4D2C"/>
    <w:rsid w:val="002E6402"/>
    <w:rsid w:val="002E7BE4"/>
    <w:rsid w:val="002F1C70"/>
    <w:rsid w:val="002F1D75"/>
    <w:rsid w:val="002F3BD0"/>
    <w:rsid w:val="002F3F81"/>
    <w:rsid w:val="002F51C2"/>
    <w:rsid w:val="002F5E33"/>
    <w:rsid w:val="002F6179"/>
    <w:rsid w:val="00300F8D"/>
    <w:rsid w:val="00303456"/>
    <w:rsid w:val="003046C4"/>
    <w:rsid w:val="0030518A"/>
    <w:rsid w:val="0030519C"/>
    <w:rsid w:val="00305F73"/>
    <w:rsid w:val="00310ABE"/>
    <w:rsid w:val="00311059"/>
    <w:rsid w:val="003111AD"/>
    <w:rsid w:val="00312C5E"/>
    <w:rsid w:val="00313806"/>
    <w:rsid w:val="003147F9"/>
    <w:rsid w:val="00314DF4"/>
    <w:rsid w:val="00316261"/>
    <w:rsid w:val="003164A3"/>
    <w:rsid w:val="0031679C"/>
    <w:rsid w:val="00317153"/>
    <w:rsid w:val="0031716D"/>
    <w:rsid w:val="00317AEF"/>
    <w:rsid w:val="00321075"/>
    <w:rsid w:val="00322B1C"/>
    <w:rsid w:val="003246ED"/>
    <w:rsid w:val="00324EE0"/>
    <w:rsid w:val="00326F8A"/>
    <w:rsid w:val="003308E0"/>
    <w:rsid w:val="00330A1D"/>
    <w:rsid w:val="00330E5A"/>
    <w:rsid w:val="00331035"/>
    <w:rsid w:val="003314F4"/>
    <w:rsid w:val="00331E30"/>
    <w:rsid w:val="003322D6"/>
    <w:rsid w:val="003334DA"/>
    <w:rsid w:val="00333F1C"/>
    <w:rsid w:val="00335FB6"/>
    <w:rsid w:val="003419E9"/>
    <w:rsid w:val="00341B0B"/>
    <w:rsid w:val="003420D8"/>
    <w:rsid w:val="0034395B"/>
    <w:rsid w:val="00343C0F"/>
    <w:rsid w:val="003446E3"/>
    <w:rsid w:val="00350B38"/>
    <w:rsid w:val="00351F0E"/>
    <w:rsid w:val="00352366"/>
    <w:rsid w:val="00352B25"/>
    <w:rsid w:val="00352F0A"/>
    <w:rsid w:val="00353AD7"/>
    <w:rsid w:val="00353FF0"/>
    <w:rsid w:val="00354AA1"/>
    <w:rsid w:val="0035542F"/>
    <w:rsid w:val="00357163"/>
    <w:rsid w:val="003574A3"/>
    <w:rsid w:val="00357F31"/>
    <w:rsid w:val="0036027D"/>
    <w:rsid w:val="00361270"/>
    <w:rsid w:val="0036139E"/>
    <w:rsid w:val="003614A3"/>
    <w:rsid w:val="00361F23"/>
    <w:rsid w:val="00361FB3"/>
    <w:rsid w:val="00362CD4"/>
    <w:rsid w:val="00364429"/>
    <w:rsid w:val="0036585E"/>
    <w:rsid w:val="003662A6"/>
    <w:rsid w:val="00367F4C"/>
    <w:rsid w:val="0037057D"/>
    <w:rsid w:val="00371040"/>
    <w:rsid w:val="00371249"/>
    <w:rsid w:val="00372274"/>
    <w:rsid w:val="00372654"/>
    <w:rsid w:val="00372ED5"/>
    <w:rsid w:val="003731CC"/>
    <w:rsid w:val="00373EAE"/>
    <w:rsid w:val="00375805"/>
    <w:rsid w:val="00376410"/>
    <w:rsid w:val="00376607"/>
    <w:rsid w:val="00376E62"/>
    <w:rsid w:val="00377CFC"/>
    <w:rsid w:val="003805D8"/>
    <w:rsid w:val="00380C4B"/>
    <w:rsid w:val="00380C6E"/>
    <w:rsid w:val="003815BB"/>
    <w:rsid w:val="00383526"/>
    <w:rsid w:val="003836CA"/>
    <w:rsid w:val="003848D9"/>
    <w:rsid w:val="0038722E"/>
    <w:rsid w:val="00390078"/>
    <w:rsid w:val="00390D2F"/>
    <w:rsid w:val="00390F05"/>
    <w:rsid w:val="00392C1B"/>
    <w:rsid w:val="003940D8"/>
    <w:rsid w:val="0039426D"/>
    <w:rsid w:val="0039479C"/>
    <w:rsid w:val="00397007"/>
    <w:rsid w:val="00397CBD"/>
    <w:rsid w:val="003A04CE"/>
    <w:rsid w:val="003A0816"/>
    <w:rsid w:val="003A08A6"/>
    <w:rsid w:val="003A0C75"/>
    <w:rsid w:val="003A12B6"/>
    <w:rsid w:val="003A1A18"/>
    <w:rsid w:val="003A1DB6"/>
    <w:rsid w:val="003A36DC"/>
    <w:rsid w:val="003A4A6F"/>
    <w:rsid w:val="003A50E3"/>
    <w:rsid w:val="003A5A9C"/>
    <w:rsid w:val="003A7A3E"/>
    <w:rsid w:val="003B25DC"/>
    <w:rsid w:val="003B37E2"/>
    <w:rsid w:val="003B3FA3"/>
    <w:rsid w:val="003B6320"/>
    <w:rsid w:val="003B6C69"/>
    <w:rsid w:val="003B7EC0"/>
    <w:rsid w:val="003C026E"/>
    <w:rsid w:val="003C11EF"/>
    <w:rsid w:val="003C1C6D"/>
    <w:rsid w:val="003C2ABD"/>
    <w:rsid w:val="003C2CEA"/>
    <w:rsid w:val="003C2D0C"/>
    <w:rsid w:val="003C301C"/>
    <w:rsid w:val="003C337E"/>
    <w:rsid w:val="003C3FD8"/>
    <w:rsid w:val="003C4978"/>
    <w:rsid w:val="003C4FD3"/>
    <w:rsid w:val="003C54DA"/>
    <w:rsid w:val="003C5DBF"/>
    <w:rsid w:val="003C5E99"/>
    <w:rsid w:val="003C6526"/>
    <w:rsid w:val="003C6C07"/>
    <w:rsid w:val="003C7AA8"/>
    <w:rsid w:val="003D1046"/>
    <w:rsid w:val="003D1904"/>
    <w:rsid w:val="003D1AA9"/>
    <w:rsid w:val="003D2946"/>
    <w:rsid w:val="003D2B66"/>
    <w:rsid w:val="003D2E18"/>
    <w:rsid w:val="003D2E72"/>
    <w:rsid w:val="003D337C"/>
    <w:rsid w:val="003D3658"/>
    <w:rsid w:val="003D3EB9"/>
    <w:rsid w:val="003D5EAA"/>
    <w:rsid w:val="003D6336"/>
    <w:rsid w:val="003D7A9F"/>
    <w:rsid w:val="003E09B7"/>
    <w:rsid w:val="003E0F2F"/>
    <w:rsid w:val="003E1C2A"/>
    <w:rsid w:val="003E3213"/>
    <w:rsid w:val="003E5530"/>
    <w:rsid w:val="003E63BB"/>
    <w:rsid w:val="003E663B"/>
    <w:rsid w:val="003F048A"/>
    <w:rsid w:val="003F1D0E"/>
    <w:rsid w:val="003F32C6"/>
    <w:rsid w:val="003F34CF"/>
    <w:rsid w:val="003F3E69"/>
    <w:rsid w:val="003F5F54"/>
    <w:rsid w:val="003F61D5"/>
    <w:rsid w:val="003F7F24"/>
    <w:rsid w:val="00403012"/>
    <w:rsid w:val="00405B75"/>
    <w:rsid w:val="004060A6"/>
    <w:rsid w:val="00406D46"/>
    <w:rsid w:val="00410439"/>
    <w:rsid w:val="00410AF6"/>
    <w:rsid w:val="00410E0D"/>
    <w:rsid w:val="004120E7"/>
    <w:rsid w:val="004123AD"/>
    <w:rsid w:val="00413148"/>
    <w:rsid w:val="004145D9"/>
    <w:rsid w:val="00414659"/>
    <w:rsid w:val="004157BE"/>
    <w:rsid w:val="00415F1F"/>
    <w:rsid w:val="00424A0F"/>
    <w:rsid w:val="00426550"/>
    <w:rsid w:val="00427D80"/>
    <w:rsid w:val="00430641"/>
    <w:rsid w:val="00430F45"/>
    <w:rsid w:val="00431692"/>
    <w:rsid w:val="00431D36"/>
    <w:rsid w:val="0043333E"/>
    <w:rsid w:val="0043347B"/>
    <w:rsid w:val="00433D86"/>
    <w:rsid w:val="00436219"/>
    <w:rsid w:val="004365BB"/>
    <w:rsid w:val="004369F4"/>
    <w:rsid w:val="00441A07"/>
    <w:rsid w:val="00441C99"/>
    <w:rsid w:val="00443562"/>
    <w:rsid w:val="0044462C"/>
    <w:rsid w:val="00445A36"/>
    <w:rsid w:val="00446C42"/>
    <w:rsid w:val="00447B45"/>
    <w:rsid w:val="004500F3"/>
    <w:rsid w:val="004511A7"/>
    <w:rsid w:val="00451F0E"/>
    <w:rsid w:val="0045284A"/>
    <w:rsid w:val="00453760"/>
    <w:rsid w:val="00454369"/>
    <w:rsid w:val="004556B4"/>
    <w:rsid w:val="00457198"/>
    <w:rsid w:val="0045782B"/>
    <w:rsid w:val="00460BD0"/>
    <w:rsid w:val="0046296F"/>
    <w:rsid w:val="0046327D"/>
    <w:rsid w:val="00464EC8"/>
    <w:rsid w:val="0046592B"/>
    <w:rsid w:val="00466CF6"/>
    <w:rsid w:val="00467505"/>
    <w:rsid w:val="00470FE9"/>
    <w:rsid w:val="004722F1"/>
    <w:rsid w:val="004729B2"/>
    <w:rsid w:val="0047312C"/>
    <w:rsid w:val="00474275"/>
    <w:rsid w:val="00474479"/>
    <w:rsid w:val="0047501C"/>
    <w:rsid w:val="0047502D"/>
    <w:rsid w:val="00475C0A"/>
    <w:rsid w:val="00476089"/>
    <w:rsid w:val="004779BF"/>
    <w:rsid w:val="0048127A"/>
    <w:rsid w:val="004815AD"/>
    <w:rsid w:val="004815ED"/>
    <w:rsid w:val="00481D9D"/>
    <w:rsid w:val="00481EE8"/>
    <w:rsid w:val="00481F8F"/>
    <w:rsid w:val="00482581"/>
    <w:rsid w:val="00484300"/>
    <w:rsid w:val="0048598E"/>
    <w:rsid w:val="00486B3D"/>
    <w:rsid w:val="00492F10"/>
    <w:rsid w:val="00492F42"/>
    <w:rsid w:val="00492F51"/>
    <w:rsid w:val="00494055"/>
    <w:rsid w:val="0049637B"/>
    <w:rsid w:val="00496F1E"/>
    <w:rsid w:val="004A01C5"/>
    <w:rsid w:val="004A02FF"/>
    <w:rsid w:val="004A0C9C"/>
    <w:rsid w:val="004A10E0"/>
    <w:rsid w:val="004A2072"/>
    <w:rsid w:val="004A210C"/>
    <w:rsid w:val="004A2998"/>
    <w:rsid w:val="004A34F0"/>
    <w:rsid w:val="004A3A41"/>
    <w:rsid w:val="004A3A4C"/>
    <w:rsid w:val="004A3FAD"/>
    <w:rsid w:val="004A4F38"/>
    <w:rsid w:val="004A53DC"/>
    <w:rsid w:val="004A55A0"/>
    <w:rsid w:val="004B1143"/>
    <w:rsid w:val="004B1C10"/>
    <w:rsid w:val="004B1E07"/>
    <w:rsid w:val="004B1EAB"/>
    <w:rsid w:val="004B27A4"/>
    <w:rsid w:val="004B40B6"/>
    <w:rsid w:val="004B5DAB"/>
    <w:rsid w:val="004B7359"/>
    <w:rsid w:val="004C1187"/>
    <w:rsid w:val="004C165D"/>
    <w:rsid w:val="004C2ADB"/>
    <w:rsid w:val="004C4721"/>
    <w:rsid w:val="004C4FA0"/>
    <w:rsid w:val="004C5619"/>
    <w:rsid w:val="004C6232"/>
    <w:rsid w:val="004C663F"/>
    <w:rsid w:val="004C66E7"/>
    <w:rsid w:val="004C702A"/>
    <w:rsid w:val="004D043D"/>
    <w:rsid w:val="004D0F18"/>
    <w:rsid w:val="004D17A0"/>
    <w:rsid w:val="004D1A6B"/>
    <w:rsid w:val="004D1BD0"/>
    <w:rsid w:val="004D1FBD"/>
    <w:rsid w:val="004D288F"/>
    <w:rsid w:val="004D457E"/>
    <w:rsid w:val="004D4DAE"/>
    <w:rsid w:val="004D5B83"/>
    <w:rsid w:val="004D5D6A"/>
    <w:rsid w:val="004D5FAD"/>
    <w:rsid w:val="004D6232"/>
    <w:rsid w:val="004D65D2"/>
    <w:rsid w:val="004D70A1"/>
    <w:rsid w:val="004D7AD0"/>
    <w:rsid w:val="004D7B7A"/>
    <w:rsid w:val="004D7CBF"/>
    <w:rsid w:val="004E0604"/>
    <w:rsid w:val="004E1147"/>
    <w:rsid w:val="004E2122"/>
    <w:rsid w:val="004E374A"/>
    <w:rsid w:val="004E379E"/>
    <w:rsid w:val="004E57B6"/>
    <w:rsid w:val="004E7A13"/>
    <w:rsid w:val="004E7AC3"/>
    <w:rsid w:val="004E7FBF"/>
    <w:rsid w:val="004F00CD"/>
    <w:rsid w:val="004F1C9D"/>
    <w:rsid w:val="004F2876"/>
    <w:rsid w:val="004F29FC"/>
    <w:rsid w:val="004F2CA3"/>
    <w:rsid w:val="004F2FAE"/>
    <w:rsid w:val="004F3830"/>
    <w:rsid w:val="004F49E1"/>
    <w:rsid w:val="004F4DDE"/>
    <w:rsid w:val="004F5530"/>
    <w:rsid w:val="00500178"/>
    <w:rsid w:val="0050154E"/>
    <w:rsid w:val="00501FCF"/>
    <w:rsid w:val="00502092"/>
    <w:rsid w:val="005020A9"/>
    <w:rsid w:val="005023B1"/>
    <w:rsid w:val="00503B6E"/>
    <w:rsid w:val="005049D3"/>
    <w:rsid w:val="00505E8F"/>
    <w:rsid w:val="00507118"/>
    <w:rsid w:val="00507BF1"/>
    <w:rsid w:val="00510E79"/>
    <w:rsid w:val="005113B6"/>
    <w:rsid w:val="00513E10"/>
    <w:rsid w:val="00514F13"/>
    <w:rsid w:val="00515666"/>
    <w:rsid w:val="005157DD"/>
    <w:rsid w:val="005162F2"/>
    <w:rsid w:val="0052067C"/>
    <w:rsid w:val="00520932"/>
    <w:rsid w:val="005221A9"/>
    <w:rsid w:val="005233A2"/>
    <w:rsid w:val="00523751"/>
    <w:rsid w:val="00525982"/>
    <w:rsid w:val="00526012"/>
    <w:rsid w:val="00526192"/>
    <w:rsid w:val="00527650"/>
    <w:rsid w:val="005279F1"/>
    <w:rsid w:val="00531B6A"/>
    <w:rsid w:val="0053441A"/>
    <w:rsid w:val="005352B0"/>
    <w:rsid w:val="0053605F"/>
    <w:rsid w:val="005362D9"/>
    <w:rsid w:val="00536469"/>
    <w:rsid w:val="00536E7A"/>
    <w:rsid w:val="00537BE8"/>
    <w:rsid w:val="0054058E"/>
    <w:rsid w:val="00540787"/>
    <w:rsid w:val="00541092"/>
    <w:rsid w:val="00542DF1"/>
    <w:rsid w:val="005431B5"/>
    <w:rsid w:val="0054386F"/>
    <w:rsid w:val="0054422B"/>
    <w:rsid w:val="005444A0"/>
    <w:rsid w:val="0054470C"/>
    <w:rsid w:val="005468F0"/>
    <w:rsid w:val="00546F8C"/>
    <w:rsid w:val="005479E3"/>
    <w:rsid w:val="00547C98"/>
    <w:rsid w:val="00547EF8"/>
    <w:rsid w:val="00550016"/>
    <w:rsid w:val="00550A83"/>
    <w:rsid w:val="00550E72"/>
    <w:rsid w:val="0055283E"/>
    <w:rsid w:val="0055327D"/>
    <w:rsid w:val="00553F7F"/>
    <w:rsid w:val="00554EB1"/>
    <w:rsid w:val="005553EE"/>
    <w:rsid w:val="005556E6"/>
    <w:rsid w:val="005576F9"/>
    <w:rsid w:val="005606C0"/>
    <w:rsid w:val="00561601"/>
    <w:rsid w:val="00561848"/>
    <w:rsid w:val="00561DBA"/>
    <w:rsid w:val="00563C0F"/>
    <w:rsid w:val="00564893"/>
    <w:rsid w:val="00565091"/>
    <w:rsid w:val="005713CD"/>
    <w:rsid w:val="005731A0"/>
    <w:rsid w:val="0057437A"/>
    <w:rsid w:val="00574547"/>
    <w:rsid w:val="00574731"/>
    <w:rsid w:val="0057475B"/>
    <w:rsid w:val="00574BF3"/>
    <w:rsid w:val="00575194"/>
    <w:rsid w:val="00575474"/>
    <w:rsid w:val="00575698"/>
    <w:rsid w:val="00576571"/>
    <w:rsid w:val="00577518"/>
    <w:rsid w:val="00577D1A"/>
    <w:rsid w:val="00582573"/>
    <w:rsid w:val="00582A3B"/>
    <w:rsid w:val="00584EF0"/>
    <w:rsid w:val="00585012"/>
    <w:rsid w:val="00585C67"/>
    <w:rsid w:val="00586B7F"/>
    <w:rsid w:val="00586BB3"/>
    <w:rsid w:val="005870EF"/>
    <w:rsid w:val="0058734D"/>
    <w:rsid w:val="00590969"/>
    <w:rsid w:val="005917A8"/>
    <w:rsid w:val="00591F68"/>
    <w:rsid w:val="00592186"/>
    <w:rsid w:val="005942A2"/>
    <w:rsid w:val="0059459B"/>
    <w:rsid w:val="005974BD"/>
    <w:rsid w:val="00597F0C"/>
    <w:rsid w:val="005A0376"/>
    <w:rsid w:val="005A0DA5"/>
    <w:rsid w:val="005A6D51"/>
    <w:rsid w:val="005B12A5"/>
    <w:rsid w:val="005B35B4"/>
    <w:rsid w:val="005B40BB"/>
    <w:rsid w:val="005B601E"/>
    <w:rsid w:val="005B6268"/>
    <w:rsid w:val="005B7343"/>
    <w:rsid w:val="005C04B8"/>
    <w:rsid w:val="005C0F13"/>
    <w:rsid w:val="005C0F1E"/>
    <w:rsid w:val="005C1627"/>
    <w:rsid w:val="005C3350"/>
    <w:rsid w:val="005C6654"/>
    <w:rsid w:val="005C6744"/>
    <w:rsid w:val="005D0340"/>
    <w:rsid w:val="005D0BE8"/>
    <w:rsid w:val="005D216B"/>
    <w:rsid w:val="005D25C3"/>
    <w:rsid w:val="005D5526"/>
    <w:rsid w:val="005D5D30"/>
    <w:rsid w:val="005D5ED1"/>
    <w:rsid w:val="005D5EEA"/>
    <w:rsid w:val="005D6C39"/>
    <w:rsid w:val="005D745A"/>
    <w:rsid w:val="005E047B"/>
    <w:rsid w:val="005E1FAC"/>
    <w:rsid w:val="005E51FF"/>
    <w:rsid w:val="005E5520"/>
    <w:rsid w:val="005E59DB"/>
    <w:rsid w:val="005E5B02"/>
    <w:rsid w:val="005E63C3"/>
    <w:rsid w:val="005E727E"/>
    <w:rsid w:val="005F0126"/>
    <w:rsid w:val="005F1D51"/>
    <w:rsid w:val="005F412A"/>
    <w:rsid w:val="005F614B"/>
    <w:rsid w:val="00600259"/>
    <w:rsid w:val="00603FB1"/>
    <w:rsid w:val="006048C5"/>
    <w:rsid w:val="00604CAD"/>
    <w:rsid w:val="00605075"/>
    <w:rsid w:val="00605212"/>
    <w:rsid w:val="00606ADB"/>
    <w:rsid w:val="00606D8B"/>
    <w:rsid w:val="00607FD6"/>
    <w:rsid w:val="00610B8F"/>
    <w:rsid w:val="006123E1"/>
    <w:rsid w:val="0061248D"/>
    <w:rsid w:val="0061284D"/>
    <w:rsid w:val="00616985"/>
    <w:rsid w:val="00616D33"/>
    <w:rsid w:val="006173DA"/>
    <w:rsid w:val="006174DC"/>
    <w:rsid w:val="00620EC1"/>
    <w:rsid w:val="006216FC"/>
    <w:rsid w:val="006224B9"/>
    <w:rsid w:val="00622FA4"/>
    <w:rsid w:val="006233D5"/>
    <w:rsid w:val="006235C1"/>
    <w:rsid w:val="00623D02"/>
    <w:rsid w:val="00625882"/>
    <w:rsid w:val="00625C63"/>
    <w:rsid w:val="0063137C"/>
    <w:rsid w:val="006316A9"/>
    <w:rsid w:val="0063170F"/>
    <w:rsid w:val="00631E86"/>
    <w:rsid w:val="006326B8"/>
    <w:rsid w:val="006328A8"/>
    <w:rsid w:val="006344F2"/>
    <w:rsid w:val="00634FC3"/>
    <w:rsid w:val="006376CC"/>
    <w:rsid w:val="00637953"/>
    <w:rsid w:val="0064012F"/>
    <w:rsid w:val="00641603"/>
    <w:rsid w:val="00643399"/>
    <w:rsid w:val="00643891"/>
    <w:rsid w:val="00643AF2"/>
    <w:rsid w:val="00643CDD"/>
    <w:rsid w:val="00644881"/>
    <w:rsid w:val="00644DAB"/>
    <w:rsid w:val="006456CB"/>
    <w:rsid w:val="00645916"/>
    <w:rsid w:val="00645FE6"/>
    <w:rsid w:val="00646EA4"/>
    <w:rsid w:val="006521B5"/>
    <w:rsid w:val="00652EE9"/>
    <w:rsid w:val="00654704"/>
    <w:rsid w:val="00654FF9"/>
    <w:rsid w:val="00655645"/>
    <w:rsid w:val="006557B6"/>
    <w:rsid w:val="00655D98"/>
    <w:rsid w:val="006564D3"/>
    <w:rsid w:val="00656849"/>
    <w:rsid w:val="00656AEE"/>
    <w:rsid w:val="00656FB1"/>
    <w:rsid w:val="0066027D"/>
    <w:rsid w:val="0066205A"/>
    <w:rsid w:val="00664076"/>
    <w:rsid w:val="0066469B"/>
    <w:rsid w:val="0066476B"/>
    <w:rsid w:val="00665DC9"/>
    <w:rsid w:val="00666576"/>
    <w:rsid w:val="00666987"/>
    <w:rsid w:val="00667A56"/>
    <w:rsid w:val="006703B3"/>
    <w:rsid w:val="00670A02"/>
    <w:rsid w:val="006711C5"/>
    <w:rsid w:val="0067158D"/>
    <w:rsid w:val="00671EC4"/>
    <w:rsid w:val="0067304D"/>
    <w:rsid w:val="00673E17"/>
    <w:rsid w:val="006755B6"/>
    <w:rsid w:val="00675C7A"/>
    <w:rsid w:val="00675E22"/>
    <w:rsid w:val="00676D15"/>
    <w:rsid w:val="00676E50"/>
    <w:rsid w:val="00677BC9"/>
    <w:rsid w:val="006804E7"/>
    <w:rsid w:val="00680B28"/>
    <w:rsid w:val="00680F60"/>
    <w:rsid w:val="0068278B"/>
    <w:rsid w:val="00682957"/>
    <w:rsid w:val="00682F13"/>
    <w:rsid w:val="00684463"/>
    <w:rsid w:val="00684472"/>
    <w:rsid w:val="00686037"/>
    <w:rsid w:val="00686999"/>
    <w:rsid w:val="00687C4B"/>
    <w:rsid w:val="00687FDF"/>
    <w:rsid w:val="00691733"/>
    <w:rsid w:val="00692088"/>
    <w:rsid w:val="006954A7"/>
    <w:rsid w:val="00696B35"/>
    <w:rsid w:val="00696FFC"/>
    <w:rsid w:val="006970EE"/>
    <w:rsid w:val="006A0D0D"/>
    <w:rsid w:val="006A1E30"/>
    <w:rsid w:val="006A3EE5"/>
    <w:rsid w:val="006A4E40"/>
    <w:rsid w:val="006A5149"/>
    <w:rsid w:val="006A6D0C"/>
    <w:rsid w:val="006A6D67"/>
    <w:rsid w:val="006A7833"/>
    <w:rsid w:val="006B0133"/>
    <w:rsid w:val="006B0DD1"/>
    <w:rsid w:val="006B13A6"/>
    <w:rsid w:val="006B1D44"/>
    <w:rsid w:val="006B1F7B"/>
    <w:rsid w:val="006B2357"/>
    <w:rsid w:val="006B2C0B"/>
    <w:rsid w:val="006B2DFD"/>
    <w:rsid w:val="006B4A02"/>
    <w:rsid w:val="006B5A2F"/>
    <w:rsid w:val="006B5D5E"/>
    <w:rsid w:val="006B640E"/>
    <w:rsid w:val="006B7D66"/>
    <w:rsid w:val="006C007A"/>
    <w:rsid w:val="006C16D6"/>
    <w:rsid w:val="006C1F4A"/>
    <w:rsid w:val="006C2FB9"/>
    <w:rsid w:val="006C4C25"/>
    <w:rsid w:val="006C5AF3"/>
    <w:rsid w:val="006C619A"/>
    <w:rsid w:val="006C7204"/>
    <w:rsid w:val="006C721A"/>
    <w:rsid w:val="006C7D00"/>
    <w:rsid w:val="006D089C"/>
    <w:rsid w:val="006D1133"/>
    <w:rsid w:val="006D115E"/>
    <w:rsid w:val="006D228B"/>
    <w:rsid w:val="006D255F"/>
    <w:rsid w:val="006D3AA3"/>
    <w:rsid w:val="006D4CC5"/>
    <w:rsid w:val="006D5318"/>
    <w:rsid w:val="006D5A52"/>
    <w:rsid w:val="006D5D38"/>
    <w:rsid w:val="006D71B2"/>
    <w:rsid w:val="006D7514"/>
    <w:rsid w:val="006E0210"/>
    <w:rsid w:val="006E04D6"/>
    <w:rsid w:val="006E1480"/>
    <w:rsid w:val="006E1A64"/>
    <w:rsid w:val="006E1E9F"/>
    <w:rsid w:val="006E220F"/>
    <w:rsid w:val="006E3642"/>
    <w:rsid w:val="006E5162"/>
    <w:rsid w:val="006E5A4E"/>
    <w:rsid w:val="006E5AC8"/>
    <w:rsid w:val="006E6EE3"/>
    <w:rsid w:val="006E7B83"/>
    <w:rsid w:val="006F0238"/>
    <w:rsid w:val="006F0E26"/>
    <w:rsid w:val="006F0FB2"/>
    <w:rsid w:val="006F118D"/>
    <w:rsid w:val="006F153B"/>
    <w:rsid w:val="006F3931"/>
    <w:rsid w:val="006F4198"/>
    <w:rsid w:val="006F42D6"/>
    <w:rsid w:val="006F4BB0"/>
    <w:rsid w:val="006F5EE8"/>
    <w:rsid w:val="006F6022"/>
    <w:rsid w:val="006F62F2"/>
    <w:rsid w:val="006F6519"/>
    <w:rsid w:val="006F6724"/>
    <w:rsid w:val="006F6EEB"/>
    <w:rsid w:val="006F73D6"/>
    <w:rsid w:val="006F78DC"/>
    <w:rsid w:val="00700074"/>
    <w:rsid w:val="0070074B"/>
    <w:rsid w:val="0070098F"/>
    <w:rsid w:val="00700AD7"/>
    <w:rsid w:val="007017DD"/>
    <w:rsid w:val="00701D51"/>
    <w:rsid w:val="00701F90"/>
    <w:rsid w:val="0070479D"/>
    <w:rsid w:val="00705605"/>
    <w:rsid w:val="00706A2A"/>
    <w:rsid w:val="00706B24"/>
    <w:rsid w:val="00706D1C"/>
    <w:rsid w:val="007077B2"/>
    <w:rsid w:val="007100EA"/>
    <w:rsid w:val="00710417"/>
    <w:rsid w:val="007110A2"/>
    <w:rsid w:val="00712525"/>
    <w:rsid w:val="00712BD3"/>
    <w:rsid w:val="007138AA"/>
    <w:rsid w:val="00713FC4"/>
    <w:rsid w:val="00715D39"/>
    <w:rsid w:val="00715D8C"/>
    <w:rsid w:val="0071652C"/>
    <w:rsid w:val="0072137B"/>
    <w:rsid w:val="00722EB9"/>
    <w:rsid w:val="0072322C"/>
    <w:rsid w:val="0072373A"/>
    <w:rsid w:val="00724037"/>
    <w:rsid w:val="00724730"/>
    <w:rsid w:val="007247BA"/>
    <w:rsid w:val="00725999"/>
    <w:rsid w:val="0072737C"/>
    <w:rsid w:val="00730CA3"/>
    <w:rsid w:val="00733437"/>
    <w:rsid w:val="00736B36"/>
    <w:rsid w:val="00740A36"/>
    <w:rsid w:val="00744459"/>
    <w:rsid w:val="007448ED"/>
    <w:rsid w:val="00745934"/>
    <w:rsid w:val="007461DE"/>
    <w:rsid w:val="00747249"/>
    <w:rsid w:val="00747E7D"/>
    <w:rsid w:val="00750719"/>
    <w:rsid w:val="007508C2"/>
    <w:rsid w:val="00750AF1"/>
    <w:rsid w:val="00752DC5"/>
    <w:rsid w:val="0075337E"/>
    <w:rsid w:val="00753830"/>
    <w:rsid w:val="00754A1C"/>
    <w:rsid w:val="00754E16"/>
    <w:rsid w:val="0075555B"/>
    <w:rsid w:val="007558CE"/>
    <w:rsid w:val="00755EF0"/>
    <w:rsid w:val="00756F68"/>
    <w:rsid w:val="00761AA7"/>
    <w:rsid w:val="00763AFA"/>
    <w:rsid w:val="00764650"/>
    <w:rsid w:val="00765753"/>
    <w:rsid w:val="00765B1D"/>
    <w:rsid w:val="007702FD"/>
    <w:rsid w:val="00770935"/>
    <w:rsid w:val="00771CEF"/>
    <w:rsid w:val="00771E1A"/>
    <w:rsid w:val="00772EEE"/>
    <w:rsid w:val="007735BE"/>
    <w:rsid w:val="00773B3E"/>
    <w:rsid w:val="00774414"/>
    <w:rsid w:val="007746AF"/>
    <w:rsid w:val="0077491F"/>
    <w:rsid w:val="0077499D"/>
    <w:rsid w:val="00775A3C"/>
    <w:rsid w:val="00777A6B"/>
    <w:rsid w:val="00777AD9"/>
    <w:rsid w:val="00777C0F"/>
    <w:rsid w:val="00777E51"/>
    <w:rsid w:val="00781EFF"/>
    <w:rsid w:val="0078369E"/>
    <w:rsid w:val="0078373E"/>
    <w:rsid w:val="00783F11"/>
    <w:rsid w:val="007854CD"/>
    <w:rsid w:val="0078593A"/>
    <w:rsid w:val="0078686C"/>
    <w:rsid w:val="00786E16"/>
    <w:rsid w:val="007872CF"/>
    <w:rsid w:val="007911DF"/>
    <w:rsid w:val="00791EC6"/>
    <w:rsid w:val="00792230"/>
    <w:rsid w:val="00795285"/>
    <w:rsid w:val="00795ABD"/>
    <w:rsid w:val="0079603A"/>
    <w:rsid w:val="00796AA6"/>
    <w:rsid w:val="00797EE6"/>
    <w:rsid w:val="007A2B08"/>
    <w:rsid w:val="007A4AD4"/>
    <w:rsid w:val="007A502F"/>
    <w:rsid w:val="007A53AC"/>
    <w:rsid w:val="007A6536"/>
    <w:rsid w:val="007A6CCF"/>
    <w:rsid w:val="007A70B0"/>
    <w:rsid w:val="007A7463"/>
    <w:rsid w:val="007A76D3"/>
    <w:rsid w:val="007B0BC4"/>
    <w:rsid w:val="007B1FB6"/>
    <w:rsid w:val="007B2A76"/>
    <w:rsid w:val="007B35A4"/>
    <w:rsid w:val="007C0CE2"/>
    <w:rsid w:val="007C173A"/>
    <w:rsid w:val="007C20DD"/>
    <w:rsid w:val="007C3092"/>
    <w:rsid w:val="007C3C01"/>
    <w:rsid w:val="007C4C43"/>
    <w:rsid w:val="007C5DC7"/>
    <w:rsid w:val="007C6F79"/>
    <w:rsid w:val="007C7358"/>
    <w:rsid w:val="007C7514"/>
    <w:rsid w:val="007D06D5"/>
    <w:rsid w:val="007D079E"/>
    <w:rsid w:val="007D2104"/>
    <w:rsid w:val="007D417B"/>
    <w:rsid w:val="007D43C0"/>
    <w:rsid w:val="007D4BB0"/>
    <w:rsid w:val="007D607E"/>
    <w:rsid w:val="007D6922"/>
    <w:rsid w:val="007E1167"/>
    <w:rsid w:val="007E15BD"/>
    <w:rsid w:val="007E1874"/>
    <w:rsid w:val="007E2778"/>
    <w:rsid w:val="007E2919"/>
    <w:rsid w:val="007E40A8"/>
    <w:rsid w:val="007E619E"/>
    <w:rsid w:val="007E6AC3"/>
    <w:rsid w:val="007E6DB6"/>
    <w:rsid w:val="007E78D9"/>
    <w:rsid w:val="007F1DE6"/>
    <w:rsid w:val="007F39FA"/>
    <w:rsid w:val="007F3E00"/>
    <w:rsid w:val="00800300"/>
    <w:rsid w:val="00800645"/>
    <w:rsid w:val="0080167F"/>
    <w:rsid w:val="00803BFD"/>
    <w:rsid w:val="00805D69"/>
    <w:rsid w:val="0080638F"/>
    <w:rsid w:val="008064E9"/>
    <w:rsid w:val="00811C78"/>
    <w:rsid w:val="00812D38"/>
    <w:rsid w:val="008156F6"/>
    <w:rsid w:val="0081720F"/>
    <w:rsid w:val="00817E83"/>
    <w:rsid w:val="00820416"/>
    <w:rsid w:val="00820E37"/>
    <w:rsid w:val="0082134B"/>
    <w:rsid w:val="00821749"/>
    <w:rsid w:val="00821B4C"/>
    <w:rsid w:val="00821EA6"/>
    <w:rsid w:val="00823187"/>
    <w:rsid w:val="008231C7"/>
    <w:rsid w:val="00824EC7"/>
    <w:rsid w:val="008263A0"/>
    <w:rsid w:val="00826C52"/>
    <w:rsid w:val="008271D9"/>
    <w:rsid w:val="00827B6D"/>
    <w:rsid w:val="00827D71"/>
    <w:rsid w:val="00830141"/>
    <w:rsid w:val="008307B5"/>
    <w:rsid w:val="00832123"/>
    <w:rsid w:val="0083254B"/>
    <w:rsid w:val="008343F7"/>
    <w:rsid w:val="00834E82"/>
    <w:rsid w:val="0083629D"/>
    <w:rsid w:val="00836632"/>
    <w:rsid w:val="00840043"/>
    <w:rsid w:val="00840E41"/>
    <w:rsid w:val="0084133E"/>
    <w:rsid w:val="008419FF"/>
    <w:rsid w:val="00843FE5"/>
    <w:rsid w:val="00844117"/>
    <w:rsid w:val="0084443F"/>
    <w:rsid w:val="00844F3E"/>
    <w:rsid w:val="008463E5"/>
    <w:rsid w:val="00850DC0"/>
    <w:rsid w:val="00852504"/>
    <w:rsid w:val="00852A2F"/>
    <w:rsid w:val="0085449D"/>
    <w:rsid w:val="00855357"/>
    <w:rsid w:val="0085763B"/>
    <w:rsid w:val="008579B8"/>
    <w:rsid w:val="008608DC"/>
    <w:rsid w:val="00860F99"/>
    <w:rsid w:val="0086134C"/>
    <w:rsid w:val="008614B2"/>
    <w:rsid w:val="0086167B"/>
    <w:rsid w:val="00861A20"/>
    <w:rsid w:val="00861B0A"/>
    <w:rsid w:val="0086279E"/>
    <w:rsid w:val="00862808"/>
    <w:rsid w:val="00863374"/>
    <w:rsid w:val="00866321"/>
    <w:rsid w:val="00866960"/>
    <w:rsid w:val="00867C52"/>
    <w:rsid w:val="0087066B"/>
    <w:rsid w:val="0087135F"/>
    <w:rsid w:val="00871D7F"/>
    <w:rsid w:val="00873096"/>
    <w:rsid w:val="00874510"/>
    <w:rsid w:val="008750AA"/>
    <w:rsid w:val="00875233"/>
    <w:rsid w:val="008806B0"/>
    <w:rsid w:val="00881312"/>
    <w:rsid w:val="00881B98"/>
    <w:rsid w:val="008825A9"/>
    <w:rsid w:val="00882EF2"/>
    <w:rsid w:val="00883908"/>
    <w:rsid w:val="00886585"/>
    <w:rsid w:val="008877B9"/>
    <w:rsid w:val="008901CA"/>
    <w:rsid w:val="00890F66"/>
    <w:rsid w:val="0089101F"/>
    <w:rsid w:val="0089115E"/>
    <w:rsid w:val="00891610"/>
    <w:rsid w:val="00892274"/>
    <w:rsid w:val="00893666"/>
    <w:rsid w:val="00893E41"/>
    <w:rsid w:val="008940F1"/>
    <w:rsid w:val="00894A42"/>
    <w:rsid w:val="00894FDF"/>
    <w:rsid w:val="008955D8"/>
    <w:rsid w:val="00895C23"/>
    <w:rsid w:val="00897912"/>
    <w:rsid w:val="00897F6F"/>
    <w:rsid w:val="008A0A13"/>
    <w:rsid w:val="008A0AEB"/>
    <w:rsid w:val="008A1BC8"/>
    <w:rsid w:val="008A522C"/>
    <w:rsid w:val="008A52A1"/>
    <w:rsid w:val="008A5A13"/>
    <w:rsid w:val="008A5BB9"/>
    <w:rsid w:val="008A64D8"/>
    <w:rsid w:val="008A6932"/>
    <w:rsid w:val="008A7EEF"/>
    <w:rsid w:val="008B17CD"/>
    <w:rsid w:val="008B2912"/>
    <w:rsid w:val="008B3914"/>
    <w:rsid w:val="008B39F2"/>
    <w:rsid w:val="008B4FA3"/>
    <w:rsid w:val="008C06BE"/>
    <w:rsid w:val="008C12FA"/>
    <w:rsid w:val="008C15F3"/>
    <w:rsid w:val="008C27E5"/>
    <w:rsid w:val="008C3A0D"/>
    <w:rsid w:val="008C3DF8"/>
    <w:rsid w:val="008C3EF2"/>
    <w:rsid w:val="008C4F06"/>
    <w:rsid w:val="008C64C7"/>
    <w:rsid w:val="008D07BE"/>
    <w:rsid w:val="008D0BD1"/>
    <w:rsid w:val="008D4784"/>
    <w:rsid w:val="008D6946"/>
    <w:rsid w:val="008E01A7"/>
    <w:rsid w:val="008E0207"/>
    <w:rsid w:val="008E1D3C"/>
    <w:rsid w:val="008E3D64"/>
    <w:rsid w:val="008E4187"/>
    <w:rsid w:val="008E613D"/>
    <w:rsid w:val="008E6531"/>
    <w:rsid w:val="008E7606"/>
    <w:rsid w:val="008F0BB2"/>
    <w:rsid w:val="008F0DD5"/>
    <w:rsid w:val="008F27BC"/>
    <w:rsid w:val="008F2CCF"/>
    <w:rsid w:val="008F2F52"/>
    <w:rsid w:val="008F3526"/>
    <w:rsid w:val="008F3D37"/>
    <w:rsid w:val="008F447C"/>
    <w:rsid w:val="008F4494"/>
    <w:rsid w:val="008F5D47"/>
    <w:rsid w:val="008F5EB6"/>
    <w:rsid w:val="008F6329"/>
    <w:rsid w:val="008F736E"/>
    <w:rsid w:val="008F7450"/>
    <w:rsid w:val="00900258"/>
    <w:rsid w:val="009003E4"/>
    <w:rsid w:val="0090112A"/>
    <w:rsid w:val="0090297D"/>
    <w:rsid w:val="009030F2"/>
    <w:rsid w:val="00903298"/>
    <w:rsid w:val="00905CF0"/>
    <w:rsid w:val="009069E0"/>
    <w:rsid w:val="00911E4B"/>
    <w:rsid w:val="00912EEB"/>
    <w:rsid w:val="00913C8B"/>
    <w:rsid w:val="009149BB"/>
    <w:rsid w:val="00914BC3"/>
    <w:rsid w:val="00915AC5"/>
    <w:rsid w:val="00916B80"/>
    <w:rsid w:val="00917B5A"/>
    <w:rsid w:val="00920120"/>
    <w:rsid w:val="009207A5"/>
    <w:rsid w:val="00920BCA"/>
    <w:rsid w:val="00921515"/>
    <w:rsid w:val="00921D07"/>
    <w:rsid w:val="009244CE"/>
    <w:rsid w:val="00924715"/>
    <w:rsid w:val="00924F1E"/>
    <w:rsid w:val="00925197"/>
    <w:rsid w:val="00925B7A"/>
    <w:rsid w:val="0092607D"/>
    <w:rsid w:val="009268BB"/>
    <w:rsid w:val="00927291"/>
    <w:rsid w:val="0092768F"/>
    <w:rsid w:val="00927F2C"/>
    <w:rsid w:val="009303A8"/>
    <w:rsid w:val="00931815"/>
    <w:rsid w:val="00933D1E"/>
    <w:rsid w:val="00935922"/>
    <w:rsid w:val="009361DA"/>
    <w:rsid w:val="0094036C"/>
    <w:rsid w:val="009413C6"/>
    <w:rsid w:val="00941855"/>
    <w:rsid w:val="00941912"/>
    <w:rsid w:val="00942DA2"/>
    <w:rsid w:val="009437E4"/>
    <w:rsid w:val="00945150"/>
    <w:rsid w:val="00945295"/>
    <w:rsid w:val="00945D86"/>
    <w:rsid w:val="00947089"/>
    <w:rsid w:val="00951646"/>
    <w:rsid w:val="0095176B"/>
    <w:rsid w:val="009526A3"/>
    <w:rsid w:val="009569C1"/>
    <w:rsid w:val="009573CE"/>
    <w:rsid w:val="009577B6"/>
    <w:rsid w:val="009578A7"/>
    <w:rsid w:val="00957A44"/>
    <w:rsid w:val="009619F2"/>
    <w:rsid w:val="00962403"/>
    <w:rsid w:val="00962927"/>
    <w:rsid w:val="00963C20"/>
    <w:rsid w:val="009645E0"/>
    <w:rsid w:val="009645E4"/>
    <w:rsid w:val="00965815"/>
    <w:rsid w:val="00965C96"/>
    <w:rsid w:val="00966A8A"/>
    <w:rsid w:val="00967424"/>
    <w:rsid w:val="009677D9"/>
    <w:rsid w:val="00970BAF"/>
    <w:rsid w:val="00970C93"/>
    <w:rsid w:val="00973609"/>
    <w:rsid w:val="00973949"/>
    <w:rsid w:val="00977815"/>
    <w:rsid w:val="00977B1B"/>
    <w:rsid w:val="0098318E"/>
    <w:rsid w:val="00985B8B"/>
    <w:rsid w:val="009864E7"/>
    <w:rsid w:val="00986BD0"/>
    <w:rsid w:val="00987205"/>
    <w:rsid w:val="00991454"/>
    <w:rsid w:val="00991814"/>
    <w:rsid w:val="00991ADF"/>
    <w:rsid w:val="00993269"/>
    <w:rsid w:val="009940E0"/>
    <w:rsid w:val="00994673"/>
    <w:rsid w:val="00994C76"/>
    <w:rsid w:val="00995325"/>
    <w:rsid w:val="00995902"/>
    <w:rsid w:val="009972FE"/>
    <w:rsid w:val="00997E29"/>
    <w:rsid w:val="009A0400"/>
    <w:rsid w:val="009A6804"/>
    <w:rsid w:val="009A6F51"/>
    <w:rsid w:val="009A725E"/>
    <w:rsid w:val="009A751F"/>
    <w:rsid w:val="009A76E3"/>
    <w:rsid w:val="009A7AD9"/>
    <w:rsid w:val="009B27B1"/>
    <w:rsid w:val="009B330B"/>
    <w:rsid w:val="009B360F"/>
    <w:rsid w:val="009B534A"/>
    <w:rsid w:val="009B5C8D"/>
    <w:rsid w:val="009B67C2"/>
    <w:rsid w:val="009B7E1C"/>
    <w:rsid w:val="009C0674"/>
    <w:rsid w:val="009C2C98"/>
    <w:rsid w:val="009C59FC"/>
    <w:rsid w:val="009C6739"/>
    <w:rsid w:val="009C7D3F"/>
    <w:rsid w:val="009D24C9"/>
    <w:rsid w:val="009D4F8E"/>
    <w:rsid w:val="009D50A3"/>
    <w:rsid w:val="009D5C67"/>
    <w:rsid w:val="009D6BC4"/>
    <w:rsid w:val="009E05BE"/>
    <w:rsid w:val="009E0B14"/>
    <w:rsid w:val="009E0DE4"/>
    <w:rsid w:val="009E37C4"/>
    <w:rsid w:val="009E3E18"/>
    <w:rsid w:val="009E4225"/>
    <w:rsid w:val="009E58D8"/>
    <w:rsid w:val="009F3282"/>
    <w:rsid w:val="009F3DE6"/>
    <w:rsid w:val="009F58D3"/>
    <w:rsid w:val="009F7265"/>
    <w:rsid w:val="009F7AB8"/>
    <w:rsid w:val="009F7D0C"/>
    <w:rsid w:val="00A00314"/>
    <w:rsid w:val="00A031BF"/>
    <w:rsid w:val="00A04465"/>
    <w:rsid w:val="00A05AE2"/>
    <w:rsid w:val="00A10126"/>
    <w:rsid w:val="00A11439"/>
    <w:rsid w:val="00A128BD"/>
    <w:rsid w:val="00A135BF"/>
    <w:rsid w:val="00A136E8"/>
    <w:rsid w:val="00A15081"/>
    <w:rsid w:val="00A20EF9"/>
    <w:rsid w:val="00A20F4F"/>
    <w:rsid w:val="00A2289F"/>
    <w:rsid w:val="00A2316D"/>
    <w:rsid w:val="00A23ABC"/>
    <w:rsid w:val="00A2490A"/>
    <w:rsid w:val="00A24DF3"/>
    <w:rsid w:val="00A263E0"/>
    <w:rsid w:val="00A277D3"/>
    <w:rsid w:val="00A31567"/>
    <w:rsid w:val="00A3159E"/>
    <w:rsid w:val="00A3190C"/>
    <w:rsid w:val="00A32292"/>
    <w:rsid w:val="00A33D2A"/>
    <w:rsid w:val="00A34B7F"/>
    <w:rsid w:val="00A35DAA"/>
    <w:rsid w:val="00A36CFE"/>
    <w:rsid w:val="00A37128"/>
    <w:rsid w:val="00A37A5B"/>
    <w:rsid w:val="00A40857"/>
    <w:rsid w:val="00A43792"/>
    <w:rsid w:val="00A4436F"/>
    <w:rsid w:val="00A445C9"/>
    <w:rsid w:val="00A45217"/>
    <w:rsid w:val="00A45779"/>
    <w:rsid w:val="00A45BBE"/>
    <w:rsid w:val="00A45F42"/>
    <w:rsid w:val="00A47005"/>
    <w:rsid w:val="00A50AAA"/>
    <w:rsid w:val="00A50B1A"/>
    <w:rsid w:val="00A53347"/>
    <w:rsid w:val="00A539E7"/>
    <w:rsid w:val="00A53BE9"/>
    <w:rsid w:val="00A53BF8"/>
    <w:rsid w:val="00A53D06"/>
    <w:rsid w:val="00A54CD8"/>
    <w:rsid w:val="00A54DF2"/>
    <w:rsid w:val="00A552F1"/>
    <w:rsid w:val="00A555C6"/>
    <w:rsid w:val="00A565D7"/>
    <w:rsid w:val="00A56F0B"/>
    <w:rsid w:val="00A573E6"/>
    <w:rsid w:val="00A60486"/>
    <w:rsid w:val="00A6105B"/>
    <w:rsid w:val="00A6150A"/>
    <w:rsid w:val="00A61E71"/>
    <w:rsid w:val="00A6259B"/>
    <w:rsid w:val="00A631C5"/>
    <w:rsid w:val="00A63F53"/>
    <w:rsid w:val="00A63FDE"/>
    <w:rsid w:val="00A6428B"/>
    <w:rsid w:val="00A65E0B"/>
    <w:rsid w:val="00A670A0"/>
    <w:rsid w:val="00A676E9"/>
    <w:rsid w:val="00A67A3E"/>
    <w:rsid w:val="00A702B4"/>
    <w:rsid w:val="00A7055D"/>
    <w:rsid w:val="00A70661"/>
    <w:rsid w:val="00A71A99"/>
    <w:rsid w:val="00A71CEA"/>
    <w:rsid w:val="00A74880"/>
    <w:rsid w:val="00A749E3"/>
    <w:rsid w:val="00A75985"/>
    <w:rsid w:val="00A75B1F"/>
    <w:rsid w:val="00A763CF"/>
    <w:rsid w:val="00A76593"/>
    <w:rsid w:val="00A76BA9"/>
    <w:rsid w:val="00A77381"/>
    <w:rsid w:val="00A77DC3"/>
    <w:rsid w:val="00A82524"/>
    <w:rsid w:val="00A8296D"/>
    <w:rsid w:val="00A82A51"/>
    <w:rsid w:val="00A833CB"/>
    <w:rsid w:val="00A83A30"/>
    <w:rsid w:val="00A83E60"/>
    <w:rsid w:val="00A85B5D"/>
    <w:rsid w:val="00A86754"/>
    <w:rsid w:val="00A873D2"/>
    <w:rsid w:val="00A901C9"/>
    <w:rsid w:val="00A908E9"/>
    <w:rsid w:val="00A930FE"/>
    <w:rsid w:val="00A93BDB"/>
    <w:rsid w:val="00A94052"/>
    <w:rsid w:val="00A94B03"/>
    <w:rsid w:val="00A94B3C"/>
    <w:rsid w:val="00A952E9"/>
    <w:rsid w:val="00A96F03"/>
    <w:rsid w:val="00A977FB"/>
    <w:rsid w:val="00AA0CE3"/>
    <w:rsid w:val="00AA0D0C"/>
    <w:rsid w:val="00AA11DB"/>
    <w:rsid w:val="00AA1524"/>
    <w:rsid w:val="00AA16BC"/>
    <w:rsid w:val="00AA3EBC"/>
    <w:rsid w:val="00AA4427"/>
    <w:rsid w:val="00AA788A"/>
    <w:rsid w:val="00AB782A"/>
    <w:rsid w:val="00AC0166"/>
    <w:rsid w:val="00AC0DBF"/>
    <w:rsid w:val="00AC1FC6"/>
    <w:rsid w:val="00AC3C23"/>
    <w:rsid w:val="00AC4F0F"/>
    <w:rsid w:val="00AC517E"/>
    <w:rsid w:val="00AC5785"/>
    <w:rsid w:val="00AC5E80"/>
    <w:rsid w:val="00AC609B"/>
    <w:rsid w:val="00AC6A45"/>
    <w:rsid w:val="00AC6B3F"/>
    <w:rsid w:val="00AC6D2A"/>
    <w:rsid w:val="00AC7DE6"/>
    <w:rsid w:val="00AD1579"/>
    <w:rsid w:val="00AD1974"/>
    <w:rsid w:val="00AD1F0C"/>
    <w:rsid w:val="00AD3DD2"/>
    <w:rsid w:val="00AD4987"/>
    <w:rsid w:val="00AD5E7A"/>
    <w:rsid w:val="00AD6448"/>
    <w:rsid w:val="00AD6FC9"/>
    <w:rsid w:val="00AD730E"/>
    <w:rsid w:val="00AD7ED3"/>
    <w:rsid w:val="00AE0BF6"/>
    <w:rsid w:val="00AE49DA"/>
    <w:rsid w:val="00AE4A92"/>
    <w:rsid w:val="00AE6EAF"/>
    <w:rsid w:val="00AE70B5"/>
    <w:rsid w:val="00AE71D5"/>
    <w:rsid w:val="00AE78D5"/>
    <w:rsid w:val="00AF31A2"/>
    <w:rsid w:val="00AF3BC8"/>
    <w:rsid w:val="00AF6EFA"/>
    <w:rsid w:val="00B0063E"/>
    <w:rsid w:val="00B02488"/>
    <w:rsid w:val="00B031C4"/>
    <w:rsid w:val="00B032E4"/>
    <w:rsid w:val="00B03770"/>
    <w:rsid w:val="00B05239"/>
    <w:rsid w:val="00B05421"/>
    <w:rsid w:val="00B11803"/>
    <w:rsid w:val="00B11BFB"/>
    <w:rsid w:val="00B1251E"/>
    <w:rsid w:val="00B1547A"/>
    <w:rsid w:val="00B1559C"/>
    <w:rsid w:val="00B16A74"/>
    <w:rsid w:val="00B17A15"/>
    <w:rsid w:val="00B26249"/>
    <w:rsid w:val="00B2756C"/>
    <w:rsid w:val="00B27669"/>
    <w:rsid w:val="00B30B65"/>
    <w:rsid w:val="00B31684"/>
    <w:rsid w:val="00B33733"/>
    <w:rsid w:val="00B34303"/>
    <w:rsid w:val="00B34662"/>
    <w:rsid w:val="00B36D46"/>
    <w:rsid w:val="00B36E0F"/>
    <w:rsid w:val="00B37967"/>
    <w:rsid w:val="00B37C90"/>
    <w:rsid w:val="00B401EB"/>
    <w:rsid w:val="00B4033D"/>
    <w:rsid w:val="00B404C5"/>
    <w:rsid w:val="00B40D65"/>
    <w:rsid w:val="00B419FE"/>
    <w:rsid w:val="00B41C22"/>
    <w:rsid w:val="00B43CB0"/>
    <w:rsid w:val="00B43D5C"/>
    <w:rsid w:val="00B46091"/>
    <w:rsid w:val="00B46D31"/>
    <w:rsid w:val="00B46E1C"/>
    <w:rsid w:val="00B46E29"/>
    <w:rsid w:val="00B46FA3"/>
    <w:rsid w:val="00B47373"/>
    <w:rsid w:val="00B50CA8"/>
    <w:rsid w:val="00B51CC0"/>
    <w:rsid w:val="00B51CCD"/>
    <w:rsid w:val="00B52E9E"/>
    <w:rsid w:val="00B53125"/>
    <w:rsid w:val="00B53AF1"/>
    <w:rsid w:val="00B53BD5"/>
    <w:rsid w:val="00B53E87"/>
    <w:rsid w:val="00B550C0"/>
    <w:rsid w:val="00B570BE"/>
    <w:rsid w:val="00B575DE"/>
    <w:rsid w:val="00B6064F"/>
    <w:rsid w:val="00B609FA"/>
    <w:rsid w:val="00B60ECB"/>
    <w:rsid w:val="00B60F7B"/>
    <w:rsid w:val="00B61B9C"/>
    <w:rsid w:val="00B63909"/>
    <w:rsid w:val="00B639AB"/>
    <w:rsid w:val="00B640B9"/>
    <w:rsid w:val="00B64DE8"/>
    <w:rsid w:val="00B658D6"/>
    <w:rsid w:val="00B661EE"/>
    <w:rsid w:val="00B66EAB"/>
    <w:rsid w:val="00B720B1"/>
    <w:rsid w:val="00B720C3"/>
    <w:rsid w:val="00B73238"/>
    <w:rsid w:val="00B7373D"/>
    <w:rsid w:val="00B737E6"/>
    <w:rsid w:val="00B7496E"/>
    <w:rsid w:val="00B800FA"/>
    <w:rsid w:val="00B80912"/>
    <w:rsid w:val="00B80A49"/>
    <w:rsid w:val="00B80A65"/>
    <w:rsid w:val="00B81499"/>
    <w:rsid w:val="00B81835"/>
    <w:rsid w:val="00B81D82"/>
    <w:rsid w:val="00B82134"/>
    <w:rsid w:val="00B827F2"/>
    <w:rsid w:val="00B83020"/>
    <w:rsid w:val="00B83188"/>
    <w:rsid w:val="00B8424A"/>
    <w:rsid w:val="00B84DC2"/>
    <w:rsid w:val="00B90D84"/>
    <w:rsid w:val="00B91E28"/>
    <w:rsid w:val="00B92070"/>
    <w:rsid w:val="00B94C63"/>
    <w:rsid w:val="00B95664"/>
    <w:rsid w:val="00B96111"/>
    <w:rsid w:val="00B962F1"/>
    <w:rsid w:val="00BA0056"/>
    <w:rsid w:val="00BA0CBC"/>
    <w:rsid w:val="00BA328B"/>
    <w:rsid w:val="00BA34C4"/>
    <w:rsid w:val="00BA3C92"/>
    <w:rsid w:val="00BA3FD7"/>
    <w:rsid w:val="00BA64B3"/>
    <w:rsid w:val="00BB190E"/>
    <w:rsid w:val="00BB1A8F"/>
    <w:rsid w:val="00BB26FE"/>
    <w:rsid w:val="00BC019D"/>
    <w:rsid w:val="00BC070E"/>
    <w:rsid w:val="00BC1A6D"/>
    <w:rsid w:val="00BC35B7"/>
    <w:rsid w:val="00BC7644"/>
    <w:rsid w:val="00BD1FC7"/>
    <w:rsid w:val="00BD21B5"/>
    <w:rsid w:val="00BD244B"/>
    <w:rsid w:val="00BD2510"/>
    <w:rsid w:val="00BD3EC2"/>
    <w:rsid w:val="00BD442E"/>
    <w:rsid w:val="00BD5033"/>
    <w:rsid w:val="00BD5659"/>
    <w:rsid w:val="00BD66EE"/>
    <w:rsid w:val="00BD67F0"/>
    <w:rsid w:val="00BD7E19"/>
    <w:rsid w:val="00BE0637"/>
    <w:rsid w:val="00BE0E6C"/>
    <w:rsid w:val="00BE31C6"/>
    <w:rsid w:val="00BE3629"/>
    <w:rsid w:val="00BE3A85"/>
    <w:rsid w:val="00BE47CD"/>
    <w:rsid w:val="00BE6B3C"/>
    <w:rsid w:val="00BE72EE"/>
    <w:rsid w:val="00BE7351"/>
    <w:rsid w:val="00BF0EE7"/>
    <w:rsid w:val="00BF2881"/>
    <w:rsid w:val="00BF30F0"/>
    <w:rsid w:val="00BF3F92"/>
    <w:rsid w:val="00BF4470"/>
    <w:rsid w:val="00BF468D"/>
    <w:rsid w:val="00BF470C"/>
    <w:rsid w:val="00BF580B"/>
    <w:rsid w:val="00BF5CC2"/>
    <w:rsid w:val="00BF6C46"/>
    <w:rsid w:val="00C00A0D"/>
    <w:rsid w:val="00C01008"/>
    <w:rsid w:val="00C04445"/>
    <w:rsid w:val="00C0445F"/>
    <w:rsid w:val="00C04BD1"/>
    <w:rsid w:val="00C05BBA"/>
    <w:rsid w:val="00C1282A"/>
    <w:rsid w:val="00C13054"/>
    <w:rsid w:val="00C144AE"/>
    <w:rsid w:val="00C148A2"/>
    <w:rsid w:val="00C16290"/>
    <w:rsid w:val="00C16343"/>
    <w:rsid w:val="00C16B09"/>
    <w:rsid w:val="00C16F39"/>
    <w:rsid w:val="00C173F5"/>
    <w:rsid w:val="00C17A22"/>
    <w:rsid w:val="00C20E3D"/>
    <w:rsid w:val="00C21C59"/>
    <w:rsid w:val="00C22395"/>
    <w:rsid w:val="00C2307E"/>
    <w:rsid w:val="00C234C5"/>
    <w:rsid w:val="00C23DDF"/>
    <w:rsid w:val="00C24D3A"/>
    <w:rsid w:val="00C24E65"/>
    <w:rsid w:val="00C2552B"/>
    <w:rsid w:val="00C2631E"/>
    <w:rsid w:val="00C278F7"/>
    <w:rsid w:val="00C300E8"/>
    <w:rsid w:val="00C32A71"/>
    <w:rsid w:val="00C3489E"/>
    <w:rsid w:val="00C34FD9"/>
    <w:rsid w:val="00C4253E"/>
    <w:rsid w:val="00C4348B"/>
    <w:rsid w:val="00C43506"/>
    <w:rsid w:val="00C43F5C"/>
    <w:rsid w:val="00C44A73"/>
    <w:rsid w:val="00C44BAF"/>
    <w:rsid w:val="00C44D5D"/>
    <w:rsid w:val="00C45003"/>
    <w:rsid w:val="00C46407"/>
    <w:rsid w:val="00C47C85"/>
    <w:rsid w:val="00C47F1E"/>
    <w:rsid w:val="00C50922"/>
    <w:rsid w:val="00C51897"/>
    <w:rsid w:val="00C53975"/>
    <w:rsid w:val="00C547C4"/>
    <w:rsid w:val="00C54E9A"/>
    <w:rsid w:val="00C56A95"/>
    <w:rsid w:val="00C5730B"/>
    <w:rsid w:val="00C57580"/>
    <w:rsid w:val="00C575B6"/>
    <w:rsid w:val="00C57B47"/>
    <w:rsid w:val="00C61387"/>
    <w:rsid w:val="00C61DB2"/>
    <w:rsid w:val="00C641D0"/>
    <w:rsid w:val="00C65161"/>
    <w:rsid w:val="00C65F28"/>
    <w:rsid w:val="00C66899"/>
    <w:rsid w:val="00C66C90"/>
    <w:rsid w:val="00C709C5"/>
    <w:rsid w:val="00C713A3"/>
    <w:rsid w:val="00C72AB6"/>
    <w:rsid w:val="00C7433A"/>
    <w:rsid w:val="00C745E8"/>
    <w:rsid w:val="00C75C29"/>
    <w:rsid w:val="00C75CB4"/>
    <w:rsid w:val="00C76E2B"/>
    <w:rsid w:val="00C77456"/>
    <w:rsid w:val="00C77A9B"/>
    <w:rsid w:val="00C77AE8"/>
    <w:rsid w:val="00C805F1"/>
    <w:rsid w:val="00C82073"/>
    <w:rsid w:val="00C83283"/>
    <w:rsid w:val="00C83A99"/>
    <w:rsid w:val="00C8485C"/>
    <w:rsid w:val="00C84D8A"/>
    <w:rsid w:val="00C850A8"/>
    <w:rsid w:val="00C85864"/>
    <w:rsid w:val="00C86BA2"/>
    <w:rsid w:val="00C8717E"/>
    <w:rsid w:val="00C87BC9"/>
    <w:rsid w:val="00C9072E"/>
    <w:rsid w:val="00C917EA"/>
    <w:rsid w:val="00C924BC"/>
    <w:rsid w:val="00C92ADB"/>
    <w:rsid w:val="00C93178"/>
    <w:rsid w:val="00C94553"/>
    <w:rsid w:val="00C94E1C"/>
    <w:rsid w:val="00C9658F"/>
    <w:rsid w:val="00C96ED2"/>
    <w:rsid w:val="00C97375"/>
    <w:rsid w:val="00C97CD1"/>
    <w:rsid w:val="00CA0D9E"/>
    <w:rsid w:val="00CA1160"/>
    <w:rsid w:val="00CA1F2B"/>
    <w:rsid w:val="00CA2537"/>
    <w:rsid w:val="00CA3C77"/>
    <w:rsid w:val="00CA6F68"/>
    <w:rsid w:val="00CB01EF"/>
    <w:rsid w:val="00CB050F"/>
    <w:rsid w:val="00CB1A60"/>
    <w:rsid w:val="00CB25C6"/>
    <w:rsid w:val="00CB3BF5"/>
    <w:rsid w:val="00CB5229"/>
    <w:rsid w:val="00CB5D28"/>
    <w:rsid w:val="00CB5D55"/>
    <w:rsid w:val="00CB7F8E"/>
    <w:rsid w:val="00CC0626"/>
    <w:rsid w:val="00CC15F8"/>
    <w:rsid w:val="00CC213E"/>
    <w:rsid w:val="00CC2F45"/>
    <w:rsid w:val="00CC32D5"/>
    <w:rsid w:val="00CC36ED"/>
    <w:rsid w:val="00CC37B8"/>
    <w:rsid w:val="00CC3D65"/>
    <w:rsid w:val="00CC3F6A"/>
    <w:rsid w:val="00CC581A"/>
    <w:rsid w:val="00CC63B6"/>
    <w:rsid w:val="00CC6539"/>
    <w:rsid w:val="00CD1008"/>
    <w:rsid w:val="00CD3664"/>
    <w:rsid w:val="00CD4BD4"/>
    <w:rsid w:val="00CD50A1"/>
    <w:rsid w:val="00CE130A"/>
    <w:rsid w:val="00CE27EE"/>
    <w:rsid w:val="00CE288C"/>
    <w:rsid w:val="00CE2CC3"/>
    <w:rsid w:val="00CE2DA6"/>
    <w:rsid w:val="00CE5CA8"/>
    <w:rsid w:val="00CE5EC5"/>
    <w:rsid w:val="00CE61A1"/>
    <w:rsid w:val="00CE7139"/>
    <w:rsid w:val="00CF0359"/>
    <w:rsid w:val="00CF16A3"/>
    <w:rsid w:val="00CF16D2"/>
    <w:rsid w:val="00CF176C"/>
    <w:rsid w:val="00CF24E9"/>
    <w:rsid w:val="00CF2850"/>
    <w:rsid w:val="00CF3CAF"/>
    <w:rsid w:val="00CF548B"/>
    <w:rsid w:val="00CF5ADF"/>
    <w:rsid w:val="00CF6874"/>
    <w:rsid w:val="00CF711C"/>
    <w:rsid w:val="00D0061C"/>
    <w:rsid w:val="00D01D36"/>
    <w:rsid w:val="00D0264D"/>
    <w:rsid w:val="00D035F7"/>
    <w:rsid w:val="00D06572"/>
    <w:rsid w:val="00D07019"/>
    <w:rsid w:val="00D10EAE"/>
    <w:rsid w:val="00D11B84"/>
    <w:rsid w:val="00D12AAE"/>
    <w:rsid w:val="00D12C7F"/>
    <w:rsid w:val="00D13B7F"/>
    <w:rsid w:val="00D13E96"/>
    <w:rsid w:val="00D143B3"/>
    <w:rsid w:val="00D156A9"/>
    <w:rsid w:val="00D17E4C"/>
    <w:rsid w:val="00D20B8B"/>
    <w:rsid w:val="00D21F3B"/>
    <w:rsid w:val="00D223BC"/>
    <w:rsid w:val="00D227FD"/>
    <w:rsid w:val="00D234E1"/>
    <w:rsid w:val="00D23E89"/>
    <w:rsid w:val="00D2429D"/>
    <w:rsid w:val="00D25040"/>
    <w:rsid w:val="00D255C3"/>
    <w:rsid w:val="00D26B7E"/>
    <w:rsid w:val="00D2724C"/>
    <w:rsid w:val="00D277AA"/>
    <w:rsid w:val="00D30FFC"/>
    <w:rsid w:val="00D31D1E"/>
    <w:rsid w:val="00D31EFA"/>
    <w:rsid w:val="00D32119"/>
    <w:rsid w:val="00D3309D"/>
    <w:rsid w:val="00D333A6"/>
    <w:rsid w:val="00D345D7"/>
    <w:rsid w:val="00D357A7"/>
    <w:rsid w:val="00D35F87"/>
    <w:rsid w:val="00D400AA"/>
    <w:rsid w:val="00D40E94"/>
    <w:rsid w:val="00D418A1"/>
    <w:rsid w:val="00D42297"/>
    <w:rsid w:val="00D435D7"/>
    <w:rsid w:val="00D445D9"/>
    <w:rsid w:val="00D472E4"/>
    <w:rsid w:val="00D478B5"/>
    <w:rsid w:val="00D47EDB"/>
    <w:rsid w:val="00D500B8"/>
    <w:rsid w:val="00D50F38"/>
    <w:rsid w:val="00D51650"/>
    <w:rsid w:val="00D51726"/>
    <w:rsid w:val="00D51D64"/>
    <w:rsid w:val="00D52202"/>
    <w:rsid w:val="00D52E39"/>
    <w:rsid w:val="00D5449F"/>
    <w:rsid w:val="00D556FB"/>
    <w:rsid w:val="00D55F6D"/>
    <w:rsid w:val="00D560A0"/>
    <w:rsid w:val="00D56601"/>
    <w:rsid w:val="00D60F2B"/>
    <w:rsid w:val="00D62C01"/>
    <w:rsid w:val="00D7011A"/>
    <w:rsid w:val="00D70490"/>
    <w:rsid w:val="00D71328"/>
    <w:rsid w:val="00D72615"/>
    <w:rsid w:val="00D74F38"/>
    <w:rsid w:val="00D75515"/>
    <w:rsid w:val="00D77B53"/>
    <w:rsid w:val="00D80B51"/>
    <w:rsid w:val="00D81149"/>
    <w:rsid w:val="00D811EB"/>
    <w:rsid w:val="00D81742"/>
    <w:rsid w:val="00D81C6E"/>
    <w:rsid w:val="00D823D7"/>
    <w:rsid w:val="00D82B62"/>
    <w:rsid w:val="00D84F6E"/>
    <w:rsid w:val="00D8572C"/>
    <w:rsid w:val="00D866C7"/>
    <w:rsid w:val="00D86BAD"/>
    <w:rsid w:val="00D90C12"/>
    <w:rsid w:val="00D90E34"/>
    <w:rsid w:val="00D926BA"/>
    <w:rsid w:val="00D92F50"/>
    <w:rsid w:val="00D941FB"/>
    <w:rsid w:val="00D94825"/>
    <w:rsid w:val="00D96AE4"/>
    <w:rsid w:val="00D975E4"/>
    <w:rsid w:val="00D9793B"/>
    <w:rsid w:val="00DA053E"/>
    <w:rsid w:val="00DA224D"/>
    <w:rsid w:val="00DA415C"/>
    <w:rsid w:val="00DA4FE8"/>
    <w:rsid w:val="00DA54BB"/>
    <w:rsid w:val="00DA6201"/>
    <w:rsid w:val="00DA724C"/>
    <w:rsid w:val="00DB1635"/>
    <w:rsid w:val="00DB16D0"/>
    <w:rsid w:val="00DB5195"/>
    <w:rsid w:val="00DB5FCA"/>
    <w:rsid w:val="00DB6479"/>
    <w:rsid w:val="00DB761C"/>
    <w:rsid w:val="00DC236D"/>
    <w:rsid w:val="00DC2B88"/>
    <w:rsid w:val="00DC7105"/>
    <w:rsid w:val="00DD151C"/>
    <w:rsid w:val="00DD2EB5"/>
    <w:rsid w:val="00DD3DDE"/>
    <w:rsid w:val="00DD41E4"/>
    <w:rsid w:val="00DD4915"/>
    <w:rsid w:val="00DD499B"/>
    <w:rsid w:val="00DD5463"/>
    <w:rsid w:val="00DD5509"/>
    <w:rsid w:val="00DD5670"/>
    <w:rsid w:val="00DD604E"/>
    <w:rsid w:val="00DD6256"/>
    <w:rsid w:val="00DE03C0"/>
    <w:rsid w:val="00DE2311"/>
    <w:rsid w:val="00DE2F46"/>
    <w:rsid w:val="00DE3F97"/>
    <w:rsid w:val="00DE4838"/>
    <w:rsid w:val="00DE5D47"/>
    <w:rsid w:val="00DE64E6"/>
    <w:rsid w:val="00DE6D12"/>
    <w:rsid w:val="00DE79BD"/>
    <w:rsid w:val="00DF0237"/>
    <w:rsid w:val="00DF0AC9"/>
    <w:rsid w:val="00DF17BF"/>
    <w:rsid w:val="00DF2886"/>
    <w:rsid w:val="00DF3355"/>
    <w:rsid w:val="00DF3DB3"/>
    <w:rsid w:val="00DF40BE"/>
    <w:rsid w:val="00DF416D"/>
    <w:rsid w:val="00DF4288"/>
    <w:rsid w:val="00DF4B20"/>
    <w:rsid w:val="00DF56D8"/>
    <w:rsid w:val="00DF5B91"/>
    <w:rsid w:val="00DF5BF9"/>
    <w:rsid w:val="00DF7457"/>
    <w:rsid w:val="00DF7B4A"/>
    <w:rsid w:val="00E00620"/>
    <w:rsid w:val="00E02ECE"/>
    <w:rsid w:val="00E03B3B"/>
    <w:rsid w:val="00E04718"/>
    <w:rsid w:val="00E05768"/>
    <w:rsid w:val="00E0626B"/>
    <w:rsid w:val="00E06AD4"/>
    <w:rsid w:val="00E06E90"/>
    <w:rsid w:val="00E07580"/>
    <w:rsid w:val="00E118CB"/>
    <w:rsid w:val="00E11DD4"/>
    <w:rsid w:val="00E12E85"/>
    <w:rsid w:val="00E13C5B"/>
    <w:rsid w:val="00E1465F"/>
    <w:rsid w:val="00E15536"/>
    <w:rsid w:val="00E155F5"/>
    <w:rsid w:val="00E15D76"/>
    <w:rsid w:val="00E16094"/>
    <w:rsid w:val="00E16857"/>
    <w:rsid w:val="00E203E5"/>
    <w:rsid w:val="00E20BB5"/>
    <w:rsid w:val="00E20D4A"/>
    <w:rsid w:val="00E230BD"/>
    <w:rsid w:val="00E24046"/>
    <w:rsid w:val="00E24BF2"/>
    <w:rsid w:val="00E25FF2"/>
    <w:rsid w:val="00E261E1"/>
    <w:rsid w:val="00E2647B"/>
    <w:rsid w:val="00E27118"/>
    <w:rsid w:val="00E27317"/>
    <w:rsid w:val="00E27B6D"/>
    <w:rsid w:val="00E27C51"/>
    <w:rsid w:val="00E3058C"/>
    <w:rsid w:val="00E30E74"/>
    <w:rsid w:val="00E3271A"/>
    <w:rsid w:val="00E33196"/>
    <w:rsid w:val="00E33F22"/>
    <w:rsid w:val="00E34070"/>
    <w:rsid w:val="00E34399"/>
    <w:rsid w:val="00E346C4"/>
    <w:rsid w:val="00E36A6E"/>
    <w:rsid w:val="00E37728"/>
    <w:rsid w:val="00E415FA"/>
    <w:rsid w:val="00E41DA7"/>
    <w:rsid w:val="00E426BE"/>
    <w:rsid w:val="00E42ED0"/>
    <w:rsid w:val="00E4351A"/>
    <w:rsid w:val="00E447A8"/>
    <w:rsid w:val="00E47410"/>
    <w:rsid w:val="00E47E90"/>
    <w:rsid w:val="00E517AA"/>
    <w:rsid w:val="00E55B7D"/>
    <w:rsid w:val="00E60268"/>
    <w:rsid w:val="00E608D2"/>
    <w:rsid w:val="00E60BF2"/>
    <w:rsid w:val="00E6188A"/>
    <w:rsid w:val="00E61ECA"/>
    <w:rsid w:val="00E63463"/>
    <w:rsid w:val="00E6432A"/>
    <w:rsid w:val="00E64492"/>
    <w:rsid w:val="00E647CE"/>
    <w:rsid w:val="00E65BC3"/>
    <w:rsid w:val="00E66358"/>
    <w:rsid w:val="00E66911"/>
    <w:rsid w:val="00E676BE"/>
    <w:rsid w:val="00E70331"/>
    <w:rsid w:val="00E7273B"/>
    <w:rsid w:val="00E72E79"/>
    <w:rsid w:val="00E745EB"/>
    <w:rsid w:val="00E7460B"/>
    <w:rsid w:val="00E749C2"/>
    <w:rsid w:val="00E74D5F"/>
    <w:rsid w:val="00E765E0"/>
    <w:rsid w:val="00E77DEA"/>
    <w:rsid w:val="00E81EB0"/>
    <w:rsid w:val="00E821FE"/>
    <w:rsid w:val="00E82DB7"/>
    <w:rsid w:val="00E83509"/>
    <w:rsid w:val="00E843BE"/>
    <w:rsid w:val="00E84B77"/>
    <w:rsid w:val="00E856D9"/>
    <w:rsid w:val="00E86C5E"/>
    <w:rsid w:val="00E87FBF"/>
    <w:rsid w:val="00E902AE"/>
    <w:rsid w:val="00E91277"/>
    <w:rsid w:val="00E92C09"/>
    <w:rsid w:val="00E9314D"/>
    <w:rsid w:val="00E936BC"/>
    <w:rsid w:val="00E94DFF"/>
    <w:rsid w:val="00E95610"/>
    <w:rsid w:val="00E95964"/>
    <w:rsid w:val="00E965DB"/>
    <w:rsid w:val="00E97313"/>
    <w:rsid w:val="00E97BB3"/>
    <w:rsid w:val="00EA0436"/>
    <w:rsid w:val="00EA05E4"/>
    <w:rsid w:val="00EA2E81"/>
    <w:rsid w:val="00EA3912"/>
    <w:rsid w:val="00EA48F3"/>
    <w:rsid w:val="00EA5EBA"/>
    <w:rsid w:val="00EA7236"/>
    <w:rsid w:val="00EA73AD"/>
    <w:rsid w:val="00EA7FDC"/>
    <w:rsid w:val="00EB084A"/>
    <w:rsid w:val="00EB0C27"/>
    <w:rsid w:val="00EB2172"/>
    <w:rsid w:val="00EB22D8"/>
    <w:rsid w:val="00EB3A8B"/>
    <w:rsid w:val="00EB41DD"/>
    <w:rsid w:val="00EB4302"/>
    <w:rsid w:val="00EB5483"/>
    <w:rsid w:val="00EB6F81"/>
    <w:rsid w:val="00EB6FB8"/>
    <w:rsid w:val="00EB7BE0"/>
    <w:rsid w:val="00EB7C31"/>
    <w:rsid w:val="00EC08F7"/>
    <w:rsid w:val="00EC090C"/>
    <w:rsid w:val="00EC2A48"/>
    <w:rsid w:val="00EC2DBA"/>
    <w:rsid w:val="00EC3661"/>
    <w:rsid w:val="00EC5251"/>
    <w:rsid w:val="00EC7FF3"/>
    <w:rsid w:val="00ED00B3"/>
    <w:rsid w:val="00ED03D3"/>
    <w:rsid w:val="00ED05BD"/>
    <w:rsid w:val="00ED0EBC"/>
    <w:rsid w:val="00ED104D"/>
    <w:rsid w:val="00ED1065"/>
    <w:rsid w:val="00ED130E"/>
    <w:rsid w:val="00ED19E2"/>
    <w:rsid w:val="00ED1AE2"/>
    <w:rsid w:val="00ED3BF4"/>
    <w:rsid w:val="00ED40AF"/>
    <w:rsid w:val="00ED4B4D"/>
    <w:rsid w:val="00ED5E30"/>
    <w:rsid w:val="00ED6470"/>
    <w:rsid w:val="00ED7747"/>
    <w:rsid w:val="00ED7D8B"/>
    <w:rsid w:val="00ED7F39"/>
    <w:rsid w:val="00EE1091"/>
    <w:rsid w:val="00EE1A61"/>
    <w:rsid w:val="00EE227F"/>
    <w:rsid w:val="00EE35B4"/>
    <w:rsid w:val="00EE3BA2"/>
    <w:rsid w:val="00EE4A0C"/>
    <w:rsid w:val="00EE78E4"/>
    <w:rsid w:val="00EF1424"/>
    <w:rsid w:val="00EF2164"/>
    <w:rsid w:val="00EF4310"/>
    <w:rsid w:val="00EF4A54"/>
    <w:rsid w:val="00EF531A"/>
    <w:rsid w:val="00F001B0"/>
    <w:rsid w:val="00F005F8"/>
    <w:rsid w:val="00F00CA3"/>
    <w:rsid w:val="00F02F1F"/>
    <w:rsid w:val="00F052AF"/>
    <w:rsid w:val="00F05B30"/>
    <w:rsid w:val="00F0726A"/>
    <w:rsid w:val="00F0761F"/>
    <w:rsid w:val="00F07E09"/>
    <w:rsid w:val="00F1063A"/>
    <w:rsid w:val="00F10878"/>
    <w:rsid w:val="00F112E3"/>
    <w:rsid w:val="00F11902"/>
    <w:rsid w:val="00F11A64"/>
    <w:rsid w:val="00F14B57"/>
    <w:rsid w:val="00F14C84"/>
    <w:rsid w:val="00F15CBB"/>
    <w:rsid w:val="00F163B6"/>
    <w:rsid w:val="00F1669F"/>
    <w:rsid w:val="00F16DB3"/>
    <w:rsid w:val="00F17A00"/>
    <w:rsid w:val="00F212B9"/>
    <w:rsid w:val="00F21353"/>
    <w:rsid w:val="00F22530"/>
    <w:rsid w:val="00F231CF"/>
    <w:rsid w:val="00F23B42"/>
    <w:rsid w:val="00F246DD"/>
    <w:rsid w:val="00F255E2"/>
    <w:rsid w:val="00F315EF"/>
    <w:rsid w:val="00F31F5E"/>
    <w:rsid w:val="00F3329F"/>
    <w:rsid w:val="00F353FE"/>
    <w:rsid w:val="00F35521"/>
    <w:rsid w:val="00F35CD3"/>
    <w:rsid w:val="00F35FAF"/>
    <w:rsid w:val="00F36E18"/>
    <w:rsid w:val="00F40989"/>
    <w:rsid w:val="00F42821"/>
    <w:rsid w:val="00F436FF"/>
    <w:rsid w:val="00F4447C"/>
    <w:rsid w:val="00F46DC4"/>
    <w:rsid w:val="00F50575"/>
    <w:rsid w:val="00F50BD8"/>
    <w:rsid w:val="00F51710"/>
    <w:rsid w:val="00F52662"/>
    <w:rsid w:val="00F52700"/>
    <w:rsid w:val="00F52C41"/>
    <w:rsid w:val="00F532DD"/>
    <w:rsid w:val="00F53D2B"/>
    <w:rsid w:val="00F54459"/>
    <w:rsid w:val="00F55863"/>
    <w:rsid w:val="00F55EC8"/>
    <w:rsid w:val="00F560F6"/>
    <w:rsid w:val="00F5742D"/>
    <w:rsid w:val="00F57D9E"/>
    <w:rsid w:val="00F57FA4"/>
    <w:rsid w:val="00F6022A"/>
    <w:rsid w:val="00F60BFA"/>
    <w:rsid w:val="00F615F4"/>
    <w:rsid w:val="00F630D1"/>
    <w:rsid w:val="00F65159"/>
    <w:rsid w:val="00F66B34"/>
    <w:rsid w:val="00F66C93"/>
    <w:rsid w:val="00F70084"/>
    <w:rsid w:val="00F72517"/>
    <w:rsid w:val="00F7285A"/>
    <w:rsid w:val="00F72D11"/>
    <w:rsid w:val="00F745C2"/>
    <w:rsid w:val="00F74CE2"/>
    <w:rsid w:val="00F74D36"/>
    <w:rsid w:val="00F74DF0"/>
    <w:rsid w:val="00F7505D"/>
    <w:rsid w:val="00F75F24"/>
    <w:rsid w:val="00F767BF"/>
    <w:rsid w:val="00F76B53"/>
    <w:rsid w:val="00F805C6"/>
    <w:rsid w:val="00F8196E"/>
    <w:rsid w:val="00F83E34"/>
    <w:rsid w:val="00F842E2"/>
    <w:rsid w:val="00F8628A"/>
    <w:rsid w:val="00F86353"/>
    <w:rsid w:val="00F86CA2"/>
    <w:rsid w:val="00F87F6E"/>
    <w:rsid w:val="00F90316"/>
    <w:rsid w:val="00F907B2"/>
    <w:rsid w:val="00F90A61"/>
    <w:rsid w:val="00F90AD0"/>
    <w:rsid w:val="00F9192A"/>
    <w:rsid w:val="00F92307"/>
    <w:rsid w:val="00F932BE"/>
    <w:rsid w:val="00F95738"/>
    <w:rsid w:val="00F963CE"/>
    <w:rsid w:val="00F975F6"/>
    <w:rsid w:val="00FA0448"/>
    <w:rsid w:val="00FA09C8"/>
    <w:rsid w:val="00FA1345"/>
    <w:rsid w:val="00FA1A1F"/>
    <w:rsid w:val="00FA3563"/>
    <w:rsid w:val="00FA3F15"/>
    <w:rsid w:val="00FA4860"/>
    <w:rsid w:val="00FA5360"/>
    <w:rsid w:val="00FA55C6"/>
    <w:rsid w:val="00FA59D5"/>
    <w:rsid w:val="00FA60EE"/>
    <w:rsid w:val="00FA7157"/>
    <w:rsid w:val="00FA7373"/>
    <w:rsid w:val="00FB08A7"/>
    <w:rsid w:val="00FB0E50"/>
    <w:rsid w:val="00FB15BB"/>
    <w:rsid w:val="00FB1CBB"/>
    <w:rsid w:val="00FB2046"/>
    <w:rsid w:val="00FB2782"/>
    <w:rsid w:val="00FB29C5"/>
    <w:rsid w:val="00FB2D0F"/>
    <w:rsid w:val="00FB2D1F"/>
    <w:rsid w:val="00FB3B7A"/>
    <w:rsid w:val="00FB5547"/>
    <w:rsid w:val="00FB5674"/>
    <w:rsid w:val="00FB600F"/>
    <w:rsid w:val="00FB740B"/>
    <w:rsid w:val="00FC0B16"/>
    <w:rsid w:val="00FC18A1"/>
    <w:rsid w:val="00FC2C7A"/>
    <w:rsid w:val="00FC37E6"/>
    <w:rsid w:val="00FC3AB4"/>
    <w:rsid w:val="00FC4482"/>
    <w:rsid w:val="00FC5613"/>
    <w:rsid w:val="00FC573F"/>
    <w:rsid w:val="00FC5A2D"/>
    <w:rsid w:val="00FC6BC6"/>
    <w:rsid w:val="00FC6F94"/>
    <w:rsid w:val="00FC7AD1"/>
    <w:rsid w:val="00FD0A01"/>
    <w:rsid w:val="00FD1CD1"/>
    <w:rsid w:val="00FD2C9E"/>
    <w:rsid w:val="00FD5083"/>
    <w:rsid w:val="00FD50A4"/>
    <w:rsid w:val="00FD5433"/>
    <w:rsid w:val="00FD54B8"/>
    <w:rsid w:val="00FD66DC"/>
    <w:rsid w:val="00FD7559"/>
    <w:rsid w:val="00FE1B75"/>
    <w:rsid w:val="00FE22AF"/>
    <w:rsid w:val="00FE2A08"/>
    <w:rsid w:val="00FE53BD"/>
    <w:rsid w:val="00FE6743"/>
    <w:rsid w:val="00FE744A"/>
    <w:rsid w:val="00FE7D5E"/>
    <w:rsid w:val="00FF06D0"/>
    <w:rsid w:val="00FF264E"/>
    <w:rsid w:val="00FF3640"/>
    <w:rsid w:val="00FF39EE"/>
    <w:rsid w:val="00FF4E12"/>
    <w:rsid w:val="00FF5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C078E"/>
  <w15:docId w15:val="{A058DD49-7D96-46E7-AA7D-76EE001A6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777"/>
  </w:style>
  <w:style w:type="paragraph" w:styleId="Heading1">
    <w:name w:val="heading 1"/>
    <w:basedOn w:val="Normal"/>
    <w:next w:val="Normal"/>
    <w:link w:val="Heading1Char"/>
    <w:qFormat/>
    <w:rsid w:val="00773B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3B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0542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EAE"/>
    <w:pPr>
      <w:ind w:left="720"/>
      <w:contextualSpacing/>
    </w:pPr>
  </w:style>
  <w:style w:type="character" w:styleId="CommentReference">
    <w:name w:val="annotation reference"/>
    <w:basedOn w:val="DefaultParagraphFont"/>
    <w:uiPriority w:val="99"/>
    <w:semiHidden/>
    <w:unhideWhenUsed/>
    <w:rsid w:val="00C84D8A"/>
    <w:rPr>
      <w:sz w:val="16"/>
      <w:szCs w:val="16"/>
    </w:rPr>
  </w:style>
  <w:style w:type="paragraph" w:styleId="CommentText">
    <w:name w:val="annotation text"/>
    <w:basedOn w:val="Normal"/>
    <w:link w:val="CommentTextChar"/>
    <w:uiPriority w:val="99"/>
    <w:unhideWhenUsed/>
    <w:rsid w:val="00364429"/>
    <w:pPr>
      <w:spacing w:line="240" w:lineRule="auto"/>
    </w:pPr>
    <w:rPr>
      <w:sz w:val="20"/>
      <w:szCs w:val="20"/>
    </w:rPr>
  </w:style>
  <w:style w:type="character" w:customStyle="1" w:styleId="CommentTextChar">
    <w:name w:val="Comment Text Char"/>
    <w:basedOn w:val="DefaultParagraphFont"/>
    <w:link w:val="CommentText"/>
    <w:uiPriority w:val="99"/>
    <w:rsid w:val="00C84D8A"/>
    <w:rPr>
      <w:sz w:val="20"/>
      <w:szCs w:val="20"/>
    </w:rPr>
  </w:style>
  <w:style w:type="paragraph" w:styleId="CommentSubject">
    <w:name w:val="annotation subject"/>
    <w:basedOn w:val="CommentText"/>
    <w:next w:val="CommentText"/>
    <w:link w:val="CommentSubjectChar"/>
    <w:uiPriority w:val="99"/>
    <w:semiHidden/>
    <w:unhideWhenUsed/>
    <w:rsid w:val="00C84D8A"/>
    <w:rPr>
      <w:b/>
      <w:bCs/>
    </w:rPr>
  </w:style>
  <w:style w:type="character" w:customStyle="1" w:styleId="CommentSubjectChar">
    <w:name w:val="Comment Subject Char"/>
    <w:basedOn w:val="CommentTextChar"/>
    <w:link w:val="CommentSubject"/>
    <w:uiPriority w:val="99"/>
    <w:semiHidden/>
    <w:rsid w:val="00C84D8A"/>
    <w:rPr>
      <w:b/>
      <w:bCs/>
      <w:sz w:val="20"/>
      <w:szCs w:val="20"/>
    </w:rPr>
  </w:style>
  <w:style w:type="paragraph" w:styleId="BalloonText">
    <w:name w:val="Balloon Text"/>
    <w:basedOn w:val="Normal"/>
    <w:link w:val="BalloonTextChar"/>
    <w:uiPriority w:val="99"/>
    <w:semiHidden/>
    <w:unhideWhenUsed/>
    <w:rsid w:val="00C84D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D8A"/>
    <w:rPr>
      <w:rFonts w:ascii="Tahoma" w:hAnsi="Tahoma" w:cs="Tahoma"/>
      <w:sz w:val="16"/>
      <w:szCs w:val="16"/>
    </w:rPr>
  </w:style>
  <w:style w:type="character" w:customStyle="1" w:styleId="Heading1Char">
    <w:name w:val="Heading 1 Char"/>
    <w:basedOn w:val="DefaultParagraphFont"/>
    <w:link w:val="Heading1"/>
    <w:rsid w:val="00773B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3B3E"/>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B3E"/>
    <w:pPr>
      <w:outlineLvl w:val="9"/>
    </w:pPr>
    <w:rPr>
      <w:lang w:val="en-US" w:eastAsia="ja-JP"/>
    </w:rPr>
  </w:style>
  <w:style w:type="paragraph" w:styleId="TOC1">
    <w:name w:val="toc 1"/>
    <w:basedOn w:val="Normal"/>
    <w:next w:val="Normal"/>
    <w:autoRedefine/>
    <w:uiPriority w:val="39"/>
    <w:unhideWhenUsed/>
    <w:qFormat/>
    <w:rsid w:val="00773B3E"/>
    <w:pPr>
      <w:spacing w:after="100"/>
    </w:pPr>
  </w:style>
  <w:style w:type="paragraph" w:styleId="TOC2">
    <w:name w:val="toc 2"/>
    <w:basedOn w:val="Normal"/>
    <w:next w:val="Normal"/>
    <w:autoRedefine/>
    <w:uiPriority w:val="39"/>
    <w:unhideWhenUsed/>
    <w:qFormat/>
    <w:rsid w:val="00773B3E"/>
    <w:pPr>
      <w:spacing w:after="100"/>
      <w:ind w:left="220"/>
    </w:pPr>
  </w:style>
  <w:style w:type="character" w:styleId="Hyperlink">
    <w:name w:val="Hyperlink"/>
    <w:basedOn w:val="DefaultParagraphFont"/>
    <w:uiPriority w:val="99"/>
    <w:unhideWhenUsed/>
    <w:rsid w:val="00773B3E"/>
    <w:rPr>
      <w:color w:val="0000FF" w:themeColor="hyperlink"/>
      <w:u w:val="single"/>
    </w:rPr>
  </w:style>
  <w:style w:type="paragraph" w:styleId="TOC3">
    <w:name w:val="toc 3"/>
    <w:basedOn w:val="Normal"/>
    <w:next w:val="Normal"/>
    <w:autoRedefine/>
    <w:uiPriority w:val="39"/>
    <w:unhideWhenUsed/>
    <w:qFormat/>
    <w:rsid w:val="000F6613"/>
    <w:pPr>
      <w:tabs>
        <w:tab w:val="right" w:leader="dot" w:pos="9016"/>
      </w:tabs>
      <w:spacing w:after="100" w:line="240" w:lineRule="auto"/>
      <w:ind w:left="442"/>
    </w:pPr>
    <w:rPr>
      <w:rFonts w:eastAsiaTheme="minorEastAsia"/>
      <w:lang w:val="en-US" w:eastAsia="ja-JP"/>
    </w:rPr>
  </w:style>
  <w:style w:type="character" w:customStyle="1" w:styleId="Heading3Char">
    <w:name w:val="Heading 3 Char"/>
    <w:basedOn w:val="DefaultParagraphFont"/>
    <w:link w:val="Heading3"/>
    <w:uiPriority w:val="9"/>
    <w:rsid w:val="00B05421"/>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C65F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F28"/>
  </w:style>
  <w:style w:type="paragraph" w:styleId="Footer">
    <w:name w:val="footer"/>
    <w:basedOn w:val="Normal"/>
    <w:link w:val="FooterChar"/>
    <w:uiPriority w:val="99"/>
    <w:unhideWhenUsed/>
    <w:rsid w:val="00C65F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F28"/>
  </w:style>
  <w:style w:type="paragraph" w:customStyle="1" w:styleId="DocTitle">
    <w:name w:val="Doc Title"/>
    <w:basedOn w:val="Normal"/>
    <w:next w:val="Heading1"/>
    <w:rsid w:val="00E4351A"/>
    <w:pPr>
      <w:tabs>
        <w:tab w:val="left" w:pos="851"/>
        <w:tab w:val="right" w:pos="9356"/>
      </w:tabs>
      <w:spacing w:before="480" w:after="240" w:line="480" w:lineRule="exact"/>
      <w:jc w:val="center"/>
    </w:pPr>
    <w:rPr>
      <w:rFonts w:ascii="Times New Roman" w:eastAsia="Times New Roman" w:hAnsi="Times New Roman" w:cs="Sendnya"/>
      <w:b/>
      <w:bCs/>
      <w:caps/>
      <w:sz w:val="32"/>
      <w:szCs w:val="32"/>
      <w:lang w:eastAsia="en-GB"/>
    </w:rPr>
  </w:style>
  <w:style w:type="character" w:styleId="BookTitle">
    <w:name w:val="Book Title"/>
    <w:uiPriority w:val="33"/>
    <w:qFormat/>
    <w:rsid w:val="00E4351A"/>
    <w:rPr>
      <w:b/>
      <w:bCs/>
      <w:smallCaps/>
      <w:spacing w:val="5"/>
    </w:rPr>
  </w:style>
  <w:style w:type="table" w:styleId="TableGrid">
    <w:name w:val="Table Grid"/>
    <w:basedOn w:val="TableNormal"/>
    <w:uiPriority w:val="39"/>
    <w:rsid w:val="00DF0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2A3B"/>
    <w:rPr>
      <w:color w:val="808080"/>
    </w:rPr>
  </w:style>
  <w:style w:type="paragraph" w:styleId="FootnoteText">
    <w:name w:val="footnote text"/>
    <w:aliases w:val="EBA_Footnote Text,Footnote Text Char Char,Footnote,Fußnote,FSR footnote,lábléc Car Car Car,Fodnotetekst Tegn Tegn Tegn Tegn Tegn Tegn Tegn Char Char,Fodnotetekst Tegn Tegn Tegn Tegn Tegn Tegn Tegn Char Char Char Char,fn,lábléc,text"/>
    <w:basedOn w:val="Normal"/>
    <w:link w:val="FootnoteTextChar"/>
    <w:uiPriority w:val="99"/>
    <w:unhideWhenUsed/>
    <w:qFormat/>
    <w:rsid w:val="009E0DE4"/>
    <w:pPr>
      <w:spacing w:after="0" w:line="240" w:lineRule="auto"/>
    </w:pPr>
    <w:rPr>
      <w:sz w:val="20"/>
      <w:szCs w:val="20"/>
    </w:rPr>
  </w:style>
  <w:style w:type="character" w:customStyle="1" w:styleId="FootnoteTextChar">
    <w:name w:val="Footnote Text Char"/>
    <w:aliases w:val="EBA_Footnote Text Char,Footnote Text Char Char Char,Footnote Char,Fußnote Char,FSR footnote Char,lábléc Car Car Car Char,Fodnotetekst Tegn Tegn Tegn Tegn Tegn Tegn Tegn Char Char Char,fn Char,lábléc Char,text Char"/>
    <w:basedOn w:val="DefaultParagraphFont"/>
    <w:link w:val="FootnoteText"/>
    <w:uiPriority w:val="99"/>
    <w:qFormat/>
    <w:rsid w:val="009E0DE4"/>
    <w:rPr>
      <w:sz w:val="20"/>
      <w:szCs w:val="20"/>
    </w:rPr>
  </w:style>
  <w:style w:type="character" w:styleId="FootnoteReference">
    <w:name w:val="footnote reference"/>
    <w:aliases w:val="Footnote Reference Number,Footnote Reference_LVL6,Footnote Reference_LVL61,Footnote Reference_LVL62,Footnote Reference_LVL63,Footnote Reference_LVL64,Footnote symbol,Footnote reference number,Fußnotenzeichen3,Char1,Címsor 5 Char1"/>
    <w:basedOn w:val="DefaultParagraphFont"/>
    <w:uiPriority w:val="99"/>
    <w:unhideWhenUsed/>
    <w:qFormat/>
    <w:rsid w:val="009E0DE4"/>
    <w:rPr>
      <w:vertAlign w:val="superscript"/>
    </w:rPr>
  </w:style>
  <w:style w:type="paragraph" w:styleId="Revision">
    <w:name w:val="Revision"/>
    <w:hidden/>
    <w:uiPriority w:val="99"/>
    <w:semiHidden/>
    <w:rsid w:val="001F6E46"/>
    <w:pPr>
      <w:spacing w:after="0" w:line="240" w:lineRule="auto"/>
    </w:pPr>
  </w:style>
  <w:style w:type="character" w:customStyle="1" w:styleId="UnresolvedMention1">
    <w:name w:val="Unresolved Mention1"/>
    <w:basedOn w:val="DefaultParagraphFont"/>
    <w:uiPriority w:val="99"/>
    <w:semiHidden/>
    <w:unhideWhenUsed/>
    <w:rsid w:val="006B640E"/>
    <w:rPr>
      <w:color w:val="605E5C"/>
      <w:shd w:val="clear" w:color="auto" w:fill="E1DFDD"/>
    </w:rPr>
  </w:style>
  <w:style w:type="paragraph" w:customStyle="1" w:styleId="numberedparagraph">
    <w:name w:val="numbered paragraph"/>
    <w:basedOn w:val="Normal"/>
    <w:qFormat/>
    <w:rsid w:val="006B640E"/>
    <w:pPr>
      <w:numPr>
        <w:numId w:val="26"/>
      </w:numPr>
      <w:spacing w:before="240" w:after="120"/>
      <w:jc w:val="both"/>
    </w:pPr>
    <w:rPr>
      <w:rFonts w:eastAsiaTheme="minorEastAsia"/>
      <w:szCs w:val="24"/>
    </w:rPr>
  </w:style>
  <w:style w:type="paragraph" w:customStyle="1" w:styleId="body">
    <w:name w:val="body"/>
    <w:link w:val="bodyChar"/>
    <w:qFormat/>
    <w:rsid w:val="00897912"/>
    <w:pPr>
      <w:spacing w:before="240" w:after="120"/>
      <w:jc w:val="both"/>
    </w:pPr>
    <w:rPr>
      <w:rFonts w:eastAsiaTheme="minorEastAsia"/>
      <w:szCs w:val="24"/>
      <w:lang w:val="en-US"/>
    </w:rPr>
  </w:style>
  <w:style w:type="character" w:customStyle="1" w:styleId="bodyChar">
    <w:name w:val="body Char"/>
    <w:basedOn w:val="DefaultParagraphFont"/>
    <w:link w:val="body"/>
    <w:rsid w:val="00897912"/>
    <w:rPr>
      <w:rFonts w:eastAsiaTheme="minorEastAsia"/>
      <w:szCs w:val="24"/>
      <w:lang w:val="en-US"/>
    </w:rPr>
  </w:style>
  <w:style w:type="character" w:customStyle="1" w:styleId="InstructionsTabelleberschrift">
    <w:name w:val="Instructions Tabelle Überschrift"/>
    <w:qFormat/>
    <w:rsid w:val="009864E7"/>
    <w:rPr>
      <w:rFonts w:ascii="Verdana" w:hAnsi="Verdana" w:cs="Times New Roman"/>
      <w:b/>
      <w:bCs/>
      <w:sz w:val="20"/>
      <w:u w:val="single"/>
    </w:rPr>
  </w:style>
  <w:style w:type="paragraph" w:customStyle="1" w:styleId="InstructionsText">
    <w:name w:val="Instructions Text"/>
    <w:basedOn w:val="Normal"/>
    <w:link w:val="InstructionsTextChar"/>
    <w:autoRedefine/>
    <w:rsid w:val="00D62C01"/>
    <w:pPr>
      <w:spacing w:after="120" w:line="240" w:lineRule="auto"/>
      <w:jc w:val="both"/>
    </w:pPr>
    <w:rPr>
      <w:rFonts w:ascii="Times New Roman" w:eastAsia="Times New Roman" w:hAnsi="Times New Roman" w:cs="Times New Roman"/>
      <w:sz w:val="24"/>
      <w:szCs w:val="24"/>
      <w:lang w:eastAsia="de-DE"/>
    </w:rPr>
  </w:style>
  <w:style w:type="character" w:customStyle="1" w:styleId="InstructionsTextChar">
    <w:name w:val="Instructions Text Char"/>
    <w:link w:val="InstructionsText"/>
    <w:locked/>
    <w:rsid w:val="00D62C01"/>
    <w:rPr>
      <w:rFonts w:ascii="Times New Roman" w:eastAsia="Times New Roman" w:hAnsi="Times New Roman" w:cs="Times New Roman"/>
      <w:sz w:val="24"/>
      <w:szCs w:val="24"/>
      <w:lang w:eastAsia="de-DE"/>
    </w:rPr>
  </w:style>
  <w:style w:type="paragraph" w:customStyle="1" w:styleId="Nummerierungsart3">
    <w:name w:val="Nummerierungsart3"/>
    <w:basedOn w:val="Normal"/>
    <w:uiPriority w:val="1"/>
    <w:qFormat/>
    <w:rsid w:val="0072373A"/>
    <w:pPr>
      <w:numPr>
        <w:numId w:val="31"/>
      </w:numPr>
      <w:spacing w:before="120" w:after="120" w:line="240" w:lineRule="auto"/>
      <w:jc w:val="both"/>
    </w:pPr>
    <w:rPr>
      <w:rFonts w:ascii="Verdana" w:eastAsia="Times New Roman" w:hAnsi="Verdana" w:cs="Times New Roman"/>
      <w:sz w:val="20"/>
      <w:szCs w:val="24"/>
    </w:rPr>
  </w:style>
  <w:style w:type="character" w:customStyle="1" w:styleId="FormatvorlageInstructionsTabelleText">
    <w:name w:val="Formatvorlage Instructions Tabelle Text"/>
    <w:uiPriority w:val="99"/>
    <w:qFormat/>
    <w:rsid w:val="0072373A"/>
    <w:rPr>
      <w:rFonts w:ascii="Verdana" w:hAnsi="Verdana" w:cs="Times New Roman"/>
      <w:bCs/>
      <w:sz w:val="20"/>
      <w:u w:val="none"/>
    </w:rPr>
  </w:style>
  <w:style w:type="character" w:styleId="UnresolvedMention">
    <w:name w:val="Unresolved Mention"/>
    <w:basedOn w:val="DefaultParagraphFont"/>
    <w:uiPriority w:val="99"/>
    <w:semiHidden/>
    <w:unhideWhenUsed/>
    <w:rsid w:val="00A45217"/>
    <w:rPr>
      <w:color w:val="605E5C"/>
      <w:shd w:val="clear" w:color="auto" w:fill="E1DFDD"/>
    </w:rPr>
  </w:style>
  <w:style w:type="paragraph" w:customStyle="1" w:styleId="Normalwithnumbering">
    <w:name w:val="Normal with numbering"/>
    <w:basedOn w:val="Normal"/>
    <w:link w:val="NormalwithnumberingChar"/>
    <w:qFormat/>
    <w:rsid w:val="0001466A"/>
    <w:pPr>
      <w:numPr>
        <w:numId w:val="33"/>
      </w:numPr>
      <w:spacing w:before="60" w:after="60" w:line="340" w:lineRule="exact"/>
      <w:ind w:right="57"/>
      <w:jc w:val="both"/>
    </w:pPr>
    <w:rPr>
      <w:rFonts w:ascii="Arial" w:eastAsia="Times New Roman" w:hAnsi="Arial" w:cs="Sendnya"/>
      <w:sz w:val="20"/>
      <w:lang w:eastAsia="en-GB"/>
    </w:rPr>
  </w:style>
  <w:style w:type="character" w:customStyle="1" w:styleId="NormalwithnumberingChar">
    <w:name w:val="Normal with numbering Char"/>
    <w:link w:val="Normalwithnumbering"/>
    <w:rsid w:val="0001466A"/>
    <w:rPr>
      <w:rFonts w:ascii="Arial" w:eastAsia="Times New Roman" w:hAnsi="Arial" w:cs="Sendnya"/>
      <w:sz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7212">
      <w:bodyDiv w:val="1"/>
      <w:marLeft w:val="0"/>
      <w:marRight w:val="0"/>
      <w:marTop w:val="0"/>
      <w:marBottom w:val="0"/>
      <w:divBdr>
        <w:top w:val="none" w:sz="0" w:space="0" w:color="auto"/>
        <w:left w:val="none" w:sz="0" w:space="0" w:color="auto"/>
        <w:bottom w:val="none" w:sz="0" w:space="0" w:color="auto"/>
        <w:right w:val="none" w:sz="0" w:space="0" w:color="auto"/>
      </w:divBdr>
    </w:div>
    <w:div w:id="31418694">
      <w:bodyDiv w:val="1"/>
      <w:marLeft w:val="0"/>
      <w:marRight w:val="0"/>
      <w:marTop w:val="0"/>
      <w:marBottom w:val="0"/>
      <w:divBdr>
        <w:top w:val="none" w:sz="0" w:space="0" w:color="auto"/>
        <w:left w:val="none" w:sz="0" w:space="0" w:color="auto"/>
        <w:bottom w:val="none" w:sz="0" w:space="0" w:color="auto"/>
        <w:right w:val="none" w:sz="0" w:space="0" w:color="auto"/>
      </w:divBdr>
    </w:div>
    <w:div w:id="204412734">
      <w:bodyDiv w:val="1"/>
      <w:marLeft w:val="0"/>
      <w:marRight w:val="0"/>
      <w:marTop w:val="0"/>
      <w:marBottom w:val="0"/>
      <w:divBdr>
        <w:top w:val="none" w:sz="0" w:space="0" w:color="auto"/>
        <w:left w:val="none" w:sz="0" w:space="0" w:color="auto"/>
        <w:bottom w:val="none" w:sz="0" w:space="0" w:color="auto"/>
        <w:right w:val="none" w:sz="0" w:space="0" w:color="auto"/>
      </w:divBdr>
    </w:div>
    <w:div w:id="1252617912">
      <w:bodyDiv w:val="1"/>
      <w:marLeft w:val="0"/>
      <w:marRight w:val="0"/>
      <w:marTop w:val="0"/>
      <w:marBottom w:val="0"/>
      <w:divBdr>
        <w:top w:val="none" w:sz="0" w:space="0" w:color="auto"/>
        <w:left w:val="none" w:sz="0" w:space="0" w:color="auto"/>
        <w:bottom w:val="none" w:sz="0" w:space="0" w:color="auto"/>
        <w:right w:val="none" w:sz="0" w:space="0" w:color="auto"/>
      </w:divBdr>
    </w:div>
    <w:div w:id="1530797975">
      <w:bodyDiv w:val="1"/>
      <w:marLeft w:val="0"/>
      <w:marRight w:val="0"/>
      <w:marTop w:val="0"/>
      <w:marBottom w:val="0"/>
      <w:divBdr>
        <w:top w:val="none" w:sz="0" w:space="0" w:color="auto"/>
        <w:left w:val="none" w:sz="0" w:space="0" w:color="auto"/>
        <w:bottom w:val="none" w:sz="0" w:space="0" w:color="auto"/>
        <w:right w:val="none" w:sz="0" w:space="0" w:color="auto"/>
      </w:divBdr>
    </w:div>
    <w:div w:id="1631666633">
      <w:bodyDiv w:val="1"/>
      <w:marLeft w:val="0"/>
      <w:marRight w:val="0"/>
      <w:marTop w:val="0"/>
      <w:marBottom w:val="0"/>
      <w:divBdr>
        <w:top w:val="none" w:sz="0" w:space="0" w:color="auto"/>
        <w:left w:val="none" w:sz="0" w:space="0" w:color="auto"/>
        <w:bottom w:val="none" w:sz="0" w:space="0" w:color="auto"/>
        <w:right w:val="none" w:sz="0" w:space="0" w:color="auto"/>
      </w:divBdr>
    </w:div>
    <w:div w:id="1655715927">
      <w:bodyDiv w:val="1"/>
      <w:marLeft w:val="0"/>
      <w:marRight w:val="0"/>
      <w:marTop w:val="0"/>
      <w:marBottom w:val="0"/>
      <w:divBdr>
        <w:top w:val="none" w:sz="0" w:space="0" w:color="auto"/>
        <w:left w:val="none" w:sz="0" w:space="0" w:color="auto"/>
        <w:bottom w:val="none" w:sz="0" w:space="0" w:color="auto"/>
        <w:right w:val="none" w:sz="0" w:space="0" w:color="auto"/>
      </w:divBdr>
    </w:div>
    <w:div w:id="1669290998">
      <w:bodyDiv w:val="1"/>
      <w:marLeft w:val="0"/>
      <w:marRight w:val="0"/>
      <w:marTop w:val="0"/>
      <w:marBottom w:val="0"/>
      <w:divBdr>
        <w:top w:val="none" w:sz="0" w:space="0" w:color="auto"/>
        <w:left w:val="none" w:sz="0" w:space="0" w:color="auto"/>
        <w:bottom w:val="none" w:sz="0" w:space="0" w:color="auto"/>
        <w:right w:val="none" w:sz="0" w:space="0" w:color="auto"/>
      </w:divBdr>
    </w:div>
    <w:div w:id="178468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 Type="http://schemas.openxmlformats.org/officeDocument/2006/relationships/hyperlink" Target="https://www.eba.europa.eu/risk-analysis-and-data/quantitative-impact-study/basel-iii-monitoring-exercise" TargetMode="External"/><Relationship Id="rId1" Type="http://schemas.openxmlformats.org/officeDocument/2006/relationships/hyperlink" Target="chrome-extension://efaidnbmnnnibpcajpcglclefindmkaj/https:/www.bankingsupervision.europa.eu/ecb/pub/pdf/ssm.icaap_guide_201811.en.pdf"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16" ma:contentTypeDescription="Criar um novo documento." ma:contentTypeScope="" ma:versionID="25cd4bb1aaf04bf7c36d581853a12fbf">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2898a58c724212c25df4c06f581a570c"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D3318E-A5A1-4D3C-8AD8-DBAA60FCD945}">
  <ds:schemaRefs>
    <ds:schemaRef ds:uri="http://schemas.openxmlformats.org/officeDocument/2006/bibliography"/>
  </ds:schemaRefs>
</ds:datastoreItem>
</file>

<file path=customXml/itemProps2.xml><?xml version="1.0" encoding="utf-8"?>
<ds:datastoreItem xmlns:ds="http://schemas.openxmlformats.org/officeDocument/2006/customXml" ds:itemID="{281F97FE-E6A9-470D-A6BA-2AEF6191D64F}"/>
</file>

<file path=customXml/itemProps3.xml><?xml version="1.0" encoding="utf-8"?>
<ds:datastoreItem xmlns:ds="http://schemas.openxmlformats.org/officeDocument/2006/customXml" ds:itemID="{DF8A637E-6426-4BD8-A404-0C085EA0D085}"/>
</file>

<file path=customXml/itemProps4.xml><?xml version="1.0" encoding="utf-8"?>
<ds:datastoreItem xmlns:ds="http://schemas.openxmlformats.org/officeDocument/2006/customXml" ds:itemID="{012D635D-6D7E-4E1F-BC9B-E48C64FF4383}"/>
</file>

<file path=docProps/app.xml><?xml version="1.0" encoding="utf-8"?>
<Properties xmlns="http://schemas.openxmlformats.org/officeDocument/2006/extended-properties" xmlns:vt="http://schemas.openxmlformats.org/officeDocument/2006/docPropsVTypes">
  <Template>Normal.dotm</Template>
  <TotalTime>584</TotalTime>
  <Pages>33</Pages>
  <Words>9414</Words>
  <Characters>53663</Characters>
  <Application>Microsoft Office Word</Application>
  <DocSecurity>0</DocSecurity>
  <Lines>447</Lines>
  <Paragraphs>125</Paragraphs>
  <ScaleCrop>false</ScaleCrop>
  <HeadingPairs>
    <vt:vector size="8" baseType="variant">
      <vt:variant>
        <vt:lpstr>Title</vt:lpstr>
      </vt:variant>
      <vt:variant>
        <vt:i4>1</vt:i4>
      </vt:variant>
      <vt:variant>
        <vt:lpstr>Titel</vt:lpstr>
      </vt:variant>
      <vt:variant>
        <vt:i4>1</vt:i4>
      </vt:variant>
      <vt:variant>
        <vt:lpstr>Titolo</vt:lpstr>
      </vt:variant>
      <vt:variant>
        <vt:i4>1</vt:i4>
      </vt:variant>
      <vt:variant>
        <vt:lpstr>Titre</vt:lpstr>
      </vt:variant>
      <vt:variant>
        <vt:i4>1</vt:i4>
      </vt:variant>
    </vt:vector>
  </HeadingPairs>
  <TitlesOfParts>
    <vt:vector size="4" baseType="lpstr">
      <vt:lpstr/>
      <vt:lpstr/>
      <vt:lpstr/>
      <vt:lpstr/>
    </vt:vector>
  </TitlesOfParts>
  <Company>European Central Bank</Company>
  <LinksUpToDate>false</LinksUpToDate>
  <CharactersWithSpaces>62952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Peralta, Joana</dc:creator>
  <cp:keywords/>
  <dc:description/>
  <cp:lastModifiedBy>Tranbaut, Alicia</cp:lastModifiedBy>
  <cp:revision>108</cp:revision>
  <cp:lastPrinted>2019-03-11T14:43:00Z</cp:lastPrinted>
  <dcterms:created xsi:type="dcterms:W3CDTF">2023-06-26T15:03:00Z</dcterms:created>
  <dcterms:modified xsi:type="dcterms:W3CDTF">2023-10-06T11:39:00Z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0x010100845A6BCA4ACA584C9A1C03FD3956D51C</vt:lpwstr>
  </property>
</Properties>
</file>