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E4725" w14:textId="01A48236" w:rsidR="0047075C" w:rsidRPr="00D318A2" w:rsidRDefault="0047075C" w:rsidP="00D318A2">
      <w:pPr>
        <w:pStyle w:val="ListParagraph"/>
        <w:numPr>
          <w:ilvl w:val="0"/>
          <w:numId w:val="2"/>
        </w:numPr>
        <w:ind w:left="426"/>
        <w:jc w:val="both"/>
        <w:rPr>
          <w:rFonts w:ascii="Santander Text" w:hAnsi="Santander Text"/>
          <w:b/>
          <w:bCs/>
          <w:lang w:val="en-US"/>
        </w:rPr>
      </w:pPr>
      <w:r w:rsidRPr="00D318A2">
        <w:rPr>
          <w:rFonts w:ascii="Santander Text" w:hAnsi="Santander Text"/>
          <w:b/>
          <w:bCs/>
          <w:lang w:val="en-US"/>
        </w:rPr>
        <w:t>Structural checks - Banco Santander Totta</w:t>
      </w:r>
    </w:p>
    <w:p w14:paraId="73665437" w14:textId="77777777" w:rsidR="0047075C" w:rsidRPr="0047075C" w:rsidRDefault="0047075C" w:rsidP="00D318A2">
      <w:pPr>
        <w:jc w:val="both"/>
        <w:rPr>
          <w:rFonts w:ascii="Santander Text" w:hAnsi="Santander Text"/>
          <w:b/>
          <w:bCs/>
          <w:sz w:val="20"/>
          <w:szCs w:val="20"/>
          <w:lang w:val="en-US"/>
        </w:rPr>
      </w:pPr>
      <w:r w:rsidRPr="0047075C">
        <w:rPr>
          <w:rFonts w:ascii="Santander Text" w:hAnsi="Santander Text"/>
          <w:b/>
          <w:bCs/>
          <w:sz w:val="20"/>
          <w:szCs w:val="20"/>
          <w:lang w:val="en-US"/>
        </w:rPr>
        <w:t>Structural warnings:</w:t>
      </w:r>
    </w:p>
    <w:p w14:paraId="220469C0" w14:textId="0F9B452B" w:rsidR="0047075C" w:rsidRDefault="0047075C" w:rsidP="00D318A2">
      <w:pPr>
        <w:pStyle w:val="ListParagraph"/>
        <w:numPr>
          <w:ilvl w:val="0"/>
          <w:numId w:val="1"/>
        </w:numPr>
        <w:jc w:val="both"/>
        <w:rPr>
          <w:rFonts w:ascii="Santander Text" w:hAnsi="Santander Text"/>
          <w:sz w:val="20"/>
          <w:szCs w:val="20"/>
          <w:lang w:val="en-US"/>
        </w:rPr>
      </w:pPr>
      <w:r w:rsidRPr="00D318A2">
        <w:rPr>
          <w:rFonts w:ascii="Santander Text" w:hAnsi="Santander Text"/>
          <w:sz w:val="20"/>
          <w:szCs w:val="20"/>
          <w:lang w:val="en-US"/>
        </w:rPr>
        <w:t>We recommend the use of dot (.) as decimal separator, although comma (,) is also tolerated.</w:t>
      </w:r>
    </w:p>
    <w:p w14:paraId="66D74C3D" w14:textId="5EFAD269" w:rsidR="00D318A2" w:rsidRPr="00D318A2" w:rsidRDefault="00D318A2" w:rsidP="00D318A2">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1983D32B" w14:textId="39F9E052"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 xml:space="preserve">BST will </w:t>
      </w:r>
      <w:r>
        <w:rPr>
          <w:rFonts w:ascii="Santander Text" w:hAnsi="Santander Text"/>
          <w:sz w:val="20"/>
          <w:szCs w:val="20"/>
          <w:lang w:val="en-US"/>
        </w:rPr>
        <w:t>try to accommodate this recommendation</w:t>
      </w:r>
    </w:p>
    <w:p w14:paraId="716B1F75" w14:textId="77777777" w:rsidR="00D318A2" w:rsidRDefault="00D318A2" w:rsidP="00D318A2">
      <w:pPr>
        <w:jc w:val="both"/>
        <w:rPr>
          <w:rFonts w:ascii="Santander Text" w:hAnsi="Santander Text"/>
          <w:b/>
          <w:bCs/>
          <w:sz w:val="20"/>
          <w:szCs w:val="20"/>
          <w:lang w:val="en-US"/>
        </w:rPr>
      </w:pPr>
    </w:p>
    <w:p w14:paraId="0B186C5D" w14:textId="3E377AB4" w:rsidR="0047075C" w:rsidRDefault="0047075C" w:rsidP="00D318A2">
      <w:pPr>
        <w:jc w:val="both"/>
        <w:rPr>
          <w:rFonts w:ascii="Santander Text" w:hAnsi="Santander Text"/>
          <w:b/>
          <w:bCs/>
          <w:sz w:val="20"/>
          <w:szCs w:val="20"/>
          <w:lang w:val="en-US"/>
        </w:rPr>
      </w:pPr>
      <w:r w:rsidRPr="0047075C">
        <w:rPr>
          <w:rFonts w:ascii="Santander Text" w:hAnsi="Santander Text"/>
          <w:b/>
          <w:bCs/>
          <w:sz w:val="20"/>
          <w:szCs w:val="20"/>
          <w:lang w:val="en-US"/>
        </w:rPr>
        <w:t>Tab Message</w:t>
      </w:r>
    </w:p>
    <w:tbl>
      <w:tblPr>
        <w:tblStyle w:val="TableGrid"/>
        <w:tblW w:w="0" w:type="auto"/>
        <w:tblLook w:val="04A0" w:firstRow="1" w:lastRow="0" w:firstColumn="1" w:lastColumn="0" w:noHBand="0" w:noVBand="1"/>
      </w:tblPr>
      <w:tblGrid>
        <w:gridCol w:w="1271"/>
        <w:gridCol w:w="7745"/>
      </w:tblGrid>
      <w:tr w:rsidR="00D318A2" w14:paraId="47701479" w14:textId="77777777" w:rsidTr="00D318A2">
        <w:tc>
          <w:tcPr>
            <w:tcW w:w="1271" w:type="dxa"/>
            <w:shd w:val="clear" w:color="auto" w:fill="EE0000"/>
          </w:tcPr>
          <w:p w14:paraId="2A715EA9" w14:textId="16748EFD" w:rsidR="00D318A2" w:rsidRPr="00D318A2" w:rsidRDefault="00D318A2" w:rsidP="00D318A2">
            <w:pPr>
              <w:jc w:val="both"/>
              <w:rPr>
                <w:rFonts w:ascii="Santander Text" w:hAnsi="Santander Text"/>
                <w:b/>
                <w:bCs/>
                <w:color w:val="FFFFFF" w:themeColor="background1"/>
                <w:sz w:val="20"/>
                <w:szCs w:val="20"/>
                <w:lang w:val="en-US"/>
              </w:rPr>
            </w:pPr>
            <w:r w:rsidRPr="00D318A2">
              <w:rPr>
                <w:rFonts w:ascii="Santander Text" w:hAnsi="Santander Text"/>
                <w:b/>
                <w:bCs/>
                <w:color w:val="FFFFFF" w:themeColor="background1"/>
                <w:sz w:val="20"/>
                <w:szCs w:val="20"/>
                <w:lang w:val="en-US"/>
              </w:rPr>
              <w:t>Tab</w:t>
            </w:r>
          </w:p>
        </w:tc>
        <w:tc>
          <w:tcPr>
            <w:tcW w:w="7745" w:type="dxa"/>
            <w:shd w:val="clear" w:color="auto" w:fill="EE0000"/>
          </w:tcPr>
          <w:p w14:paraId="5A4941D9" w14:textId="4A407C9A" w:rsidR="00D318A2" w:rsidRPr="00D318A2" w:rsidRDefault="00D318A2" w:rsidP="00D318A2">
            <w:pPr>
              <w:jc w:val="both"/>
              <w:rPr>
                <w:rFonts w:ascii="Santander Text" w:hAnsi="Santander Text"/>
                <w:b/>
                <w:bCs/>
                <w:color w:val="FFFFFF" w:themeColor="background1"/>
                <w:sz w:val="20"/>
                <w:szCs w:val="20"/>
                <w:lang w:val="en-US"/>
              </w:rPr>
            </w:pPr>
            <w:r w:rsidRPr="00D318A2">
              <w:rPr>
                <w:rFonts w:ascii="Santander Text" w:hAnsi="Santander Text"/>
                <w:b/>
                <w:bCs/>
                <w:color w:val="FFFFFF" w:themeColor="background1"/>
                <w:sz w:val="20"/>
                <w:szCs w:val="20"/>
                <w:lang w:val="en-US"/>
              </w:rPr>
              <w:t>Message</w:t>
            </w:r>
          </w:p>
        </w:tc>
      </w:tr>
      <w:tr w:rsidR="00D318A2" w14:paraId="31754187" w14:textId="77777777" w:rsidTr="00D318A2">
        <w:tc>
          <w:tcPr>
            <w:tcW w:w="1271" w:type="dxa"/>
          </w:tcPr>
          <w:p w14:paraId="48842A2D" w14:textId="59CA4395" w:rsidR="00D318A2" w:rsidRDefault="00D318A2" w:rsidP="00D318A2">
            <w:pPr>
              <w:jc w:val="both"/>
              <w:rPr>
                <w:rFonts w:ascii="Santander Text" w:hAnsi="Santander Text"/>
                <w:b/>
                <w:bCs/>
                <w:sz w:val="20"/>
                <w:szCs w:val="20"/>
                <w:lang w:val="en-US"/>
              </w:rPr>
            </w:pPr>
            <w:r w:rsidRPr="0047075C">
              <w:rPr>
                <w:rFonts w:ascii="Santander Text" w:hAnsi="Santander Text"/>
                <w:b/>
                <w:bCs/>
                <w:sz w:val="20"/>
                <w:szCs w:val="20"/>
                <w:lang w:val="en-US"/>
              </w:rPr>
              <w:t>B0200</w:t>
            </w:r>
          </w:p>
        </w:tc>
        <w:tc>
          <w:tcPr>
            <w:tcW w:w="7745" w:type="dxa"/>
          </w:tcPr>
          <w:p w14:paraId="1152D2FF" w14:textId="7269BB04" w:rsidR="00D318A2" w:rsidRDefault="00D318A2" w:rsidP="00D318A2">
            <w:pPr>
              <w:spacing w:after="160" w:line="278" w:lineRule="auto"/>
              <w:jc w:val="both"/>
              <w:rPr>
                <w:rFonts w:ascii="Santander Text" w:hAnsi="Santander Text"/>
                <w:b/>
                <w:bCs/>
                <w:sz w:val="20"/>
                <w:szCs w:val="20"/>
                <w:lang w:val="en-US"/>
              </w:rPr>
            </w:pPr>
            <w:r w:rsidRPr="0047075C">
              <w:rPr>
                <w:rFonts w:ascii="Santander Text" w:hAnsi="Santander Text"/>
                <w:sz w:val="20"/>
                <w:szCs w:val="20"/>
                <w:lang w:val="en-US"/>
              </w:rPr>
              <w:t>Attention: dropping one or more rows with all fields being empty. Such rows should not be included</w:t>
            </w:r>
            <w:r>
              <w:rPr>
                <w:rFonts w:ascii="Santander Text" w:hAnsi="Santander Text"/>
                <w:sz w:val="20"/>
                <w:szCs w:val="20"/>
                <w:lang w:val="en-US"/>
              </w:rPr>
              <w:t xml:space="preserve"> </w:t>
            </w:r>
            <w:r w:rsidRPr="0047075C">
              <w:rPr>
                <w:rFonts w:ascii="Santander Text" w:hAnsi="Santander Text"/>
                <w:sz w:val="20"/>
                <w:szCs w:val="20"/>
                <w:lang w:val="en-US"/>
              </w:rPr>
              <w:t>in the MBDT report.</w:t>
            </w:r>
          </w:p>
        </w:tc>
      </w:tr>
      <w:tr w:rsidR="00D318A2" w14:paraId="7C70FC75" w14:textId="77777777" w:rsidTr="00D318A2">
        <w:tc>
          <w:tcPr>
            <w:tcW w:w="1271" w:type="dxa"/>
          </w:tcPr>
          <w:p w14:paraId="7A5F970E" w14:textId="68FD63B5" w:rsidR="00D318A2" w:rsidRDefault="00D318A2" w:rsidP="00D318A2">
            <w:pPr>
              <w:jc w:val="both"/>
              <w:rPr>
                <w:rFonts w:ascii="Santander Text" w:hAnsi="Santander Text"/>
                <w:b/>
                <w:bCs/>
                <w:sz w:val="20"/>
                <w:szCs w:val="20"/>
                <w:lang w:val="en-US"/>
              </w:rPr>
            </w:pPr>
            <w:r>
              <w:rPr>
                <w:rFonts w:ascii="Santander Text" w:hAnsi="Santander Text"/>
                <w:b/>
                <w:bCs/>
                <w:sz w:val="20"/>
                <w:szCs w:val="20"/>
                <w:lang w:val="en-US"/>
              </w:rPr>
              <w:t>B9000</w:t>
            </w:r>
          </w:p>
        </w:tc>
        <w:tc>
          <w:tcPr>
            <w:tcW w:w="7745" w:type="dxa"/>
          </w:tcPr>
          <w:p w14:paraId="4032EB13" w14:textId="6677932F" w:rsidR="00D318A2" w:rsidRDefault="00D318A2" w:rsidP="00D318A2">
            <w:pPr>
              <w:spacing w:after="160" w:line="278" w:lineRule="auto"/>
              <w:jc w:val="both"/>
              <w:rPr>
                <w:rFonts w:ascii="Santander Text" w:hAnsi="Santander Text"/>
                <w:b/>
                <w:bCs/>
                <w:sz w:val="20"/>
                <w:szCs w:val="20"/>
                <w:lang w:val="en-US"/>
              </w:rPr>
            </w:pPr>
            <w:r w:rsidRPr="0047075C">
              <w:rPr>
                <w:rFonts w:ascii="Santander Text" w:hAnsi="Santander Text"/>
                <w:sz w:val="20"/>
                <w:szCs w:val="20"/>
                <w:lang w:val="en-US"/>
              </w:rPr>
              <w:t>Attention: dropping one or more rows with all fields being empty. Such rows should not be included</w:t>
            </w:r>
            <w:r>
              <w:rPr>
                <w:rFonts w:ascii="Santander Text" w:hAnsi="Santander Text"/>
                <w:sz w:val="20"/>
                <w:szCs w:val="20"/>
                <w:lang w:val="en-US"/>
              </w:rPr>
              <w:t xml:space="preserve"> </w:t>
            </w:r>
            <w:r w:rsidRPr="00D318A2">
              <w:rPr>
                <w:rFonts w:ascii="Santander Text" w:hAnsi="Santander Text"/>
                <w:sz w:val="20"/>
                <w:szCs w:val="20"/>
                <w:lang w:val="en-US"/>
              </w:rPr>
              <w:t>in the MBDT report</w:t>
            </w:r>
          </w:p>
        </w:tc>
      </w:tr>
    </w:tbl>
    <w:p w14:paraId="32CA40A8" w14:textId="77777777" w:rsidR="00D318A2" w:rsidRPr="0047075C" w:rsidRDefault="00D318A2" w:rsidP="00D318A2">
      <w:pPr>
        <w:jc w:val="both"/>
        <w:rPr>
          <w:rFonts w:ascii="Santander Text" w:hAnsi="Santander Text"/>
          <w:b/>
          <w:bCs/>
          <w:sz w:val="20"/>
          <w:szCs w:val="20"/>
          <w:lang w:val="en-US"/>
        </w:rPr>
      </w:pPr>
    </w:p>
    <w:p w14:paraId="3D91B558" w14:textId="77777777" w:rsidR="00D318A2" w:rsidRPr="00D318A2" w:rsidRDefault="00D318A2" w:rsidP="00D318A2">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6A0E2A5" w14:textId="01D27378" w:rsidR="0047075C" w:rsidRDefault="00D318A2" w:rsidP="00D318A2">
      <w:pPr>
        <w:jc w:val="both"/>
        <w:rPr>
          <w:rFonts w:ascii="Santander Text" w:hAnsi="Santander Text"/>
          <w:sz w:val="20"/>
          <w:szCs w:val="20"/>
          <w:lang w:val="en-US"/>
        </w:rPr>
      </w:pPr>
      <w:r>
        <w:rPr>
          <w:rFonts w:ascii="Santander Text" w:hAnsi="Santander Text"/>
          <w:sz w:val="20"/>
          <w:szCs w:val="20"/>
          <w:lang w:val="en-US"/>
        </w:rPr>
        <w:t>BST will review the csv file generation so that these situations do not occur</w:t>
      </w:r>
    </w:p>
    <w:p w14:paraId="58302458" w14:textId="77777777" w:rsidR="00D318A2" w:rsidRDefault="00D318A2" w:rsidP="00D318A2">
      <w:pPr>
        <w:jc w:val="both"/>
        <w:rPr>
          <w:rFonts w:ascii="Santander Text" w:hAnsi="Santander Text"/>
          <w:sz w:val="20"/>
          <w:szCs w:val="20"/>
          <w:lang w:val="en-US"/>
        </w:rPr>
      </w:pPr>
    </w:p>
    <w:p w14:paraId="6325DA60" w14:textId="409F4259" w:rsidR="00D318A2" w:rsidRDefault="00D318A2" w:rsidP="00D318A2">
      <w:pPr>
        <w:pStyle w:val="ListParagraph"/>
        <w:numPr>
          <w:ilvl w:val="0"/>
          <w:numId w:val="2"/>
        </w:numPr>
        <w:ind w:left="426"/>
        <w:jc w:val="both"/>
        <w:rPr>
          <w:rFonts w:ascii="Santander Text" w:hAnsi="Santander Text"/>
          <w:b/>
          <w:bCs/>
          <w:lang w:val="en-US"/>
        </w:rPr>
      </w:pPr>
      <w:r w:rsidRPr="00D318A2">
        <w:rPr>
          <w:rFonts w:ascii="Santander Text" w:hAnsi="Santander Text"/>
          <w:b/>
          <w:bCs/>
          <w:lang w:val="en-US"/>
        </w:rPr>
        <w:t>Level 1 and 2 validation process - Banco Santander</w:t>
      </w:r>
      <w:r>
        <w:rPr>
          <w:rFonts w:ascii="Santander Text" w:hAnsi="Santander Text"/>
          <w:b/>
          <w:bCs/>
          <w:lang w:val="en-US"/>
        </w:rPr>
        <w:t xml:space="preserve"> </w:t>
      </w:r>
      <w:r w:rsidRPr="00D318A2">
        <w:rPr>
          <w:rFonts w:ascii="Santander Text" w:hAnsi="Santander Text"/>
          <w:b/>
          <w:bCs/>
          <w:lang w:val="en-US"/>
        </w:rPr>
        <w:t>Totta</w:t>
      </w:r>
    </w:p>
    <w:p w14:paraId="217F06F8" w14:textId="77777777" w:rsidR="00D318A2" w:rsidRDefault="00D318A2" w:rsidP="00D318A2">
      <w:pPr>
        <w:pStyle w:val="ListParagraph"/>
        <w:jc w:val="both"/>
        <w:rPr>
          <w:rFonts w:ascii="Santander Text" w:hAnsi="Santander Text"/>
          <w:sz w:val="20"/>
          <w:szCs w:val="20"/>
          <w:lang w:val="en-US"/>
        </w:rPr>
      </w:pPr>
    </w:p>
    <w:p w14:paraId="3E6680A0" w14:textId="77777777"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 xml:space="preserve">The bank is kindly requested to evaluate the results of these checks </w:t>
      </w:r>
      <w:proofErr w:type="gramStart"/>
      <w:r w:rsidRPr="00D318A2">
        <w:rPr>
          <w:rFonts w:ascii="Santander Text" w:hAnsi="Santander Text"/>
          <w:sz w:val="20"/>
          <w:szCs w:val="20"/>
          <w:lang w:val="en-US"/>
        </w:rPr>
        <w:t>and either</w:t>
      </w:r>
      <w:proofErr w:type="gramEnd"/>
      <w:r w:rsidRPr="00D318A2">
        <w:rPr>
          <w:rFonts w:ascii="Santander Text" w:hAnsi="Santander Text"/>
          <w:sz w:val="20"/>
          <w:szCs w:val="20"/>
          <w:lang w:val="en-US"/>
        </w:rPr>
        <w:t xml:space="preserve"> provide a justification if the</w:t>
      </w:r>
    </w:p>
    <w:p w14:paraId="7D613F0E" w14:textId="77777777"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submitted data is deemed valid, or update the IRT if changes to the bank's MIS infrastructure are necessary</w:t>
      </w:r>
    </w:p>
    <w:p w14:paraId="14EC616F" w14:textId="51B0EDF1" w:rsid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based on the rules' outcomes.</w:t>
      </w: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D318A2" w:rsidRPr="00D318A2" w14:paraId="7E7C2CC7" w14:textId="77777777" w:rsidTr="00D318A2">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EFC73E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45F7D92F"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5053BF9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37EA8DDA"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3C50B74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7F947C94"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D318A2" w:rsidRPr="00D318A2" w14:paraId="4FE6427E" w14:textId="77777777" w:rsidTr="00D318A2">
        <w:trPr>
          <w:trHeight w:val="990"/>
        </w:trPr>
        <w:tc>
          <w:tcPr>
            <w:tcW w:w="1474" w:type="dxa"/>
            <w:tcBorders>
              <w:top w:val="nil"/>
              <w:left w:val="single" w:sz="4" w:space="0" w:color="auto"/>
              <w:bottom w:val="single" w:sz="4" w:space="0" w:color="auto"/>
              <w:right w:val="single" w:sz="4" w:space="0" w:color="auto"/>
            </w:tcBorders>
            <w:noWrap/>
            <w:vAlign w:val="center"/>
            <w:hideMark/>
          </w:tcPr>
          <w:p w14:paraId="7CCEC799"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v_1_0017</w:t>
            </w:r>
          </w:p>
        </w:tc>
        <w:tc>
          <w:tcPr>
            <w:tcW w:w="931" w:type="dxa"/>
            <w:tcBorders>
              <w:top w:val="nil"/>
              <w:left w:val="nil"/>
              <w:bottom w:val="single" w:sz="4" w:space="0" w:color="auto"/>
              <w:right w:val="single" w:sz="4" w:space="0" w:color="auto"/>
            </w:tcBorders>
            <w:noWrap/>
            <w:vAlign w:val="center"/>
            <w:hideMark/>
          </w:tcPr>
          <w:p w14:paraId="23CC3BC9"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B0200</w:t>
            </w:r>
          </w:p>
        </w:tc>
        <w:tc>
          <w:tcPr>
            <w:tcW w:w="992" w:type="dxa"/>
            <w:tcBorders>
              <w:top w:val="nil"/>
              <w:left w:val="nil"/>
              <w:bottom w:val="single" w:sz="4" w:space="0" w:color="auto"/>
              <w:right w:val="single" w:sz="4" w:space="0" w:color="auto"/>
            </w:tcBorders>
            <w:noWrap/>
            <w:vAlign w:val="center"/>
            <w:hideMark/>
          </w:tcPr>
          <w:p w14:paraId="6D1E4397"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c0180</w:t>
            </w:r>
          </w:p>
        </w:tc>
        <w:tc>
          <w:tcPr>
            <w:tcW w:w="1276" w:type="dxa"/>
            <w:tcBorders>
              <w:top w:val="nil"/>
              <w:left w:val="nil"/>
              <w:bottom w:val="single" w:sz="4" w:space="0" w:color="auto"/>
              <w:right w:val="single" w:sz="4" w:space="0" w:color="auto"/>
            </w:tcBorders>
            <w:vAlign w:val="center"/>
            <w:hideMark/>
          </w:tcPr>
          <w:p w14:paraId="3D13F330"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Date of the next interest payment</w:t>
            </w:r>
          </w:p>
        </w:tc>
        <w:tc>
          <w:tcPr>
            <w:tcW w:w="1349" w:type="dxa"/>
            <w:tcBorders>
              <w:top w:val="nil"/>
              <w:left w:val="nil"/>
              <w:bottom w:val="single" w:sz="4" w:space="0" w:color="auto"/>
              <w:right w:val="single" w:sz="4" w:space="0" w:color="auto"/>
            </w:tcBorders>
            <w:vAlign w:val="center"/>
            <w:hideMark/>
          </w:tcPr>
          <w:p w14:paraId="416551AD"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4, 6 (Total #: 2)</w:t>
            </w:r>
          </w:p>
        </w:tc>
        <w:tc>
          <w:tcPr>
            <w:tcW w:w="2904" w:type="dxa"/>
            <w:tcBorders>
              <w:top w:val="nil"/>
              <w:left w:val="nil"/>
              <w:bottom w:val="single" w:sz="4" w:space="0" w:color="auto"/>
              <w:right w:val="single" w:sz="4" w:space="0" w:color="auto"/>
            </w:tcBorders>
            <w:vAlign w:val="center"/>
            <w:hideMark/>
          </w:tcPr>
          <w:p w14:paraId="66FB407F"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Missing/Not applicable value. The field should be reported for non-structured (c0250) instruments/liabilities that are not zero-coupon bonds issued at discount (c0240).</w:t>
            </w:r>
          </w:p>
        </w:tc>
      </w:tr>
    </w:tbl>
    <w:p w14:paraId="21C5DBB4" w14:textId="77777777" w:rsidR="00D318A2" w:rsidRPr="00D318A2" w:rsidRDefault="00D318A2" w:rsidP="00D318A2">
      <w:pPr>
        <w:jc w:val="both"/>
        <w:rPr>
          <w:rFonts w:ascii="Santander Text" w:hAnsi="Santander Text"/>
          <w:sz w:val="20"/>
          <w:szCs w:val="20"/>
          <w:lang w:val="en-US"/>
        </w:rPr>
      </w:pPr>
    </w:p>
    <w:p w14:paraId="3395D109" w14:textId="77777777" w:rsidR="004207E8" w:rsidRPr="00D318A2" w:rsidRDefault="004207E8" w:rsidP="004207E8">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EF68ACF" w14:textId="3DDD0F1E" w:rsidR="00895BC5" w:rsidRDefault="00895BC5" w:rsidP="004207E8">
      <w:pPr>
        <w:jc w:val="both"/>
        <w:rPr>
          <w:rFonts w:ascii="Santander Text" w:hAnsi="Santander Text"/>
          <w:sz w:val="20"/>
          <w:szCs w:val="20"/>
          <w:lang w:val="en-US"/>
        </w:rPr>
      </w:pPr>
      <w:r>
        <w:rPr>
          <w:rFonts w:ascii="Santander Text" w:hAnsi="Santander Text"/>
          <w:sz w:val="20"/>
          <w:szCs w:val="20"/>
          <w:lang w:val="en-US"/>
        </w:rPr>
        <w:t>Isn’t this rule broken also for row number 8? On the rows in question, AT1 instruments are reported. These instruments do not pay interest, they pay dividends</w:t>
      </w:r>
      <w:r w:rsidR="00DD25B6">
        <w:rPr>
          <w:rFonts w:ascii="Santander Text" w:hAnsi="Santander Text"/>
          <w:sz w:val="20"/>
          <w:szCs w:val="20"/>
          <w:lang w:val="en-US"/>
        </w:rPr>
        <w:t xml:space="preserve"> and they are not zero-coupon bonds.</w:t>
      </w:r>
    </w:p>
    <w:p w14:paraId="15811E2A" w14:textId="6499C451" w:rsidR="004207E8" w:rsidRDefault="00895BC5" w:rsidP="004207E8">
      <w:pPr>
        <w:jc w:val="both"/>
        <w:rPr>
          <w:rFonts w:ascii="Santander Text" w:hAnsi="Santander Text"/>
          <w:sz w:val="20"/>
          <w:szCs w:val="20"/>
          <w:lang w:val="en-US"/>
        </w:rPr>
      </w:pPr>
      <w:r>
        <w:rPr>
          <w:rFonts w:ascii="Santander Text" w:hAnsi="Santander Text"/>
          <w:sz w:val="20"/>
          <w:szCs w:val="20"/>
          <w:lang w:val="en-US"/>
        </w:rPr>
        <w:t>What should we report in these situations</w:t>
      </w:r>
      <w:r w:rsidR="00DD25B6">
        <w:rPr>
          <w:rFonts w:ascii="Santander Text" w:hAnsi="Santander Text"/>
          <w:sz w:val="20"/>
          <w:szCs w:val="20"/>
          <w:lang w:val="en-US"/>
        </w:rPr>
        <w:t>?</w:t>
      </w: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895BC5" w:rsidRPr="00D318A2" w14:paraId="64FC98C0" w14:textId="77777777" w:rsidTr="00833C3A">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51589BEA"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lastRenderedPageBreak/>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4F62453C"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0806F7DA"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0E5F0CA3"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6F7483A8"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63EBB7F2"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895BC5" w:rsidRPr="00D318A2" w14:paraId="130C6199" w14:textId="77777777" w:rsidTr="00833C3A">
        <w:trPr>
          <w:trHeight w:val="990"/>
        </w:trPr>
        <w:tc>
          <w:tcPr>
            <w:tcW w:w="1474" w:type="dxa"/>
            <w:tcBorders>
              <w:top w:val="nil"/>
              <w:left w:val="single" w:sz="4" w:space="0" w:color="auto"/>
              <w:bottom w:val="single" w:sz="4" w:space="0" w:color="auto"/>
              <w:right w:val="single" w:sz="4" w:space="0" w:color="auto"/>
            </w:tcBorders>
            <w:noWrap/>
            <w:vAlign w:val="center"/>
            <w:hideMark/>
          </w:tcPr>
          <w:p w14:paraId="0BE2ADC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add_v_2_0031</w:t>
            </w:r>
          </w:p>
        </w:tc>
        <w:tc>
          <w:tcPr>
            <w:tcW w:w="931" w:type="dxa"/>
            <w:tcBorders>
              <w:top w:val="nil"/>
              <w:left w:val="nil"/>
              <w:bottom w:val="single" w:sz="4" w:space="0" w:color="auto"/>
              <w:right w:val="single" w:sz="4" w:space="0" w:color="auto"/>
            </w:tcBorders>
            <w:noWrap/>
            <w:vAlign w:val="center"/>
            <w:hideMark/>
          </w:tcPr>
          <w:p w14:paraId="123282EB"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B0200</w:t>
            </w:r>
          </w:p>
        </w:tc>
        <w:tc>
          <w:tcPr>
            <w:tcW w:w="992" w:type="dxa"/>
            <w:tcBorders>
              <w:top w:val="nil"/>
              <w:left w:val="nil"/>
              <w:bottom w:val="single" w:sz="4" w:space="0" w:color="auto"/>
              <w:right w:val="single" w:sz="4" w:space="0" w:color="auto"/>
            </w:tcBorders>
            <w:noWrap/>
            <w:vAlign w:val="center"/>
            <w:hideMark/>
          </w:tcPr>
          <w:p w14:paraId="36D524F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c0430</w:t>
            </w:r>
          </w:p>
        </w:tc>
        <w:tc>
          <w:tcPr>
            <w:tcW w:w="1276" w:type="dxa"/>
            <w:tcBorders>
              <w:top w:val="nil"/>
              <w:left w:val="nil"/>
              <w:bottom w:val="single" w:sz="4" w:space="0" w:color="auto"/>
              <w:right w:val="single" w:sz="4" w:space="0" w:color="auto"/>
            </w:tcBorders>
            <w:vAlign w:val="center"/>
            <w:hideMark/>
          </w:tcPr>
          <w:p w14:paraId="29F92A3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Principal amount of the global note in EUR</w:t>
            </w:r>
          </w:p>
        </w:tc>
        <w:tc>
          <w:tcPr>
            <w:tcW w:w="1349" w:type="dxa"/>
            <w:tcBorders>
              <w:top w:val="nil"/>
              <w:left w:val="nil"/>
              <w:bottom w:val="single" w:sz="4" w:space="0" w:color="auto"/>
              <w:right w:val="single" w:sz="4" w:space="0" w:color="auto"/>
            </w:tcBorders>
            <w:vAlign w:val="center"/>
            <w:hideMark/>
          </w:tcPr>
          <w:p w14:paraId="56D68408"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1 ... 6, 8 (Total #: 7)</w:t>
            </w:r>
          </w:p>
        </w:tc>
        <w:tc>
          <w:tcPr>
            <w:tcW w:w="2904" w:type="dxa"/>
            <w:tcBorders>
              <w:top w:val="nil"/>
              <w:left w:val="nil"/>
              <w:bottom w:val="single" w:sz="4" w:space="0" w:color="auto"/>
              <w:right w:val="single" w:sz="4" w:space="0" w:color="auto"/>
            </w:tcBorders>
            <w:vAlign w:val="center"/>
            <w:hideMark/>
          </w:tcPr>
          <w:p w14:paraId="7E941C3E"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Missing/Not applicable value. The field should be reported for securities (c0030 is an ISIN) with trading method "Nominal" (c0360).</w:t>
            </w:r>
          </w:p>
        </w:tc>
      </w:tr>
    </w:tbl>
    <w:p w14:paraId="3B261FD8" w14:textId="77777777" w:rsidR="00D318A2" w:rsidRDefault="00D318A2" w:rsidP="00D318A2">
      <w:pPr>
        <w:jc w:val="both"/>
        <w:rPr>
          <w:rFonts w:ascii="Santander Text" w:hAnsi="Santander Text"/>
          <w:b/>
          <w:bCs/>
          <w:lang w:val="en-US"/>
        </w:rPr>
      </w:pPr>
    </w:p>
    <w:p w14:paraId="456E1894" w14:textId="77777777" w:rsidR="00DD25B6" w:rsidRPr="00D318A2" w:rsidRDefault="00DD25B6" w:rsidP="00DD25B6">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2BB1C05B" w14:textId="44BB3CD2" w:rsidR="00DD25B6" w:rsidRDefault="00DD25B6" w:rsidP="00DD25B6">
      <w:pPr>
        <w:jc w:val="both"/>
        <w:rPr>
          <w:rFonts w:ascii="Santander Text" w:hAnsi="Santander Text"/>
          <w:sz w:val="20"/>
          <w:szCs w:val="20"/>
          <w:lang w:val="en-US"/>
        </w:rPr>
      </w:pPr>
      <w:r>
        <w:rPr>
          <w:rFonts w:ascii="Santander Text" w:hAnsi="Santander Text"/>
          <w:sz w:val="20"/>
          <w:szCs w:val="20"/>
          <w:lang w:val="en-US"/>
        </w:rPr>
        <w:t>All BST’s issuances are in Euros. For c0430 and c0431 should we report the value in Euros? If so, we will change the MBDT accordingly.</w:t>
      </w:r>
    </w:p>
    <w:p w14:paraId="4EB8EE7C" w14:textId="77777777" w:rsidR="004207E8" w:rsidRDefault="004207E8" w:rsidP="00D318A2">
      <w:pPr>
        <w:jc w:val="both"/>
        <w:rPr>
          <w:rFonts w:ascii="Santander Text" w:hAnsi="Santander Text"/>
          <w:b/>
          <w:bCs/>
          <w:lang w:val="en-US"/>
        </w:rPr>
      </w:pP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4207E8" w:rsidRPr="00D318A2" w14:paraId="2D11EDF2" w14:textId="77777777" w:rsidTr="00833C3A">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2A7C11FA"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74CA7D6F"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173AEE75"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4ADABDF8"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44B6A72A"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2E37C875"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4207E8" w:rsidRPr="00D318A2" w14:paraId="2A99B02D" w14:textId="77777777" w:rsidTr="00833C3A">
        <w:trPr>
          <w:trHeight w:val="990"/>
        </w:trPr>
        <w:tc>
          <w:tcPr>
            <w:tcW w:w="1474" w:type="dxa"/>
            <w:tcBorders>
              <w:top w:val="nil"/>
              <w:left w:val="single" w:sz="4" w:space="0" w:color="auto"/>
              <w:bottom w:val="single" w:sz="4" w:space="0" w:color="auto"/>
              <w:right w:val="single" w:sz="4" w:space="0" w:color="auto"/>
            </w:tcBorders>
            <w:noWrap/>
            <w:vAlign w:val="center"/>
            <w:hideMark/>
          </w:tcPr>
          <w:p w14:paraId="7EBFE8A8"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 xml:space="preserve">Internal finding </w:t>
            </w:r>
          </w:p>
        </w:tc>
        <w:tc>
          <w:tcPr>
            <w:tcW w:w="931" w:type="dxa"/>
            <w:tcBorders>
              <w:top w:val="nil"/>
              <w:left w:val="nil"/>
              <w:bottom w:val="single" w:sz="4" w:space="0" w:color="auto"/>
              <w:right w:val="single" w:sz="4" w:space="0" w:color="auto"/>
            </w:tcBorders>
            <w:noWrap/>
            <w:vAlign w:val="center"/>
            <w:hideMark/>
          </w:tcPr>
          <w:p w14:paraId="234D6BF2"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B90000</w:t>
            </w:r>
          </w:p>
        </w:tc>
        <w:tc>
          <w:tcPr>
            <w:tcW w:w="992" w:type="dxa"/>
            <w:tcBorders>
              <w:top w:val="nil"/>
              <w:left w:val="nil"/>
              <w:bottom w:val="single" w:sz="4" w:space="0" w:color="auto"/>
              <w:right w:val="single" w:sz="4" w:space="0" w:color="auto"/>
            </w:tcBorders>
            <w:noWrap/>
            <w:vAlign w:val="center"/>
            <w:hideMark/>
          </w:tcPr>
          <w:p w14:paraId="6C32E094"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C0080</w:t>
            </w:r>
          </w:p>
        </w:tc>
        <w:tc>
          <w:tcPr>
            <w:tcW w:w="1276" w:type="dxa"/>
            <w:tcBorders>
              <w:top w:val="nil"/>
              <w:left w:val="nil"/>
              <w:bottom w:val="single" w:sz="4" w:space="0" w:color="auto"/>
              <w:right w:val="single" w:sz="4" w:space="0" w:color="auto"/>
            </w:tcBorders>
            <w:vAlign w:val="center"/>
            <w:hideMark/>
          </w:tcPr>
          <w:p w14:paraId="76DE7A69"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Counterparty type</w:t>
            </w:r>
          </w:p>
        </w:tc>
        <w:tc>
          <w:tcPr>
            <w:tcW w:w="1349" w:type="dxa"/>
            <w:tcBorders>
              <w:top w:val="nil"/>
              <w:left w:val="nil"/>
              <w:bottom w:val="single" w:sz="4" w:space="0" w:color="auto"/>
              <w:right w:val="single" w:sz="4" w:space="0" w:color="auto"/>
            </w:tcBorders>
            <w:vAlign w:val="center"/>
            <w:hideMark/>
          </w:tcPr>
          <w:p w14:paraId="500AF6AB"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2, 3 (Total #: 2)</w:t>
            </w:r>
          </w:p>
        </w:tc>
        <w:tc>
          <w:tcPr>
            <w:tcW w:w="2904" w:type="dxa"/>
            <w:tcBorders>
              <w:top w:val="nil"/>
              <w:left w:val="nil"/>
              <w:bottom w:val="single" w:sz="4" w:space="0" w:color="auto"/>
              <w:right w:val="single" w:sz="4" w:space="0" w:color="auto"/>
            </w:tcBorders>
            <w:vAlign w:val="center"/>
            <w:hideMark/>
          </w:tcPr>
          <w:p w14:paraId="4FA5E6F2"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 xml:space="preserve">Please clarify why the selection of “Non identified, not listed on an exchange platform” for </w:t>
            </w:r>
            <w:proofErr w:type="spellStart"/>
            <w:r w:rsidRPr="00D318A2">
              <w:rPr>
                <w:rFonts w:ascii="Santander Text" w:eastAsia="Times New Roman" w:hAnsi="Santander Text" w:cs="Times New Roman"/>
                <w:color w:val="000000"/>
                <w:kern w:val="0"/>
                <w:sz w:val="16"/>
                <w:szCs w:val="16"/>
                <w:lang w:val="en-US" w:eastAsia="pt-PT"/>
                <w14:ligatures w14:val="none"/>
              </w:rPr>
              <w:t>iMREL</w:t>
            </w:r>
            <w:proofErr w:type="spellEnd"/>
            <w:r w:rsidRPr="00D318A2">
              <w:rPr>
                <w:rFonts w:ascii="Santander Text" w:eastAsia="Times New Roman" w:hAnsi="Santander Text" w:cs="Times New Roman"/>
                <w:color w:val="000000"/>
                <w:kern w:val="0"/>
                <w:sz w:val="16"/>
                <w:szCs w:val="16"/>
                <w:lang w:val="en-US" w:eastAsia="pt-PT"/>
                <w14:ligatures w14:val="none"/>
              </w:rPr>
              <w:t xml:space="preserve"> securities.</w:t>
            </w:r>
          </w:p>
        </w:tc>
      </w:tr>
    </w:tbl>
    <w:p w14:paraId="0807B374" w14:textId="77777777" w:rsidR="004207E8" w:rsidRDefault="004207E8" w:rsidP="00D318A2">
      <w:pPr>
        <w:jc w:val="both"/>
        <w:rPr>
          <w:rFonts w:ascii="Santander Text" w:hAnsi="Santander Text"/>
          <w:b/>
          <w:bCs/>
          <w:lang w:val="en-US"/>
        </w:rPr>
      </w:pPr>
    </w:p>
    <w:p w14:paraId="4D81AD43" w14:textId="77777777" w:rsidR="00DD25B6" w:rsidRPr="00D318A2" w:rsidRDefault="00DD25B6" w:rsidP="00DD25B6">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tbl>
      <w:tblPr>
        <w:tblW w:w="8926" w:type="dxa"/>
        <w:tblCellMar>
          <w:left w:w="70" w:type="dxa"/>
          <w:right w:w="70" w:type="dxa"/>
        </w:tblCellMar>
        <w:tblLook w:val="04A0" w:firstRow="1" w:lastRow="0" w:firstColumn="1" w:lastColumn="0" w:noHBand="0" w:noVBand="1"/>
      </w:tblPr>
      <w:tblGrid>
        <w:gridCol w:w="1474"/>
        <w:gridCol w:w="931"/>
        <w:gridCol w:w="1054"/>
        <w:gridCol w:w="5467"/>
      </w:tblGrid>
      <w:tr w:rsidR="00DD25B6" w:rsidRPr="00D318A2" w14:paraId="5FF58D3D" w14:textId="77777777" w:rsidTr="00363C51">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313E340" w14:textId="1BC9BF16"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Table</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6D01EB4F" w14:textId="2347A70F"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Row</w:t>
            </w:r>
          </w:p>
        </w:tc>
        <w:tc>
          <w:tcPr>
            <w:tcW w:w="1054" w:type="dxa"/>
            <w:tcBorders>
              <w:top w:val="single" w:sz="4" w:space="0" w:color="auto"/>
              <w:left w:val="nil"/>
              <w:bottom w:val="single" w:sz="4" w:space="0" w:color="auto"/>
              <w:right w:val="single" w:sz="4" w:space="0" w:color="auto"/>
            </w:tcBorders>
            <w:shd w:val="clear" w:color="auto" w:fill="EE0000"/>
            <w:noWrap/>
            <w:vAlign w:val="center"/>
            <w:hideMark/>
          </w:tcPr>
          <w:p w14:paraId="7DAD2676" w14:textId="0B89DFDD"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Amount</w:t>
            </w:r>
          </w:p>
        </w:tc>
        <w:tc>
          <w:tcPr>
            <w:tcW w:w="5467" w:type="dxa"/>
            <w:tcBorders>
              <w:top w:val="single" w:sz="4" w:space="0" w:color="auto"/>
              <w:left w:val="nil"/>
              <w:bottom w:val="single" w:sz="4" w:space="0" w:color="auto"/>
              <w:right w:val="single" w:sz="4" w:space="0" w:color="auto"/>
            </w:tcBorders>
            <w:shd w:val="clear" w:color="auto" w:fill="EE0000"/>
            <w:vAlign w:val="center"/>
            <w:hideMark/>
          </w:tcPr>
          <w:p w14:paraId="76A98B4E" w14:textId="222078FB"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Underlying</w:t>
            </w:r>
          </w:p>
        </w:tc>
      </w:tr>
      <w:tr w:rsidR="00DD25B6" w:rsidRPr="00D318A2" w14:paraId="5EE46EA8" w14:textId="77777777" w:rsidTr="00363C51">
        <w:trPr>
          <w:trHeight w:val="624"/>
        </w:trPr>
        <w:tc>
          <w:tcPr>
            <w:tcW w:w="1474" w:type="dxa"/>
            <w:tcBorders>
              <w:top w:val="single" w:sz="4" w:space="0" w:color="auto"/>
              <w:left w:val="single" w:sz="4" w:space="0" w:color="auto"/>
              <w:bottom w:val="single" w:sz="4" w:space="0" w:color="auto"/>
              <w:right w:val="single" w:sz="4" w:space="0" w:color="auto"/>
            </w:tcBorders>
            <w:noWrap/>
            <w:vAlign w:val="center"/>
            <w:hideMark/>
          </w:tcPr>
          <w:p w14:paraId="6A383A98" w14:textId="3CB2A875"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B9000</w:t>
            </w:r>
          </w:p>
        </w:tc>
        <w:tc>
          <w:tcPr>
            <w:tcW w:w="931" w:type="dxa"/>
            <w:tcBorders>
              <w:top w:val="single" w:sz="4" w:space="0" w:color="auto"/>
              <w:left w:val="nil"/>
              <w:bottom w:val="single" w:sz="4" w:space="0" w:color="auto"/>
              <w:right w:val="single" w:sz="4" w:space="0" w:color="auto"/>
            </w:tcBorders>
            <w:noWrap/>
            <w:vAlign w:val="center"/>
            <w:hideMark/>
          </w:tcPr>
          <w:p w14:paraId="0A2CC678" w14:textId="5DFD83A4"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2</w:t>
            </w:r>
          </w:p>
        </w:tc>
        <w:tc>
          <w:tcPr>
            <w:tcW w:w="1054" w:type="dxa"/>
            <w:tcBorders>
              <w:top w:val="single" w:sz="4" w:space="0" w:color="auto"/>
              <w:left w:val="nil"/>
              <w:bottom w:val="single" w:sz="4" w:space="0" w:color="auto"/>
              <w:right w:val="single" w:sz="4" w:space="0" w:color="auto"/>
            </w:tcBorders>
            <w:noWrap/>
            <w:vAlign w:val="center"/>
            <w:hideMark/>
          </w:tcPr>
          <w:p w14:paraId="72C6969F" w14:textId="4D7D70EE"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D25B6">
              <w:rPr>
                <w:rFonts w:ascii="Santander Text" w:eastAsia="Times New Roman" w:hAnsi="Santander Text" w:cs="Times New Roman"/>
                <w:color w:val="000000"/>
                <w:kern w:val="0"/>
                <w:sz w:val="16"/>
                <w:szCs w:val="16"/>
                <w:lang w:val="en-US" w:eastAsia="pt-PT"/>
                <w14:ligatures w14:val="none"/>
              </w:rPr>
              <w:t>7</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661</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457,53</w:t>
            </w:r>
          </w:p>
        </w:tc>
        <w:tc>
          <w:tcPr>
            <w:tcW w:w="5467" w:type="dxa"/>
            <w:tcBorders>
              <w:top w:val="single" w:sz="4" w:space="0" w:color="auto"/>
              <w:left w:val="nil"/>
              <w:bottom w:val="single" w:sz="4" w:space="0" w:color="auto"/>
              <w:right w:val="single" w:sz="4" w:space="0" w:color="auto"/>
            </w:tcBorders>
            <w:vAlign w:val="center"/>
            <w:hideMark/>
          </w:tcPr>
          <w:p w14:paraId="478D5855" w14:textId="0ED01D36"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Subordinated Debt (LT2) placed with BST’s customers of different nature</w:t>
            </w:r>
          </w:p>
        </w:tc>
      </w:tr>
      <w:tr w:rsidR="00DD25B6" w:rsidRPr="00D318A2" w14:paraId="59A58B83" w14:textId="77777777" w:rsidTr="00363C51">
        <w:trPr>
          <w:trHeight w:val="624"/>
        </w:trPr>
        <w:tc>
          <w:tcPr>
            <w:tcW w:w="1474" w:type="dxa"/>
            <w:tcBorders>
              <w:top w:val="single" w:sz="4" w:space="0" w:color="auto"/>
              <w:left w:val="single" w:sz="4" w:space="0" w:color="auto"/>
              <w:bottom w:val="single" w:sz="4" w:space="0" w:color="auto"/>
              <w:right w:val="single" w:sz="4" w:space="0" w:color="auto"/>
            </w:tcBorders>
            <w:noWrap/>
            <w:vAlign w:val="center"/>
          </w:tcPr>
          <w:p w14:paraId="2779A6DB" w14:textId="70699416"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B9000</w:t>
            </w:r>
          </w:p>
        </w:tc>
        <w:tc>
          <w:tcPr>
            <w:tcW w:w="931" w:type="dxa"/>
            <w:tcBorders>
              <w:top w:val="single" w:sz="4" w:space="0" w:color="auto"/>
              <w:left w:val="nil"/>
              <w:bottom w:val="single" w:sz="4" w:space="0" w:color="auto"/>
              <w:right w:val="single" w:sz="4" w:space="0" w:color="auto"/>
            </w:tcBorders>
            <w:noWrap/>
            <w:vAlign w:val="center"/>
          </w:tcPr>
          <w:p w14:paraId="0102F581" w14:textId="1D63046F"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3</w:t>
            </w:r>
          </w:p>
        </w:tc>
        <w:tc>
          <w:tcPr>
            <w:tcW w:w="1054" w:type="dxa"/>
            <w:tcBorders>
              <w:top w:val="single" w:sz="4" w:space="0" w:color="auto"/>
              <w:left w:val="nil"/>
              <w:bottom w:val="single" w:sz="4" w:space="0" w:color="auto"/>
              <w:right w:val="single" w:sz="4" w:space="0" w:color="auto"/>
            </w:tcBorders>
            <w:noWrap/>
            <w:vAlign w:val="center"/>
          </w:tcPr>
          <w:p w14:paraId="69911673" w14:textId="5D53163D" w:rsidR="00DD25B6" w:rsidRP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D25B6">
              <w:rPr>
                <w:rFonts w:ascii="Santander Text" w:eastAsia="Times New Roman" w:hAnsi="Santander Text" w:cs="Times New Roman"/>
                <w:color w:val="000000"/>
                <w:kern w:val="0"/>
                <w:sz w:val="16"/>
                <w:szCs w:val="16"/>
                <w:lang w:val="en-US" w:eastAsia="pt-PT"/>
                <w14:ligatures w14:val="none"/>
              </w:rPr>
              <w:t>1</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762</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761</w:t>
            </w:r>
            <w:r>
              <w:rPr>
                <w:rFonts w:ascii="Santander Text" w:eastAsia="Times New Roman" w:hAnsi="Santander Text" w:cs="Times New Roman"/>
                <w:color w:val="000000"/>
                <w:kern w:val="0"/>
                <w:sz w:val="16"/>
                <w:szCs w:val="16"/>
                <w:lang w:val="en-US" w:eastAsia="pt-PT"/>
                <w14:ligatures w14:val="none"/>
              </w:rPr>
              <w:t>,00</w:t>
            </w:r>
          </w:p>
        </w:tc>
        <w:tc>
          <w:tcPr>
            <w:tcW w:w="5467" w:type="dxa"/>
            <w:tcBorders>
              <w:top w:val="single" w:sz="4" w:space="0" w:color="auto"/>
              <w:left w:val="nil"/>
              <w:bottom w:val="single" w:sz="4" w:space="0" w:color="auto"/>
              <w:right w:val="single" w:sz="4" w:space="0" w:color="auto"/>
            </w:tcBorders>
            <w:vAlign w:val="center"/>
          </w:tcPr>
          <w:p w14:paraId="7E1729A5" w14:textId="0CDC2D5E"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M</w:t>
            </w:r>
            <w:r w:rsidR="00363C51">
              <w:rPr>
                <w:rFonts w:ascii="Santander Text" w:eastAsia="Times New Roman" w:hAnsi="Santander Text" w:cs="Times New Roman"/>
                <w:color w:val="000000"/>
                <w:kern w:val="0"/>
                <w:sz w:val="16"/>
                <w:szCs w:val="16"/>
                <w:lang w:val="en-US" w:eastAsia="pt-PT"/>
                <w14:ligatures w14:val="none"/>
              </w:rPr>
              <w:t>inority interests’ shares placed with BST’s customers of different nature</w:t>
            </w:r>
          </w:p>
        </w:tc>
      </w:tr>
    </w:tbl>
    <w:p w14:paraId="542FEC1B" w14:textId="130BB463" w:rsidR="00DD25B6" w:rsidRDefault="00DD25B6" w:rsidP="00D318A2">
      <w:pPr>
        <w:jc w:val="both"/>
        <w:rPr>
          <w:rFonts w:ascii="Santander Text" w:hAnsi="Santander Text"/>
          <w:b/>
          <w:bCs/>
          <w:lang w:val="en-US"/>
        </w:rPr>
      </w:pPr>
    </w:p>
    <w:p w14:paraId="25E8A59A" w14:textId="10224989" w:rsidR="00363C51" w:rsidRPr="00363C51" w:rsidRDefault="00363C51" w:rsidP="00363C51">
      <w:pPr>
        <w:jc w:val="both"/>
        <w:rPr>
          <w:rFonts w:ascii="Santander Text" w:hAnsi="Santander Text"/>
          <w:sz w:val="20"/>
          <w:szCs w:val="20"/>
          <w:lang w:val="en-US"/>
        </w:rPr>
      </w:pPr>
      <w:r>
        <w:rPr>
          <w:rFonts w:ascii="Santander Text" w:hAnsi="Santander Text"/>
          <w:sz w:val="20"/>
          <w:szCs w:val="20"/>
          <w:lang w:val="en-US"/>
        </w:rPr>
        <w:t>Because the counterparty type for the above-mentioned records is multiple, the Bank decided to classify it as “</w:t>
      </w:r>
      <w:r w:rsidRPr="00363C51">
        <w:rPr>
          <w:rFonts w:ascii="Santander Text" w:hAnsi="Santander Text"/>
          <w:sz w:val="20"/>
          <w:szCs w:val="20"/>
          <w:lang w:val="en-US"/>
        </w:rPr>
        <w:t>Non identified, not listed on an exchange platform</w:t>
      </w:r>
      <w:r>
        <w:rPr>
          <w:rFonts w:ascii="Santander Text" w:hAnsi="Santander Text"/>
          <w:sz w:val="20"/>
          <w:szCs w:val="20"/>
          <w:lang w:val="en-US"/>
        </w:rPr>
        <w:t>”. Is this incorrect? Should we have used “</w:t>
      </w:r>
      <w:r w:rsidRPr="00363C51">
        <w:rPr>
          <w:rFonts w:ascii="Santander Text" w:hAnsi="Santander Text"/>
          <w:sz w:val="20"/>
          <w:szCs w:val="20"/>
          <w:lang w:val="en-US"/>
        </w:rPr>
        <w:t xml:space="preserve">Non identified, listed on an exchange platform </w:t>
      </w:r>
      <w:r w:rsidRPr="00363C51">
        <w:rPr>
          <w:rFonts w:ascii="Santander Text" w:hAnsi="Santander Text"/>
          <w:sz w:val="20"/>
          <w:szCs w:val="20"/>
          <w:lang w:val="en-US"/>
        </w:rPr>
        <w:t>“</w:t>
      </w:r>
      <w:r>
        <w:rPr>
          <w:rFonts w:ascii="Santander Text" w:hAnsi="Santander Text"/>
          <w:sz w:val="20"/>
          <w:szCs w:val="20"/>
          <w:lang w:val="en-US"/>
        </w:rPr>
        <w:t>?</w:t>
      </w:r>
    </w:p>
    <w:p w14:paraId="76CF617F" w14:textId="476A9E28" w:rsidR="000D0CAD" w:rsidRDefault="000D0CAD">
      <w:pPr>
        <w:rPr>
          <w:rFonts w:ascii="Santander Text" w:hAnsi="Santander Text"/>
          <w:sz w:val="20"/>
          <w:szCs w:val="20"/>
          <w:lang w:val="en-US"/>
        </w:rPr>
      </w:pPr>
      <w:r>
        <w:rPr>
          <w:rFonts w:ascii="Santander Text" w:hAnsi="Santander Text"/>
          <w:sz w:val="20"/>
          <w:szCs w:val="20"/>
          <w:lang w:val="en-US"/>
        </w:rPr>
        <w:br w:type="page"/>
      </w:r>
    </w:p>
    <w:p w14:paraId="5EE856A2" w14:textId="4271C9D8" w:rsidR="00363C51" w:rsidRDefault="00363C51" w:rsidP="00363C51">
      <w:pPr>
        <w:pStyle w:val="ListParagraph"/>
        <w:numPr>
          <w:ilvl w:val="0"/>
          <w:numId w:val="6"/>
        </w:numPr>
        <w:ind w:left="426"/>
        <w:jc w:val="both"/>
        <w:rPr>
          <w:rFonts w:ascii="Santander Text" w:hAnsi="Santander Text"/>
          <w:b/>
          <w:bCs/>
          <w:lang w:val="en-US"/>
        </w:rPr>
      </w:pPr>
      <w:r w:rsidRPr="00363C51">
        <w:rPr>
          <w:rFonts w:ascii="Santander Text" w:hAnsi="Santander Text"/>
          <w:b/>
          <w:bCs/>
          <w:lang w:val="en-US"/>
        </w:rPr>
        <w:lastRenderedPageBreak/>
        <w:t>LDR Cross checks Banco Santander Totta</w:t>
      </w:r>
    </w:p>
    <w:p w14:paraId="2514CED4" w14:textId="77777777" w:rsidR="00E544F1" w:rsidRDefault="00E544F1" w:rsidP="00363C51">
      <w:pPr>
        <w:jc w:val="both"/>
        <w:rPr>
          <w:rFonts w:ascii="Santander Text" w:hAnsi="Santander Text"/>
          <w:sz w:val="20"/>
          <w:szCs w:val="20"/>
          <w:lang w:val="en-US"/>
        </w:rPr>
      </w:pPr>
    </w:p>
    <w:p w14:paraId="2A4F6708" w14:textId="77777777" w:rsidR="00E544F1" w:rsidRPr="00D318A2" w:rsidRDefault="00E544F1" w:rsidP="00E544F1">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057F12F6" w14:textId="118E3DE5" w:rsidR="00363C51" w:rsidRDefault="00E544F1" w:rsidP="00363C51">
      <w:pPr>
        <w:jc w:val="both"/>
        <w:rPr>
          <w:rFonts w:ascii="Santander Text" w:hAnsi="Santander Text"/>
          <w:sz w:val="20"/>
          <w:szCs w:val="20"/>
          <w:lang w:val="en-US"/>
        </w:rPr>
      </w:pPr>
      <w:r>
        <w:rPr>
          <w:rFonts w:ascii="Santander Text" w:hAnsi="Santander Text"/>
          <w:sz w:val="20"/>
          <w:szCs w:val="20"/>
          <w:lang w:val="en-US"/>
        </w:rPr>
        <w:t xml:space="preserve">In 2024, Santander Totta had a different entity structure with a holding company, Santander Totta SGPS. </w:t>
      </w:r>
      <w:r w:rsidR="000D0CAD">
        <w:rPr>
          <w:rFonts w:ascii="Santander Text" w:hAnsi="Santander Text"/>
          <w:sz w:val="20"/>
          <w:szCs w:val="20"/>
          <w:lang w:val="en-US"/>
        </w:rPr>
        <w:t>With the merge of Santander Totta SGPS into Banco Santander Totta, the Bank has “inherited” AT1, LT2 and SNP preferred instruments that were issued by Santander Totta SGPS and the previous ones issued by Banco Santander Totta were early terminated.</w:t>
      </w:r>
    </w:p>
    <w:p w14:paraId="54CDD3D8" w14:textId="44774227" w:rsidR="000D0CAD" w:rsidRDefault="000D0CAD" w:rsidP="00363C51">
      <w:pPr>
        <w:jc w:val="both"/>
        <w:rPr>
          <w:rFonts w:ascii="Santander Text" w:hAnsi="Santander Text"/>
          <w:sz w:val="20"/>
          <w:szCs w:val="20"/>
          <w:lang w:val="en-US"/>
        </w:rPr>
      </w:pPr>
      <w:r w:rsidRPr="000D0CAD">
        <w:rPr>
          <w:rFonts w:ascii="Santander Text" w:hAnsi="Santander Text"/>
          <w:sz w:val="20"/>
          <w:szCs w:val="20"/>
          <w:lang w:val="en-US"/>
        </w:rPr>
        <w:t>The</w:t>
      </w:r>
      <w:r>
        <w:rPr>
          <w:rFonts w:ascii="Santander Text" w:hAnsi="Santander Text"/>
          <w:sz w:val="20"/>
          <w:szCs w:val="20"/>
          <w:lang w:val="en-US"/>
        </w:rPr>
        <w:t>refore, we believe that the comparison between LDR reporting and MBDT is not valid.</w:t>
      </w:r>
    </w:p>
    <w:p w14:paraId="442A68AE" w14:textId="2F986168" w:rsidR="000D0CAD" w:rsidRDefault="000D0CAD" w:rsidP="00363C51">
      <w:pPr>
        <w:jc w:val="both"/>
        <w:rPr>
          <w:rFonts w:ascii="Santander Text" w:hAnsi="Santander Text"/>
          <w:sz w:val="20"/>
          <w:szCs w:val="20"/>
          <w:lang w:val="en-US"/>
        </w:rPr>
      </w:pPr>
      <w:r>
        <w:rPr>
          <w:rFonts w:ascii="Santander Text" w:hAnsi="Santander Text"/>
          <w:sz w:val="20"/>
          <w:szCs w:val="20"/>
          <w:lang w:val="en-US"/>
        </w:rPr>
        <w:t>Nevertheless, the Bank will make additional checks on consistency between MBDT and LDR reporting.</w:t>
      </w:r>
    </w:p>
    <w:p w14:paraId="67CCFD1B" w14:textId="77777777" w:rsidR="000D0CAD" w:rsidRDefault="000D0CAD" w:rsidP="00363C51">
      <w:pPr>
        <w:jc w:val="both"/>
        <w:rPr>
          <w:rFonts w:ascii="Santander Text" w:hAnsi="Santander Text"/>
          <w:sz w:val="20"/>
          <w:szCs w:val="20"/>
          <w:lang w:val="en-US"/>
        </w:rPr>
      </w:pPr>
    </w:p>
    <w:p w14:paraId="2D04136B" w14:textId="77777777" w:rsidR="000D0CAD" w:rsidRPr="000D0CAD" w:rsidRDefault="000D0CAD" w:rsidP="00363C51">
      <w:pPr>
        <w:jc w:val="both"/>
        <w:rPr>
          <w:rFonts w:ascii="Santander Text" w:hAnsi="Santander Text"/>
          <w:sz w:val="20"/>
          <w:szCs w:val="20"/>
          <w:lang w:val="en-US"/>
        </w:rPr>
      </w:pPr>
    </w:p>
    <w:sectPr w:rsidR="000D0CAD" w:rsidRPr="000D0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tander Text">
    <w:panose1 w:val="020B0504020201020104"/>
    <w:charset w:val="00"/>
    <w:family w:val="swiss"/>
    <w:pitch w:val="variable"/>
    <w:sig w:usb0="A000006F" w:usb1="00000023"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C1FC1"/>
    <w:multiLevelType w:val="hybridMultilevel"/>
    <w:tmpl w:val="B31CCE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DEA1476"/>
    <w:multiLevelType w:val="hybridMultilevel"/>
    <w:tmpl w:val="B31CC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53E68D9"/>
    <w:multiLevelType w:val="hybridMultilevel"/>
    <w:tmpl w:val="2BA27532"/>
    <w:lvl w:ilvl="0" w:tplc="5D5AC186">
      <w:start w:val="4"/>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59F60593"/>
    <w:multiLevelType w:val="hybridMultilevel"/>
    <w:tmpl w:val="B31CC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1CBB5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CDA0421"/>
    <w:multiLevelType w:val="hybridMultilevel"/>
    <w:tmpl w:val="2BB088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387800961">
    <w:abstractNumId w:val="5"/>
  </w:num>
  <w:num w:numId="2" w16cid:durableId="489948660">
    <w:abstractNumId w:val="0"/>
  </w:num>
  <w:num w:numId="3" w16cid:durableId="973490452">
    <w:abstractNumId w:val="1"/>
  </w:num>
  <w:num w:numId="4" w16cid:durableId="2062440133">
    <w:abstractNumId w:val="4"/>
  </w:num>
  <w:num w:numId="5" w16cid:durableId="2080442781">
    <w:abstractNumId w:val="3"/>
  </w:num>
  <w:num w:numId="6" w16cid:durableId="1639990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5C"/>
    <w:rsid w:val="000D0CAD"/>
    <w:rsid w:val="0031554B"/>
    <w:rsid w:val="00363C51"/>
    <w:rsid w:val="004207E8"/>
    <w:rsid w:val="0047075C"/>
    <w:rsid w:val="00895BC5"/>
    <w:rsid w:val="00D318A2"/>
    <w:rsid w:val="00DD25B6"/>
    <w:rsid w:val="00E544F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DB8C"/>
  <w15:chartTrackingRefBased/>
  <w15:docId w15:val="{83799BF1-1B6D-47D9-99D6-F1DA41C9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75C"/>
    <w:rPr>
      <w:rFonts w:eastAsiaTheme="majorEastAsia" w:cstheme="majorBidi"/>
      <w:color w:val="272727" w:themeColor="text1" w:themeTint="D8"/>
    </w:rPr>
  </w:style>
  <w:style w:type="paragraph" w:styleId="Title">
    <w:name w:val="Title"/>
    <w:basedOn w:val="Normal"/>
    <w:next w:val="Normal"/>
    <w:link w:val="TitleChar"/>
    <w:uiPriority w:val="10"/>
    <w:qFormat/>
    <w:rsid w:val="0047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75C"/>
    <w:pPr>
      <w:spacing w:before="160"/>
      <w:jc w:val="center"/>
    </w:pPr>
    <w:rPr>
      <w:i/>
      <w:iCs/>
      <w:color w:val="404040" w:themeColor="text1" w:themeTint="BF"/>
    </w:rPr>
  </w:style>
  <w:style w:type="character" w:customStyle="1" w:styleId="QuoteChar">
    <w:name w:val="Quote Char"/>
    <w:basedOn w:val="DefaultParagraphFont"/>
    <w:link w:val="Quote"/>
    <w:uiPriority w:val="29"/>
    <w:rsid w:val="0047075C"/>
    <w:rPr>
      <w:i/>
      <w:iCs/>
      <w:color w:val="404040" w:themeColor="text1" w:themeTint="BF"/>
    </w:rPr>
  </w:style>
  <w:style w:type="paragraph" w:styleId="ListParagraph">
    <w:name w:val="List Paragraph"/>
    <w:basedOn w:val="Normal"/>
    <w:uiPriority w:val="34"/>
    <w:qFormat/>
    <w:rsid w:val="0047075C"/>
    <w:pPr>
      <w:ind w:left="720"/>
      <w:contextualSpacing/>
    </w:pPr>
  </w:style>
  <w:style w:type="character" w:styleId="IntenseEmphasis">
    <w:name w:val="Intense Emphasis"/>
    <w:basedOn w:val="DefaultParagraphFont"/>
    <w:uiPriority w:val="21"/>
    <w:qFormat/>
    <w:rsid w:val="0047075C"/>
    <w:rPr>
      <w:i/>
      <w:iCs/>
      <w:color w:val="0F4761" w:themeColor="accent1" w:themeShade="BF"/>
    </w:rPr>
  </w:style>
  <w:style w:type="paragraph" w:styleId="IntenseQuote">
    <w:name w:val="Intense Quote"/>
    <w:basedOn w:val="Normal"/>
    <w:next w:val="Normal"/>
    <w:link w:val="IntenseQuoteChar"/>
    <w:uiPriority w:val="30"/>
    <w:qFormat/>
    <w:rsid w:val="0047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75C"/>
    <w:rPr>
      <w:i/>
      <w:iCs/>
      <w:color w:val="0F4761" w:themeColor="accent1" w:themeShade="BF"/>
    </w:rPr>
  </w:style>
  <w:style w:type="character" w:styleId="IntenseReference">
    <w:name w:val="Intense Reference"/>
    <w:basedOn w:val="DefaultParagraphFont"/>
    <w:uiPriority w:val="32"/>
    <w:qFormat/>
    <w:rsid w:val="0047075C"/>
    <w:rPr>
      <w:b/>
      <w:bCs/>
      <w:smallCaps/>
      <w:color w:val="0F4761" w:themeColor="accent1" w:themeShade="BF"/>
      <w:spacing w:val="5"/>
    </w:rPr>
  </w:style>
  <w:style w:type="table" w:styleId="TableGrid">
    <w:name w:val="Table Grid"/>
    <w:basedOn w:val="TableNormal"/>
    <w:uiPriority w:val="39"/>
    <w:rsid w:val="00D3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6B9A5E792D2446B8986FAE34BEC557" ma:contentTypeVersion="13" ma:contentTypeDescription="Criar um novo documento." ma:contentTypeScope="" ma:versionID="76c42d233f396c620dfe843c8ada89d5">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ee5843f5cb2ee2b6912e5b34715a9ac2"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F94011-3F41-41F0-B9C6-43C77C7BAD16}"/>
</file>

<file path=customXml/itemProps2.xml><?xml version="1.0" encoding="utf-8"?>
<ds:datastoreItem xmlns:ds="http://schemas.openxmlformats.org/officeDocument/2006/customXml" ds:itemID="{B0456D54-DAD0-4D26-8DF1-47324104BEA4}"/>
</file>

<file path=customXml/itemProps3.xml><?xml version="1.0" encoding="utf-8"?>
<ds:datastoreItem xmlns:ds="http://schemas.openxmlformats.org/officeDocument/2006/customXml" ds:itemID="{11D6EBEB-2D56-4895-BA0D-FCC16D9FAF0E}"/>
</file>

<file path=docProps/app.xml><?xml version="1.0" encoding="utf-8"?>
<Properties xmlns="http://schemas.openxmlformats.org/officeDocument/2006/extended-properties" xmlns:vt="http://schemas.openxmlformats.org/officeDocument/2006/docPropsVTypes">
  <Template>Normal</Template>
  <TotalTime>88</TotalTime>
  <Pages>3</Pages>
  <Words>538</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Banco Santander Portugal</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Nuno Capelão Mendes</dc:creator>
  <cp:keywords/>
  <dc:description/>
  <cp:lastModifiedBy>Pedro Nuno Capelão Mendes</cp:lastModifiedBy>
  <cp:revision>1</cp:revision>
  <dcterms:created xsi:type="dcterms:W3CDTF">2026-04-09T07:05:00Z</dcterms:created>
  <dcterms:modified xsi:type="dcterms:W3CDTF">2026-04-09T08:33:00Z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2026-04-09T08:33:06Z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482311ff-5437-463b-b5a7-0fe99ff16352</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0x0101000B6B9A5E792D2446B8986FAE34BEC557</vt:lpwstr>
  </property>
</Properties>
</file>