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E4725" w14:textId="01A48236" w:rsidR="0047075C" w:rsidRPr="00D318A2" w:rsidRDefault="0047075C"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Structural checks - Banco Santander Totta</w:t>
      </w:r>
    </w:p>
    <w:p w14:paraId="73665437" w14:textId="77777777" w:rsidR="0047075C" w:rsidRP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Structural warnings:</w:t>
      </w:r>
    </w:p>
    <w:p w14:paraId="220469C0" w14:textId="0F9B452B" w:rsidR="0047075C" w:rsidRDefault="0047075C" w:rsidP="00D318A2">
      <w:pPr>
        <w:pStyle w:val="ListParagraph"/>
        <w:numPr>
          <w:ilvl w:val="0"/>
          <w:numId w:val="1"/>
        </w:numPr>
        <w:jc w:val="both"/>
        <w:rPr>
          <w:rFonts w:ascii="Santander Text" w:hAnsi="Santander Text"/>
          <w:sz w:val="20"/>
          <w:szCs w:val="20"/>
          <w:lang w:val="en-US"/>
        </w:rPr>
      </w:pPr>
      <w:r w:rsidRPr="00D318A2">
        <w:rPr>
          <w:rFonts w:ascii="Santander Text" w:hAnsi="Santander Text"/>
          <w:sz w:val="20"/>
          <w:szCs w:val="20"/>
          <w:lang w:val="en-US"/>
        </w:rPr>
        <w:t>We recommend the use of dot (.) as decimal separator, although comma (,) is also tolerated.</w:t>
      </w:r>
    </w:p>
    <w:p w14:paraId="66D74C3D" w14:textId="5EFAD269"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1983D32B" w14:textId="39F9E052"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BST will </w:t>
      </w:r>
      <w:r>
        <w:rPr>
          <w:rFonts w:ascii="Santander Text" w:hAnsi="Santander Text"/>
          <w:sz w:val="20"/>
          <w:szCs w:val="20"/>
          <w:lang w:val="en-US"/>
        </w:rPr>
        <w:t>try to accommodate this recommendation</w:t>
      </w:r>
    </w:p>
    <w:p w14:paraId="716B1F75" w14:textId="77777777" w:rsidR="00D318A2" w:rsidRDefault="00D318A2" w:rsidP="00D318A2">
      <w:pPr>
        <w:jc w:val="both"/>
        <w:rPr>
          <w:rFonts w:ascii="Santander Text" w:hAnsi="Santander Text"/>
          <w:b/>
          <w:bCs/>
          <w:sz w:val="20"/>
          <w:szCs w:val="20"/>
          <w:lang w:val="en-US"/>
        </w:rPr>
      </w:pPr>
    </w:p>
    <w:p w14:paraId="0B186C5D" w14:textId="3E377AB4" w:rsidR="0047075C" w:rsidRDefault="0047075C" w:rsidP="00D318A2">
      <w:pPr>
        <w:jc w:val="both"/>
        <w:rPr>
          <w:rFonts w:ascii="Santander Text" w:hAnsi="Santander Text"/>
          <w:b/>
          <w:bCs/>
          <w:sz w:val="20"/>
          <w:szCs w:val="20"/>
          <w:lang w:val="en-US"/>
        </w:rPr>
      </w:pPr>
      <w:r w:rsidRPr="0047075C">
        <w:rPr>
          <w:rFonts w:ascii="Santander Text" w:hAnsi="Santander Text"/>
          <w:b/>
          <w:bCs/>
          <w:sz w:val="20"/>
          <w:szCs w:val="20"/>
          <w:lang w:val="en-US"/>
        </w:rPr>
        <w:t>Tab Message</w:t>
      </w:r>
    </w:p>
    <w:tbl>
      <w:tblPr>
        <w:tblStyle w:val="TableGrid"/>
        <w:tblW w:w="0" w:type="auto"/>
        <w:tblLook w:val="04A0" w:firstRow="1" w:lastRow="0" w:firstColumn="1" w:lastColumn="0" w:noHBand="0" w:noVBand="1"/>
      </w:tblPr>
      <w:tblGrid>
        <w:gridCol w:w="1271"/>
        <w:gridCol w:w="7745"/>
      </w:tblGrid>
      <w:tr w:rsidR="00D318A2" w14:paraId="47701479" w14:textId="77777777" w:rsidTr="00D318A2">
        <w:tc>
          <w:tcPr>
            <w:tcW w:w="1271" w:type="dxa"/>
            <w:shd w:val="clear" w:color="auto" w:fill="EE0000"/>
          </w:tcPr>
          <w:p w14:paraId="2A715EA9" w14:textId="16748EFD"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Tab</w:t>
            </w:r>
          </w:p>
        </w:tc>
        <w:tc>
          <w:tcPr>
            <w:tcW w:w="7745" w:type="dxa"/>
            <w:shd w:val="clear" w:color="auto" w:fill="EE0000"/>
          </w:tcPr>
          <w:p w14:paraId="5A4941D9" w14:textId="4A407C9A" w:rsidR="00D318A2" w:rsidRPr="00D318A2" w:rsidRDefault="00D318A2" w:rsidP="00D318A2">
            <w:pPr>
              <w:jc w:val="both"/>
              <w:rPr>
                <w:rFonts w:ascii="Santander Text" w:hAnsi="Santander Text"/>
                <w:b/>
                <w:bCs/>
                <w:color w:val="FFFFFF" w:themeColor="background1"/>
                <w:sz w:val="20"/>
                <w:szCs w:val="20"/>
                <w:lang w:val="en-US"/>
              </w:rPr>
            </w:pPr>
            <w:r w:rsidRPr="00D318A2">
              <w:rPr>
                <w:rFonts w:ascii="Santander Text" w:hAnsi="Santander Text"/>
                <w:b/>
                <w:bCs/>
                <w:color w:val="FFFFFF" w:themeColor="background1"/>
                <w:sz w:val="20"/>
                <w:szCs w:val="20"/>
                <w:lang w:val="en-US"/>
              </w:rPr>
              <w:t>Message</w:t>
            </w:r>
          </w:p>
        </w:tc>
      </w:tr>
      <w:tr w:rsidR="00D318A2" w:rsidRPr="000327F0" w14:paraId="31754187" w14:textId="77777777" w:rsidTr="00D318A2">
        <w:tc>
          <w:tcPr>
            <w:tcW w:w="1271" w:type="dxa"/>
          </w:tcPr>
          <w:p w14:paraId="48842A2D" w14:textId="59CA4395" w:rsidR="00D318A2" w:rsidRDefault="00D318A2" w:rsidP="00D318A2">
            <w:pPr>
              <w:jc w:val="both"/>
              <w:rPr>
                <w:rFonts w:ascii="Santander Text" w:hAnsi="Santander Text"/>
                <w:b/>
                <w:bCs/>
                <w:sz w:val="20"/>
                <w:szCs w:val="20"/>
                <w:lang w:val="en-US"/>
              </w:rPr>
            </w:pPr>
            <w:r w:rsidRPr="0047075C">
              <w:rPr>
                <w:rFonts w:ascii="Santander Text" w:hAnsi="Santander Text"/>
                <w:b/>
                <w:bCs/>
                <w:sz w:val="20"/>
                <w:szCs w:val="20"/>
                <w:lang w:val="en-US"/>
              </w:rPr>
              <w:t>B0200</w:t>
            </w:r>
          </w:p>
        </w:tc>
        <w:tc>
          <w:tcPr>
            <w:tcW w:w="7745" w:type="dxa"/>
          </w:tcPr>
          <w:p w14:paraId="1152D2FF" w14:textId="7269BB04"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47075C">
              <w:rPr>
                <w:rFonts w:ascii="Santander Text" w:hAnsi="Santander Text"/>
                <w:sz w:val="20"/>
                <w:szCs w:val="20"/>
                <w:lang w:val="en-US"/>
              </w:rPr>
              <w:t>in the MBDT report.</w:t>
            </w:r>
          </w:p>
        </w:tc>
      </w:tr>
      <w:tr w:rsidR="00D318A2" w:rsidRPr="000327F0" w14:paraId="7C70FC75" w14:textId="77777777" w:rsidTr="00D318A2">
        <w:tc>
          <w:tcPr>
            <w:tcW w:w="1271" w:type="dxa"/>
          </w:tcPr>
          <w:p w14:paraId="7A5F970E" w14:textId="68FD63B5" w:rsidR="00D318A2" w:rsidRDefault="00D318A2" w:rsidP="00D318A2">
            <w:pPr>
              <w:jc w:val="both"/>
              <w:rPr>
                <w:rFonts w:ascii="Santander Text" w:hAnsi="Santander Text"/>
                <w:b/>
                <w:bCs/>
                <w:sz w:val="20"/>
                <w:szCs w:val="20"/>
                <w:lang w:val="en-US"/>
              </w:rPr>
            </w:pPr>
            <w:r>
              <w:rPr>
                <w:rFonts w:ascii="Santander Text" w:hAnsi="Santander Text"/>
                <w:b/>
                <w:bCs/>
                <w:sz w:val="20"/>
                <w:szCs w:val="20"/>
                <w:lang w:val="en-US"/>
              </w:rPr>
              <w:t>B9000</w:t>
            </w:r>
          </w:p>
        </w:tc>
        <w:tc>
          <w:tcPr>
            <w:tcW w:w="7745" w:type="dxa"/>
          </w:tcPr>
          <w:p w14:paraId="4032EB13" w14:textId="6677932F" w:rsidR="00D318A2" w:rsidRDefault="00D318A2" w:rsidP="00D318A2">
            <w:pPr>
              <w:spacing w:after="160" w:line="278" w:lineRule="auto"/>
              <w:jc w:val="both"/>
              <w:rPr>
                <w:rFonts w:ascii="Santander Text" w:hAnsi="Santander Text"/>
                <w:b/>
                <w:bCs/>
                <w:sz w:val="20"/>
                <w:szCs w:val="20"/>
                <w:lang w:val="en-US"/>
              </w:rPr>
            </w:pPr>
            <w:r w:rsidRPr="0047075C">
              <w:rPr>
                <w:rFonts w:ascii="Santander Text" w:hAnsi="Santander Text"/>
                <w:sz w:val="20"/>
                <w:szCs w:val="20"/>
                <w:lang w:val="en-US"/>
              </w:rPr>
              <w:t>Attention: dropping one or more rows with all fields being empty. Such rows should not be included</w:t>
            </w:r>
            <w:r>
              <w:rPr>
                <w:rFonts w:ascii="Santander Text" w:hAnsi="Santander Text"/>
                <w:sz w:val="20"/>
                <w:szCs w:val="20"/>
                <w:lang w:val="en-US"/>
              </w:rPr>
              <w:t xml:space="preserve"> </w:t>
            </w:r>
            <w:r w:rsidRPr="00D318A2">
              <w:rPr>
                <w:rFonts w:ascii="Santander Text" w:hAnsi="Santander Text"/>
                <w:sz w:val="20"/>
                <w:szCs w:val="20"/>
                <w:lang w:val="en-US"/>
              </w:rPr>
              <w:t>in the MBDT report</w:t>
            </w:r>
          </w:p>
        </w:tc>
      </w:tr>
    </w:tbl>
    <w:p w14:paraId="32CA40A8" w14:textId="77777777" w:rsidR="00D318A2" w:rsidRPr="0047075C" w:rsidRDefault="00D318A2" w:rsidP="00D318A2">
      <w:pPr>
        <w:jc w:val="both"/>
        <w:rPr>
          <w:rFonts w:ascii="Santander Text" w:hAnsi="Santander Text"/>
          <w:b/>
          <w:bCs/>
          <w:sz w:val="20"/>
          <w:szCs w:val="20"/>
          <w:lang w:val="en-US"/>
        </w:rPr>
      </w:pPr>
    </w:p>
    <w:p w14:paraId="3D91B558" w14:textId="77777777" w:rsidR="00D318A2" w:rsidRPr="00D318A2" w:rsidRDefault="00D318A2" w:rsidP="00D318A2">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6A0E2A5" w14:textId="01D27378" w:rsidR="0047075C" w:rsidRDefault="00D318A2" w:rsidP="00D318A2">
      <w:pPr>
        <w:jc w:val="both"/>
        <w:rPr>
          <w:rFonts w:ascii="Santander Text" w:hAnsi="Santander Text"/>
          <w:sz w:val="20"/>
          <w:szCs w:val="20"/>
          <w:lang w:val="en-US"/>
        </w:rPr>
      </w:pPr>
      <w:r>
        <w:rPr>
          <w:rFonts w:ascii="Santander Text" w:hAnsi="Santander Text"/>
          <w:sz w:val="20"/>
          <w:szCs w:val="20"/>
          <w:lang w:val="en-US"/>
        </w:rPr>
        <w:t>BST will review the csv file generation so that these situations do not occur</w:t>
      </w:r>
    </w:p>
    <w:p w14:paraId="58302458" w14:textId="77777777" w:rsidR="00D318A2" w:rsidRDefault="00D318A2" w:rsidP="00D318A2">
      <w:pPr>
        <w:jc w:val="both"/>
        <w:rPr>
          <w:rFonts w:ascii="Santander Text" w:hAnsi="Santander Text"/>
          <w:sz w:val="20"/>
          <w:szCs w:val="20"/>
          <w:lang w:val="en-US"/>
        </w:rPr>
      </w:pPr>
    </w:p>
    <w:p w14:paraId="6325DA60" w14:textId="409F4259" w:rsidR="00D318A2" w:rsidRDefault="00D318A2" w:rsidP="00D318A2">
      <w:pPr>
        <w:pStyle w:val="ListParagraph"/>
        <w:numPr>
          <w:ilvl w:val="0"/>
          <w:numId w:val="2"/>
        </w:numPr>
        <w:ind w:left="426"/>
        <w:jc w:val="both"/>
        <w:rPr>
          <w:rFonts w:ascii="Santander Text" w:hAnsi="Santander Text"/>
          <w:b/>
          <w:bCs/>
          <w:lang w:val="en-US"/>
        </w:rPr>
      </w:pPr>
      <w:r w:rsidRPr="00D318A2">
        <w:rPr>
          <w:rFonts w:ascii="Santander Text" w:hAnsi="Santander Text"/>
          <w:b/>
          <w:bCs/>
          <w:lang w:val="en-US"/>
        </w:rPr>
        <w:t>Level 1 and 2 validation process - Banco Santander</w:t>
      </w:r>
      <w:r>
        <w:rPr>
          <w:rFonts w:ascii="Santander Text" w:hAnsi="Santander Text"/>
          <w:b/>
          <w:bCs/>
          <w:lang w:val="en-US"/>
        </w:rPr>
        <w:t xml:space="preserve"> </w:t>
      </w:r>
      <w:r w:rsidRPr="00D318A2">
        <w:rPr>
          <w:rFonts w:ascii="Santander Text" w:hAnsi="Santander Text"/>
          <w:b/>
          <w:bCs/>
          <w:lang w:val="en-US"/>
        </w:rPr>
        <w:t>Totta</w:t>
      </w:r>
    </w:p>
    <w:p w14:paraId="217F06F8" w14:textId="77777777" w:rsidR="00D318A2" w:rsidRDefault="00D318A2" w:rsidP="00D318A2">
      <w:pPr>
        <w:pStyle w:val="ListParagraph"/>
        <w:jc w:val="both"/>
        <w:rPr>
          <w:rFonts w:ascii="Santander Text" w:hAnsi="Santander Text"/>
          <w:sz w:val="20"/>
          <w:szCs w:val="20"/>
          <w:lang w:val="en-US"/>
        </w:rPr>
      </w:pPr>
    </w:p>
    <w:p w14:paraId="3E6680A0"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 xml:space="preserve">The bank is kindly requested to evaluate the results of these checks </w:t>
      </w:r>
      <w:proofErr w:type="gramStart"/>
      <w:r w:rsidRPr="00D318A2">
        <w:rPr>
          <w:rFonts w:ascii="Santander Text" w:hAnsi="Santander Text"/>
          <w:sz w:val="20"/>
          <w:szCs w:val="20"/>
          <w:lang w:val="en-US"/>
        </w:rPr>
        <w:t>and either</w:t>
      </w:r>
      <w:proofErr w:type="gramEnd"/>
      <w:r w:rsidRPr="00D318A2">
        <w:rPr>
          <w:rFonts w:ascii="Santander Text" w:hAnsi="Santander Text"/>
          <w:sz w:val="20"/>
          <w:szCs w:val="20"/>
          <w:lang w:val="en-US"/>
        </w:rPr>
        <w:t xml:space="preserve"> provide a justification if the</w:t>
      </w:r>
    </w:p>
    <w:p w14:paraId="7D613F0E" w14:textId="77777777" w:rsidR="00D318A2" w:rsidRP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submitted data is deemed valid, or update the IRT if changes to the bank's MIS infrastructure are necessary</w:t>
      </w:r>
    </w:p>
    <w:p w14:paraId="14EC616F" w14:textId="51B0EDF1" w:rsidR="00D318A2" w:rsidRDefault="00D318A2" w:rsidP="00D318A2">
      <w:pPr>
        <w:jc w:val="both"/>
        <w:rPr>
          <w:rFonts w:ascii="Santander Text" w:hAnsi="Santander Text"/>
          <w:sz w:val="20"/>
          <w:szCs w:val="20"/>
          <w:lang w:val="en-US"/>
        </w:rPr>
      </w:pPr>
      <w:r w:rsidRPr="00D318A2">
        <w:rPr>
          <w:rFonts w:ascii="Santander Text" w:hAnsi="Santander Text"/>
          <w:sz w:val="20"/>
          <w:szCs w:val="20"/>
          <w:lang w:val="en-US"/>
        </w:rPr>
        <w:t>based on the rules' outcomes.</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D318A2" w:rsidRPr="00D318A2" w14:paraId="7E7C2CC7" w14:textId="77777777" w:rsidTr="00D318A2">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EFC73E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5F7D92F"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5053BF9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37EA8DDA"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3C50B74B"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7F947C94" w14:textId="77777777" w:rsidR="00D318A2" w:rsidRPr="00D318A2" w:rsidRDefault="00D318A2" w:rsidP="00D318A2">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D318A2" w:rsidRPr="000327F0" w14:paraId="4FE6427E" w14:textId="77777777" w:rsidTr="00D318A2">
        <w:trPr>
          <w:trHeight w:val="990"/>
        </w:trPr>
        <w:tc>
          <w:tcPr>
            <w:tcW w:w="1474" w:type="dxa"/>
            <w:tcBorders>
              <w:top w:val="nil"/>
              <w:left w:val="single" w:sz="4" w:space="0" w:color="auto"/>
              <w:bottom w:val="single" w:sz="4" w:space="0" w:color="auto"/>
              <w:right w:val="single" w:sz="4" w:space="0" w:color="auto"/>
            </w:tcBorders>
            <w:noWrap/>
            <w:vAlign w:val="center"/>
            <w:hideMark/>
          </w:tcPr>
          <w:p w14:paraId="7CCEC79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v_1_0017</w:t>
            </w:r>
          </w:p>
        </w:tc>
        <w:tc>
          <w:tcPr>
            <w:tcW w:w="931" w:type="dxa"/>
            <w:tcBorders>
              <w:top w:val="nil"/>
              <w:left w:val="nil"/>
              <w:bottom w:val="single" w:sz="4" w:space="0" w:color="auto"/>
              <w:right w:val="single" w:sz="4" w:space="0" w:color="auto"/>
            </w:tcBorders>
            <w:noWrap/>
            <w:vAlign w:val="center"/>
            <w:hideMark/>
          </w:tcPr>
          <w:p w14:paraId="23CC3BC9"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6D1E4397"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c0180</w:t>
            </w:r>
          </w:p>
        </w:tc>
        <w:tc>
          <w:tcPr>
            <w:tcW w:w="1276" w:type="dxa"/>
            <w:tcBorders>
              <w:top w:val="nil"/>
              <w:left w:val="nil"/>
              <w:bottom w:val="single" w:sz="4" w:space="0" w:color="auto"/>
              <w:right w:val="single" w:sz="4" w:space="0" w:color="auto"/>
            </w:tcBorders>
            <w:vAlign w:val="center"/>
            <w:hideMark/>
          </w:tcPr>
          <w:p w14:paraId="3D13F330"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Date of the next interest payment</w:t>
            </w:r>
          </w:p>
        </w:tc>
        <w:tc>
          <w:tcPr>
            <w:tcW w:w="1349" w:type="dxa"/>
            <w:tcBorders>
              <w:top w:val="nil"/>
              <w:left w:val="nil"/>
              <w:bottom w:val="single" w:sz="4" w:space="0" w:color="auto"/>
              <w:right w:val="single" w:sz="4" w:space="0" w:color="auto"/>
            </w:tcBorders>
            <w:vAlign w:val="center"/>
            <w:hideMark/>
          </w:tcPr>
          <w:p w14:paraId="416551AD"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4, 6 (Total #: 2)</w:t>
            </w:r>
          </w:p>
        </w:tc>
        <w:tc>
          <w:tcPr>
            <w:tcW w:w="2904" w:type="dxa"/>
            <w:tcBorders>
              <w:top w:val="nil"/>
              <w:left w:val="nil"/>
              <w:bottom w:val="single" w:sz="4" w:space="0" w:color="auto"/>
              <w:right w:val="single" w:sz="4" w:space="0" w:color="auto"/>
            </w:tcBorders>
            <w:vAlign w:val="center"/>
            <w:hideMark/>
          </w:tcPr>
          <w:p w14:paraId="66FB407F" w14:textId="77777777" w:rsidR="00D318A2" w:rsidRPr="00D318A2" w:rsidRDefault="00D318A2" w:rsidP="00D318A2">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non-structured (c0250) instruments/liabilities that are not zero-coupon bonds issued at discount (c0240).</w:t>
            </w:r>
          </w:p>
        </w:tc>
      </w:tr>
    </w:tbl>
    <w:p w14:paraId="21C5DBB4" w14:textId="77777777" w:rsidR="00D318A2" w:rsidRPr="00D318A2" w:rsidRDefault="00D318A2" w:rsidP="00D318A2">
      <w:pPr>
        <w:jc w:val="both"/>
        <w:rPr>
          <w:rFonts w:ascii="Santander Text" w:hAnsi="Santander Text"/>
          <w:sz w:val="20"/>
          <w:szCs w:val="20"/>
          <w:lang w:val="en-US"/>
        </w:rPr>
      </w:pPr>
    </w:p>
    <w:p w14:paraId="3395D109" w14:textId="77777777" w:rsidR="004207E8" w:rsidRPr="00D318A2" w:rsidRDefault="004207E8" w:rsidP="004207E8">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EF68ACF" w14:textId="3DDD0F1E" w:rsidR="00895BC5" w:rsidRDefault="00895BC5" w:rsidP="004207E8">
      <w:pPr>
        <w:jc w:val="both"/>
        <w:rPr>
          <w:rFonts w:ascii="Santander Text" w:hAnsi="Santander Text"/>
          <w:sz w:val="20"/>
          <w:szCs w:val="20"/>
          <w:lang w:val="en-US"/>
        </w:rPr>
      </w:pPr>
      <w:r>
        <w:rPr>
          <w:rFonts w:ascii="Santander Text" w:hAnsi="Santander Text"/>
          <w:sz w:val="20"/>
          <w:szCs w:val="20"/>
          <w:lang w:val="en-US"/>
        </w:rPr>
        <w:t>Isn’t this rule broken also for row number 8? On the rows in question, AT1 instruments are reported. These instruments do not pay interest, they pay dividends</w:t>
      </w:r>
      <w:r w:rsidR="00DD25B6">
        <w:rPr>
          <w:rFonts w:ascii="Santander Text" w:hAnsi="Santander Text"/>
          <w:sz w:val="20"/>
          <w:szCs w:val="20"/>
          <w:lang w:val="en-US"/>
        </w:rPr>
        <w:t xml:space="preserve"> and they are not zero-coupon bonds.</w:t>
      </w:r>
    </w:p>
    <w:p w14:paraId="15811E2A" w14:textId="6499C451" w:rsidR="004207E8" w:rsidRDefault="00895BC5" w:rsidP="004207E8">
      <w:pPr>
        <w:jc w:val="both"/>
        <w:rPr>
          <w:rFonts w:ascii="Santander Text" w:hAnsi="Santander Text"/>
          <w:sz w:val="20"/>
          <w:szCs w:val="20"/>
          <w:lang w:val="en-US"/>
        </w:rPr>
      </w:pPr>
      <w:r>
        <w:rPr>
          <w:rFonts w:ascii="Santander Text" w:hAnsi="Santander Text"/>
          <w:sz w:val="20"/>
          <w:szCs w:val="20"/>
          <w:lang w:val="en-US"/>
        </w:rPr>
        <w:t>What should we report in these situations</w:t>
      </w:r>
      <w:r w:rsidR="00DD25B6">
        <w:rPr>
          <w:rFonts w:ascii="Santander Text" w:hAnsi="Santander Text"/>
          <w:sz w:val="20"/>
          <w:szCs w:val="20"/>
          <w:lang w:val="en-US"/>
        </w:rPr>
        <w:t>?</w:t>
      </w: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895BC5" w:rsidRPr="00D318A2" w14:paraId="64FC98C0"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51589BE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lastRenderedPageBreak/>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4F62453C"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0806F7DA"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0E5F0CA3"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6F7483A8"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63EBB7F2" w14:textId="77777777" w:rsidR="00895BC5" w:rsidRPr="00D318A2" w:rsidRDefault="00895BC5"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895BC5" w:rsidRPr="000327F0" w14:paraId="130C6199"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0BE2ADC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add_v_2_0031</w:t>
            </w:r>
          </w:p>
        </w:tc>
        <w:tc>
          <w:tcPr>
            <w:tcW w:w="931" w:type="dxa"/>
            <w:tcBorders>
              <w:top w:val="nil"/>
              <w:left w:val="nil"/>
              <w:bottom w:val="single" w:sz="4" w:space="0" w:color="auto"/>
              <w:right w:val="single" w:sz="4" w:space="0" w:color="auto"/>
            </w:tcBorders>
            <w:noWrap/>
            <w:vAlign w:val="center"/>
            <w:hideMark/>
          </w:tcPr>
          <w:p w14:paraId="123282EB"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B0200</w:t>
            </w:r>
          </w:p>
        </w:tc>
        <w:tc>
          <w:tcPr>
            <w:tcW w:w="992" w:type="dxa"/>
            <w:tcBorders>
              <w:top w:val="nil"/>
              <w:left w:val="nil"/>
              <w:bottom w:val="single" w:sz="4" w:space="0" w:color="auto"/>
              <w:right w:val="single" w:sz="4" w:space="0" w:color="auto"/>
            </w:tcBorders>
            <w:noWrap/>
            <w:vAlign w:val="center"/>
            <w:hideMark/>
          </w:tcPr>
          <w:p w14:paraId="36D524F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c0430</w:t>
            </w:r>
          </w:p>
        </w:tc>
        <w:tc>
          <w:tcPr>
            <w:tcW w:w="1276" w:type="dxa"/>
            <w:tcBorders>
              <w:top w:val="nil"/>
              <w:left w:val="nil"/>
              <w:bottom w:val="single" w:sz="4" w:space="0" w:color="auto"/>
              <w:right w:val="single" w:sz="4" w:space="0" w:color="auto"/>
            </w:tcBorders>
            <w:vAlign w:val="center"/>
            <w:hideMark/>
          </w:tcPr>
          <w:p w14:paraId="29F92A3F"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Principal amount of the global note in EUR</w:t>
            </w:r>
          </w:p>
        </w:tc>
        <w:tc>
          <w:tcPr>
            <w:tcW w:w="1349" w:type="dxa"/>
            <w:tcBorders>
              <w:top w:val="nil"/>
              <w:left w:val="nil"/>
              <w:bottom w:val="single" w:sz="4" w:space="0" w:color="auto"/>
              <w:right w:val="single" w:sz="4" w:space="0" w:color="auto"/>
            </w:tcBorders>
            <w:vAlign w:val="center"/>
            <w:hideMark/>
          </w:tcPr>
          <w:p w14:paraId="56D68408"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1 ... 6, 8 (Total #: 7)</w:t>
            </w:r>
          </w:p>
        </w:tc>
        <w:tc>
          <w:tcPr>
            <w:tcW w:w="2904" w:type="dxa"/>
            <w:tcBorders>
              <w:top w:val="nil"/>
              <w:left w:val="nil"/>
              <w:bottom w:val="single" w:sz="4" w:space="0" w:color="auto"/>
              <w:right w:val="single" w:sz="4" w:space="0" w:color="auto"/>
            </w:tcBorders>
            <w:vAlign w:val="center"/>
            <w:hideMark/>
          </w:tcPr>
          <w:p w14:paraId="7E941C3E" w14:textId="77777777" w:rsidR="00895BC5" w:rsidRPr="00D318A2" w:rsidRDefault="00895BC5"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Missing/Not applicable value. The field should be reported for securities (c0030 is an ISIN) with trading method "Nominal" (c0360).</w:t>
            </w:r>
          </w:p>
        </w:tc>
      </w:tr>
    </w:tbl>
    <w:p w14:paraId="3B261FD8" w14:textId="77777777" w:rsidR="00D318A2" w:rsidRDefault="00D318A2" w:rsidP="00D318A2">
      <w:pPr>
        <w:jc w:val="both"/>
        <w:rPr>
          <w:rFonts w:ascii="Santander Text" w:hAnsi="Santander Text"/>
          <w:b/>
          <w:bCs/>
          <w:lang w:val="en-US"/>
        </w:rPr>
      </w:pPr>
    </w:p>
    <w:p w14:paraId="456E1894"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2BB1C05B" w14:textId="44BB3CD2" w:rsidR="00DD25B6" w:rsidRDefault="00DD25B6" w:rsidP="00DD25B6">
      <w:pPr>
        <w:jc w:val="both"/>
        <w:rPr>
          <w:rFonts w:ascii="Santander Text" w:hAnsi="Santander Text"/>
          <w:sz w:val="20"/>
          <w:szCs w:val="20"/>
          <w:lang w:val="en-US"/>
        </w:rPr>
      </w:pPr>
      <w:commentRangeStart w:id="0"/>
      <w:r>
        <w:rPr>
          <w:rFonts w:ascii="Santander Text" w:hAnsi="Santander Text"/>
          <w:sz w:val="20"/>
          <w:szCs w:val="20"/>
          <w:lang w:val="en-US"/>
        </w:rPr>
        <w:t>All BST’s issuances are in Euros. For c0430 and c0431 should we report the value in Euros? If so, we will change the MBDT accordingly.</w:t>
      </w:r>
      <w:commentRangeEnd w:id="0"/>
      <w:r w:rsidR="00B07129">
        <w:rPr>
          <w:rStyle w:val="CommentReference"/>
        </w:rPr>
        <w:commentReference w:id="0"/>
      </w:r>
    </w:p>
    <w:p w14:paraId="4EB8EE7C" w14:textId="77777777" w:rsidR="004207E8" w:rsidRDefault="004207E8" w:rsidP="00D318A2">
      <w:pPr>
        <w:jc w:val="both"/>
        <w:rPr>
          <w:rFonts w:ascii="Santander Text" w:hAnsi="Santander Text"/>
          <w:b/>
          <w:bCs/>
          <w:lang w:val="en-US"/>
        </w:rPr>
      </w:pPr>
    </w:p>
    <w:tbl>
      <w:tblPr>
        <w:tblW w:w="8926" w:type="dxa"/>
        <w:tblCellMar>
          <w:left w:w="70" w:type="dxa"/>
          <w:right w:w="70" w:type="dxa"/>
        </w:tblCellMar>
        <w:tblLook w:val="04A0" w:firstRow="1" w:lastRow="0" w:firstColumn="1" w:lastColumn="0" w:noHBand="0" w:noVBand="1"/>
      </w:tblPr>
      <w:tblGrid>
        <w:gridCol w:w="1474"/>
        <w:gridCol w:w="931"/>
        <w:gridCol w:w="992"/>
        <w:gridCol w:w="1276"/>
        <w:gridCol w:w="1349"/>
        <w:gridCol w:w="2904"/>
      </w:tblGrid>
      <w:tr w:rsidR="004207E8" w:rsidRPr="00D318A2" w14:paraId="2D11EDF2" w14:textId="77777777" w:rsidTr="00833C3A">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2A7C11F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Rule breached</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74CA7D6F"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Table affected by the rule</w:t>
            </w:r>
          </w:p>
        </w:tc>
        <w:tc>
          <w:tcPr>
            <w:tcW w:w="992" w:type="dxa"/>
            <w:tcBorders>
              <w:top w:val="single" w:sz="4" w:space="0" w:color="auto"/>
              <w:left w:val="nil"/>
              <w:bottom w:val="single" w:sz="4" w:space="0" w:color="auto"/>
              <w:right w:val="single" w:sz="4" w:space="0" w:color="auto"/>
            </w:tcBorders>
            <w:shd w:val="clear" w:color="auto" w:fill="EE0000"/>
            <w:noWrap/>
            <w:vAlign w:val="center"/>
            <w:hideMark/>
          </w:tcPr>
          <w:p w14:paraId="173AEE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affected by the rule</w:t>
            </w:r>
          </w:p>
        </w:tc>
        <w:tc>
          <w:tcPr>
            <w:tcW w:w="1276" w:type="dxa"/>
            <w:tcBorders>
              <w:top w:val="single" w:sz="4" w:space="0" w:color="auto"/>
              <w:left w:val="nil"/>
              <w:bottom w:val="single" w:sz="4" w:space="0" w:color="auto"/>
              <w:right w:val="single" w:sz="4" w:space="0" w:color="auto"/>
            </w:tcBorders>
            <w:shd w:val="clear" w:color="auto" w:fill="EE0000"/>
            <w:vAlign w:val="center"/>
            <w:hideMark/>
          </w:tcPr>
          <w:p w14:paraId="4ADABDF8"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Field name</w:t>
            </w:r>
          </w:p>
        </w:tc>
        <w:tc>
          <w:tcPr>
            <w:tcW w:w="1349" w:type="dxa"/>
            <w:tcBorders>
              <w:top w:val="single" w:sz="4" w:space="0" w:color="auto"/>
              <w:left w:val="nil"/>
              <w:bottom w:val="single" w:sz="4" w:space="0" w:color="auto"/>
              <w:right w:val="single" w:sz="4" w:space="0" w:color="auto"/>
            </w:tcBorders>
            <w:shd w:val="clear" w:color="auto" w:fill="EE0000"/>
            <w:vAlign w:val="center"/>
            <w:hideMark/>
          </w:tcPr>
          <w:p w14:paraId="44B6A72A"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 xml:space="preserve">Validation outcome </w:t>
            </w:r>
          </w:p>
        </w:tc>
        <w:tc>
          <w:tcPr>
            <w:tcW w:w="2904" w:type="dxa"/>
            <w:tcBorders>
              <w:top w:val="single" w:sz="4" w:space="0" w:color="auto"/>
              <w:left w:val="nil"/>
              <w:bottom w:val="single" w:sz="4" w:space="0" w:color="auto"/>
              <w:right w:val="single" w:sz="4" w:space="0" w:color="auto"/>
            </w:tcBorders>
            <w:shd w:val="clear" w:color="auto" w:fill="EE0000"/>
            <w:noWrap/>
            <w:vAlign w:val="center"/>
            <w:hideMark/>
          </w:tcPr>
          <w:p w14:paraId="2E37C875" w14:textId="77777777" w:rsidR="004207E8" w:rsidRPr="00D318A2" w:rsidRDefault="004207E8"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sidRPr="00D318A2">
              <w:rPr>
                <w:rFonts w:ascii="Santander Text" w:eastAsia="Times New Roman" w:hAnsi="Santander Text" w:cs="Times New Roman"/>
                <w:b/>
                <w:bCs/>
                <w:color w:val="FFFFFF" w:themeColor="background1"/>
                <w:kern w:val="0"/>
                <w:sz w:val="16"/>
                <w:szCs w:val="16"/>
                <w:lang w:val="en-US" w:eastAsia="pt-PT"/>
                <w14:ligatures w14:val="none"/>
              </w:rPr>
              <w:t>Message</w:t>
            </w:r>
          </w:p>
        </w:tc>
      </w:tr>
      <w:tr w:rsidR="004207E8" w:rsidRPr="000327F0" w14:paraId="2A99B02D" w14:textId="77777777" w:rsidTr="00833C3A">
        <w:trPr>
          <w:trHeight w:val="990"/>
        </w:trPr>
        <w:tc>
          <w:tcPr>
            <w:tcW w:w="1474" w:type="dxa"/>
            <w:tcBorders>
              <w:top w:val="nil"/>
              <w:left w:val="single" w:sz="4" w:space="0" w:color="auto"/>
              <w:bottom w:val="single" w:sz="4" w:space="0" w:color="auto"/>
              <w:right w:val="single" w:sz="4" w:space="0" w:color="auto"/>
            </w:tcBorders>
            <w:noWrap/>
            <w:vAlign w:val="center"/>
            <w:hideMark/>
          </w:tcPr>
          <w:p w14:paraId="7EBFE8A8"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Internal finding </w:t>
            </w:r>
          </w:p>
        </w:tc>
        <w:tc>
          <w:tcPr>
            <w:tcW w:w="931" w:type="dxa"/>
            <w:tcBorders>
              <w:top w:val="nil"/>
              <w:left w:val="nil"/>
              <w:bottom w:val="single" w:sz="4" w:space="0" w:color="auto"/>
              <w:right w:val="single" w:sz="4" w:space="0" w:color="auto"/>
            </w:tcBorders>
            <w:noWrap/>
            <w:vAlign w:val="center"/>
            <w:hideMark/>
          </w:tcPr>
          <w:p w14:paraId="234D6B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B90000</w:t>
            </w:r>
          </w:p>
        </w:tc>
        <w:tc>
          <w:tcPr>
            <w:tcW w:w="992" w:type="dxa"/>
            <w:tcBorders>
              <w:top w:val="nil"/>
              <w:left w:val="nil"/>
              <w:bottom w:val="single" w:sz="4" w:space="0" w:color="auto"/>
              <w:right w:val="single" w:sz="4" w:space="0" w:color="auto"/>
            </w:tcBorders>
            <w:noWrap/>
            <w:vAlign w:val="center"/>
            <w:hideMark/>
          </w:tcPr>
          <w:p w14:paraId="6C32E094"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C0080</w:t>
            </w:r>
          </w:p>
        </w:tc>
        <w:tc>
          <w:tcPr>
            <w:tcW w:w="1276" w:type="dxa"/>
            <w:tcBorders>
              <w:top w:val="nil"/>
              <w:left w:val="nil"/>
              <w:bottom w:val="single" w:sz="4" w:space="0" w:color="auto"/>
              <w:right w:val="single" w:sz="4" w:space="0" w:color="auto"/>
            </w:tcBorders>
            <w:vAlign w:val="center"/>
            <w:hideMark/>
          </w:tcPr>
          <w:p w14:paraId="76DE7A69"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Counterparty type</w:t>
            </w:r>
          </w:p>
        </w:tc>
        <w:tc>
          <w:tcPr>
            <w:tcW w:w="1349" w:type="dxa"/>
            <w:tcBorders>
              <w:top w:val="nil"/>
              <w:left w:val="nil"/>
              <w:bottom w:val="single" w:sz="4" w:space="0" w:color="auto"/>
              <w:right w:val="single" w:sz="4" w:space="0" w:color="auto"/>
            </w:tcBorders>
            <w:vAlign w:val="center"/>
            <w:hideMark/>
          </w:tcPr>
          <w:p w14:paraId="500AF6AB"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Rule breached in row number: 2, 3 (Total #: 2)</w:t>
            </w:r>
          </w:p>
        </w:tc>
        <w:tc>
          <w:tcPr>
            <w:tcW w:w="2904" w:type="dxa"/>
            <w:tcBorders>
              <w:top w:val="nil"/>
              <w:left w:val="nil"/>
              <w:bottom w:val="single" w:sz="4" w:space="0" w:color="auto"/>
              <w:right w:val="single" w:sz="4" w:space="0" w:color="auto"/>
            </w:tcBorders>
            <w:vAlign w:val="center"/>
            <w:hideMark/>
          </w:tcPr>
          <w:p w14:paraId="4FA5E6F2" w14:textId="77777777" w:rsidR="004207E8" w:rsidRPr="00D318A2" w:rsidRDefault="004207E8"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318A2">
              <w:rPr>
                <w:rFonts w:ascii="Santander Text" w:eastAsia="Times New Roman" w:hAnsi="Santander Text" w:cs="Times New Roman"/>
                <w:color w:val="000000"/>
                <w:kern w:val="0"/>
                <w:sz w:val="16"/>
                <w:szCs w:val="16"/>
                <w:lang w:val="en-US" w:eastAsia="pt-PT"/>
                <w14:ligatures w14:val="none"/>
              </w:rPr>
              <w:t xml:space="preserve">Please clarify why the selection of “Non identified, not listed on an exchange platform” for </w:t>
            </w:r>
            <w:proofErr w:type="spellStart"/>
            <w:r w:rsidRPr="00D318A2">
              <w:rPr>
                <w:rFonts w:ascii="Santander Text" w:eastAsia="Times New Roman" w:hAnsi="Santander Text" w:cs="Times New Roman"/>
                <w:color w:val="000000"/>
                <w:kern w:val="0"/>
                <w:sz w:val="16"/>
                <w:szCs w:val="16"/>
                <w:lang w:val="en-US" w:eastAsia="pt-PT"/>
                <w14:ligatures w14:val="none"/>
              </w:rPr>
              <w:t>iMREL</w:t>
            </w:r>
            <w:proofErr w:type="spellEnd"/>
            <w:r w:rsidRPr="00D318A2">
              <w:rPr>
                <w:rFonts w:ascii="Santander Text" w:eastAsia="Times New Roman" w:hAnsi="Santander Text" w:cs="Times New Roman"/>
                <w:color w:val="000000"/>
                <w:kern w:val="0"/>
                <w:sz w:val="16"/>
                <w:szCs w:val="16"/>
                <w:lang w:val="en-US" w:eastAsia="pt-PT"/>
                <w14:ligatures w14:val="none"/>
              </w:rPr>
              <w:t xml:space="preserve"> securities.</w:t>
            </w:r>
          </w:p>
        </w:tc>
      </w:tr>
    </w:tbl>
    <w:p w14:paraId="0807B374" w14:textId="77777777" w:rsidR="004207E8" w:rsidRDefault="004207E8" w:rsidP="00D318A2">
      <w:pPr>
        <w:jc w:val="both"/>
        <w:rPr>
          <w:rFonts w:ascii="Santander Text" w:hAnsi="Santander Text"/>
          <w:b/>
          <w:bCs/>
          <w:lang w:val="en-US"/>
        </w:rPr>
      </w:pPr>
    </w:p>
    <w:p w14:paraId="4D81AD43" w14:textId="77777777" w:rsidR="00DD25B6" w:rsidRPr="00D318A2" w:rsidRDefault="00DD25B6" w:rsidP="00DD25B6">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tbl>
      <w:tblPr>
        <w:tblW w:w="8926" w:type="dxa"/>
        <w:tblCellMar>
          <w:left w:w="70" w:type="dxa"/>
          <w:right w:w="70" w:type="dxa"/>
        </w:tblCellMar>
        <w:tblLook w:val="04A0" w:firstRow="1" w:lastRow="0" w:firstColumn="1" w:lastColumn="0" w:noHBand="0" w:noVBand="1"/>
      </w:tblPr>
      <w:tblGrid>
        <w:gridCol w:w="1474"/>
        <w:gridCol w:w="931"/>
        <w:gridCol w:w="1054"/>
        <w:gridCol w:w="5467"/>
      </w:tblGrid>
      <w:tr w:rsidR="00DD25B6" w:rsidRPr="00D318A2" w14:paraId="5FF58D3D" w14:textId="77777777" w:rsidTr="00363C51">
        <w:trPr>
          <w:trHeight w:val="330"/>
        </w:trPr>
        <w:tc>
          <w:tcPr>
            <w:tcW w:w="1474" w:type="dxa"/>
            <w:tcBorders>
              <w:top w:val="single" w:sz="4" w:space="0" w:color="auto"/>
              <w:left w:val="single" w:sz="4" w:space="0" w:color="auto"/>
              <w:bottom w:val="single" w:sz="4" w:space="0" w:color="auto"/>
              <w:right w:val="single" w:sz="4" w:space="0" w:color="auto"/>
            </w:tcBorders>
            <w:shd w:val="clear" w:color="auto" w:fill="EE0000"/>
            <w:noWrap/>
            <w:vAlign w:val="center"/>
            <w:hideMark/>
          </w:tcPr>
          <w:p w14:paraId="4313E340" w14:textId="1BC9BF16"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Table</w:t>
            </w:r>
          </w:p>
        </w:tc>
        <w:tc>
          <w:tcPr>
            <w:tcW w:w="931" w:type="dxa"/>
            <w:tcBorders>
              <w:top w:val="single" w:sz="4" w:space="0" w:color="auto"/>
              <w:left w:val="nil"/>
              <w:bottom w:val="single" w:sz="4" w:space="0" w:color="auto"/>
              <w:right w:val="single" w:sz="4" w:space="0" w:color="auto"/>
            </w:tcBorders>
            <w:shd w:val="clear" w:color="auto" w:fill="EE0000"/>
            <w:noWrap/>
            <w:vAlign w:val="center"/>
            <w:hideMark/>
          </w:tcPr>
          <w:p w14:paraId="6D01EB4F" w14:textId="2347A70F"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Row</w:t>
            </w:r>
          </w:p>
        </w:tc>
        <w:tc>
          <w:tcPr>
            <w:tcW w:w="1054" w:type="dxa"/>
            <w:tcBorders>
              <w:top w:val="single" w:sz="4" w:space="0" w:color="auto"/>
              <w:left w:val="nil"/>
              <w:bottom w:val="single" w:sz="4" w:space="0" w:color="auto"/>
              <w:right w:val="single" w:sz="4" w:space="0" w:color="auto"/>
            </w:tcBorders>
            <w:shd w:val="clear" w:color="auto" w:fill="EE0000"/>
            <w:noWrap/>
            <w:vAlign w:val="center"/>
            <w:hideMark/>
          </w:tcPr>
          <w:p w14:paraId="7DAD2676" w14:textId="0B89DFDD"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Amount</w:t>
            </w:r>
          </w:p>
        </w:tc>
        <w:tc>
          <w:tcPr>
            <w:tcW w:w="5467" w:type="dxa"/>
            <w:tcBorders>
              <w:top w:val="single" w:sz="4" w:space="0" w:color="auto"/>
              <w:left w:val="nil"/>
              <w:bottom w:val="single" w:sz="4" w:space="0" w:color="auto"/>
              <w:right w:val="single" w:sz="4" w:space="0" w:color="auto"/>
            </w:tcBorders>
            <w:shd w:val="clear" w:color="auto" w:fill="EE0000"/>
            <w:vAlign w:val="center"/>
            <w:hideMark/>
          </w:tcPr>
          <w:p w14:paraId="76A98B4E" w14:textId="222078FB" w:rsidR="00DD25B6" w:rsidRPr="00D318A2" w:rsidRDefault="00DD25B6" w:rsidP="00833C3A">
            <w:pPr>
              <w:spacing w:after="0" w:line="240" w:lineRule="auto"/>
              <w:rPr>
                <w:rFonts w:ascii="Santander Text" w:eastAsia="Times New Roman" w:hAnsi="Santander Text" w:cs="Times New Roman"/>
                <w:b/>
                <w:bCs/>
                <w:color w:val="FFFFFF" w:themeColor="background1"/>
                <w:kern w:val="0"/>
                <w:sz w:val="16"/>
                <w:szCs w:val="16"/>
                <w:lang w:val="en-US" w:eastAsia="pt-PT"/>
                <w14:ligatures w14:val="none"/>
              </w:rPr>
            </w:pPr>
            <w:r>
              <w:rPr>
                <w:rFonts w:ascii="Santander Text" w:eastAsia="Times New Roman" w:hAnsi="Santander Text" w:cs="Times New Roman"/>
                <w:b/>
                <w:bCs/>
                <w:color w:val="FFFFFF" w:themeColor="background1"/>
                <w:kern w:val="0"/>
                <w:sz w:val="16"/>
                <w:szCs w:val="16"/>
                <w:lang w:val="en-US" w:eastAsia="pt-PT"/>
                <w14:ligatures w14:val="none"/>
              </w:rPr>
              <w:t>Underlying</w:t>
            </w:r>
          </w:p>
        </w:tc>
      </w:tr>
      <w:tr w:rsidR="00DD25B6" w:rsidRPr="000327F0" w14:paraId="5EE46EA8"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hideMark/>
          </w:tcPr>
          <w:p w14:paraId="6A383A98" w14:textId="3CB2A875"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hideMark/>
          </w:tcPr>
          <w:p w14:paraId="0A2CC678" w14:textId="5DFD83A4"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2</w:t>
            </w:r>
          </w:p>
        </w:tc>
        <w:tc>
          <w:tcPr>
            <w:tcW w:w="1054" w:type="dxa"/>
            <w:tcBorders>
              <w:top w:val="single" w:sz="4" w:space="0" w:color="auto"/>
              <w:left w:val="nil"/>
              <w:bottom w:val="single" w:sz="4" w:space="0" w:color="auto"/>
              <w:right w:val="single" w:sz="4" w:space="0" w:color="auto"/>
            </w:tcBorders>
            <w:noWrap/>
            <w:vAlign w:val="center"/>
            <w:hideMark/>
          </w:tcPr>
          <w:p w14:paraId="72C6969F" w14:textId="4D7D70EE"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7</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661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457,53</w:t>
            </w:r>
          </w:p>
        </w:tc>
        <w:tc>
          <w:tcPr>
            <w:tcW w:w="5467" w:type="dxa"/>
            <w:tcBorders>
              <w:top w:val="single" w:sz="4" w:space="0" w:color="auto"/>
              <w:left w:val="nil"/>
              <w:bottom w:val="single" w:sz="4" w:space="0" w:color="auto"/>
              <w:right w:val="single" w:sz="4" w:space="0" w:color="auto"/>
            </w:tcBorders>
            <w:vAlign w:val="center"/>
            <w:hideMark/>
          </w:tcPr>
          <w:p w14:paraId="478D5855" w14:textId="0ED01D36" w:rsidR="00DD25B6" w:rsidRPr="00D318A2"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Subordinated Debt (LT2) placed with BST’s customers of different nature</w:t>
            </w:r>
          </w:p>
        </w:tc>
      </w:tr>
      <w:tr w:rsidR="00DD25B6" w:rsidRPr="000327F0" w14:paraId="59A58B83" w14:textId="77777777" w:rsidTr="00363C51">
        <w:trPr>
          <w:trHeight w:val="624"/>
        </w:trPr>
        <w:tc>
          <w:tcPr>
            <w:tcW w:w="1474" w:type="dxa"/>
            <w:tcBorders>
              <w:top w:val="single" w:sz="4" w:space="0" w:color="auto"/>
              <w:left w:val="single" w:sz="4" w:space="0" w:color="auto"/>
              <w:bottom w:val="single" w:sz="4" w:space="0" w:color="auto"/>
              <w:right w:val="single" w:sz="4" w:space="0" w:color="auto"/>
            </w:tcBorders>
            <w:noWrap/>
            <w:vAlign w:val="center"/>
          </w:tcPr>
          <w:p w14:paraId="2779A6DB" w14:textId="70699416"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B9000</w:t>
            </w:r>
          </w:p>
        </w:tc>
        <w:tc>
          <w:tcPr>
            <w:tcW w:w="931" w:type="dxa"/>
            <w:tcBorders>
              <w:top w:val="single" w:sz="4" w:space="0" w:color="auto"/>
              <w:left w:val="nil"/>
              <w:bottom w:val="single" w:sz="4" w:space="0" w:color="auto"/>
              <w:right w:val="single" w:sz="4" w:space="0" w:color="auto"/>
            </w:tcBorders>
            <w:noWrap/>
            <w:vAlign w:val="center"/>
          </w:tcPr>
          <w:p w14:paraId="0102F581" w14:textId="1D63046F"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3</w:t>
            </w:r>
          </w:p>
        </w:tc>
        <w:tc>
          <w:tcPr>
            <w:tcW w:w="1054" w:type="dxa"/>
            <w:tcBorders>
              <w:top w:val="single" w:sz="4" w:space="0" w:color="auto"/>
              <w:left w:val="nil"/>
              <w:bottom w:val="single" w:sz="4" w:space="0" w:color="auto"/>
              <w:right w:val="single" w:sz="4" w:space="0" w:color="auto"/>
            </w:tcBorders>
            <w:noWrap/>
            <w:vAlign w:val="center"/>
          </w:tcPr>
          <w:p w14:paraId="69911673" w14:textId="5D53163D" w:rsidR="00DD25B6" w:rsidRP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sidRPr="00DD25B6">
              <w:rPr>
                <w:rFonts w:ascii="Santander Text" w:eastAsia="Times New Roman" w:hAnsi="Santander Text" w:cs="Times New Roman"/>
                <w:color w:val="000000"/>
                <w:kern w:val="0"/>
                <w:sz w:val="16"/>
                <w:szCs w:val="16"/>
                <w:lang w:val="en-US" w:eastAsia="pt-PT"/>
                <w14:ligatures w14:val="none"/>
              </w:rPr>
              <w:t>1</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762</w:t>
            </w:r>
            <w:r>
              <w:rPr>
                <w:rFonts w:ascii="Santander Text" w:eastAsia="Times New Roman" w:hAnsi="Santander Text" w:cs="Times New Roman"/>
                <w:color w:val="000000"/>
                <w:kern w:val="0"/>
                <w:sz w:val="16"/>
                <w:szCs w:val="16"/>
                <w:lang w:val="en-US" w:eastAsia="pt-PT"/>
                <w14:ligatures w14:val="none"/>
              </w:rPr>
              <w:t>.</w:t>
            </w:r>
            <w:r w:rsidRPr="00DD25B6">
              <w:rPr>
                <w:rFonts w:ascii="Santander Text" w:eastAsia="Times New Roman" w:hAnsi="Santander Text" w:cs="Times New Roman"/>
                <w:color w:val="000000"/>
                <w:kern w:val="0"/>
                <w:sz w:val="16"/>
                <w:szCs w:val="16"/>
                <w:lang w:val="en-US" w:eastAsia="pt-PT"/>
                <w14:ligatures w14:val="none"/>
              </w:rPr>
              <w:t>761</w:t>
            </w:r>
            <w:r>
              <w:rPr>
                <w:rFonts w:ascii="Santander Text" w:eastAsia="Times New Roman" w:hAnsi="Santander Text" w:cs="Times New Roman"/>
                <w:color w:val="000000"/>
                <w:kern w:val="0"/>
                <w:sz w:val="16"/>
                <w:szCs w:val="16"/>
                <w:lang w:val="en-US" w:eastAsia="pt-PT"/>
                <w14:ligatures w14:val="none"/>
              </w:rPr>
              <w:t>,00</w:t>
            </w:r>
          </w:p>
        </w:tc>
        <w:tc>
          <w:tcPr>
            <w:tcW w:w="5467" w:type="dxa"/>
            <w:tcBorders>
              <w:top w:val="single" w:sz="4" w:space="0" w:color="auto"/>
              <w:left w:val="nil"/>
              <w:bottom w:val="single" w:sz="4" w:space="0" w:color="auto"/>
              <w:right w:val="single" w:sz="4" w:space="0" w:color="auto"/>
            </w:tcBorders>
            <w:vAlign w:val="center"/>
          </w:tcPr>
          <w:p w14:paraId="7E1729A5" w14:textId="0CDC2D5E" w:rsidR="00DD25B6" w:rsidRDefault="00DD25B6" w:rsidP="00833C3A">
            <w:pPr>
              <w:spacing w:after="0" w:line="240" w:lineRule="auto"/>
              <w:rPr>
                <w:rFonts w:ascii="Santander Text" w:eastAsia="Times New Roman" w:hAnsi="Santander Text" w:cs="Times New Roman"/>
                <w:color w:val="000000"/>
                <w:kern w:val="0"/>
                <w:sz w:val="16"/>
                <w:szCs w:val="16"/>
                <w:lang w:val="en-US" w:eastAsia="pt-PT"/>
                <w14:ligatures w14:val="none"/>
              </w:rPr>
            </w:pPr>
            <w:r>
              <w:rPr>
                <w:rFonts w:ascii="Santander Text" w:eastAsia="Times New Roman" w:hAnsi="Santander Text" w:cs="Times New Roman"/>
                <w:color w:val="000000"/>
                <w:kern w:val="0"/>
                <w:sz w:val="16"/>
                <w:szCs w:val="16"/>
                <w:lang w:val="en-US" w:eastAsia="pt-PT"/>
                <w14:ligatures w14:val="none"/>
              </w:rPr>
              <w:t>M</w:t>
            </w:r>
            <w:r w:rsidR="00363C51">
              <w:rPr>
                <w:rFonts w:ascii="Santander Text" w:eastAsia="Times New Roman" w:hAnsi="Santander Text" w:cs="Times New Roman"/>
                <w:color w:val="000000"/>
                <w:kern w:val="0"/>
                <w:sz w:val="16"/>
                <w:szCs w:val="16"/>
                <w:lang w:val="en-US" w:eastAsia="pt-PT"/>
                <w14:ligatures w14:val="none"/>
              </w:rPr>
              <w:t>inority interests’ shares placed with BST’s customers of different nature</w:t>
            </w:r>
          </w:p>
        </w:tc>
      </w:tr>
    </w:tbl>
    <w:p w14:paraId="542FEC1B" w14:textId="130BB463" w:rsidR="00DD25B6" w:rsidRDefault="00DD25B6" w:rsidP="00D318A2">
      <w:pPr>
        <w:jc w:val="both"/>
        <w:rPr>
          <w:rFonts w:ascii="Santander Text" w:hAnsi="Santander Text"/>
          <w:b/>
          <w:bCs/>
          <w:lang w:val="en-US"/>
        </w:rPr>
      </w:pPr>
    </w:p>
    <w:p w14:paraId="25E8A59A" w14:textId="10224989" w:rsidR="00363C51" w:rsidRPr="00363C51" w:rsidRDefault="00363C51" w:rsidP="00363C51">
      <w:pPr>
        <w:jc w:val="both"/>
        <w:rPr>
          <w:rFonts w:ascii="Santander Text" w:hAnsi="Santander Text"/>
          <w:sz w:val="20"/>
          <w:szCs w:val="20"/>
          <w:lang w:val="en-US"/>
        </w:rPr>
      </w:pPr>
      <w:commentRangeStart w:id="1"/>
      <w:r>
        <w:rPr>
          <w:rFonts w:ascii="Santander Text" w:hAnsi="Santander Text"/>
          <w:sz w:val="20"/>
          <w:szCs w:val="20"/>
          <w:lang w:val="en-US"/>
        </w:rPr>
        <w:t>Because the counterparty type for the above-mentioned records is multiple, the Bank decided to classify it as “</w:t>
      </w:r>
      <w:r w:rsidRPr="00363C51">
        <w:rPr>
          <w:rFonts w:ascii="Santander Text" w:hAnsi="Santander Text"/>
          <w:sz w:val="20"/>
          <w:szCs w:val="20"/>
          <w:lang w:val="en-US"/>
        </w:rPr>
        <w:t>Non identified, not listed on an exchange platform</w:t>
      </w:r>
      <w:r>
        <w:rPr>
          <w:rFonts w:ascii="Santander Text" w:hAnsi="Santander Text"/>
          <w:sz w:val="20"/>
          <w:szCs w:val="20"/>
          <w:lang w:val="en-US"/>
        </w:rPr>
        <w:t>”. Is this incorrect? Should we have used “</w:t>
      </w:r>
      <w:r w:rsidRPr="00363C51">
        <w:rPr>
          <w:rFonts w:ascii="Santander Text" w:hAnsi="Santander Text"/>
          <w:sz w:val="20"/>
          <w:szCs w:val="20"/>
          <w:lang w:val="en-US"/>
        </w:rPr>
        <w:t>Non identified, listed on an exchange platform “</w:t>
      </w:r>
      <w:r>
        <w:rPr>
          <w:rFonts w:ascii="Santander Text" w:hAnsi="Santander Text"/>
          <w:sz w:val="20"/>
          <w:szCs w:val="20"/>
          <w:lang w:val="en-US"/>
        </w:rPr>
        <w:t>?</w:t>
      </w:r>
      <w:commentRangeEnd w:id="1"/>
      <w:r w:rsidR="00B07129">
        <w:rPr>
          <w:rStyle w:val="CommentReference"/>
        </w:rPr>
        <w:commentReference w:id="1"/>
      </w:r>
    </w:p>
    <w:p w14:paraId="76CF617F" w14:textId="476A9E28" w:rsidR="000D0CAD" w:rsidRDefault="000D0CAD">
      <w:pPr>
        <w:rPr>
          <w:rFonts w:ascii="Santander Text" w:hAnsi="Santander Text"/>
          <w:sz w:val="20"/>
          <w:szCs w:val="20"/>
          <w:lang w:val="en-US"/>
        </w:rPr>
      </w:pPr>
      <w:r>
        <w:rPr>
          <w:rFonts w:ascii="Santander Text" w:hAnsi="Santander Text"/>
          <w:sz w:val="20"/>
          <w:szCs w:val="20"/>
          <w:lang w:val="en-US"/>
        </w:rPr>
        <w:br w:type="page"/>
      </w:r>
    </w:p>
    <w:p w14:paraId="5EE856A2" w14:textId="4271C9D8" w:rsidR="00363C51" w:rsidRDefault="00363C51" w:rsidP="00363C51">
      <w:pPr>
        <w:pStyle w:val="ListParagraph"/>
        <w:numPr>
          <w:ilvl w:val="0"/>
          <w:numId w:val="6"/>
        </w:numPr>
        <w:ind w:left="426"/>
        <w:jc w:val="both"/>
        <w:rPr>
          <w:rFonts w:ascii="Santander Text" w:hAnsi="Santander Text"/>
          <w:b/>
          <w:bCs/>
          <w:lang w:val="en-US"/>
        </w:rPr>
      </w:pPr>
      <w:r w:rsidRPr="00363C51">
        <w:rPr>
          <w:rFonts w:ascii="Santander Text" w:hAnsi="Santander Text"/>
          <w:b/>
          <w:bCs/>
          <w:lang w:val="en-US"/>
        </w:rPr>
        <w:lastRenderedPageBreak/>
        <w:t>LDR Cross checks Banco Santander Totta</w:t>
      </w:r>
    </w:p>
    <w:p w14:paraId="2A4F6708" w14:textId="77777777" w:rsidR="00E544F1" w:rsidRPr="00D318A2" w:rsidRDefault="00E544F1" w:rsidP="00E544F1">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057F12F6" w14:textId="118E3DE5" w:rsidR="00363C51" w:rsidRDefault="00E544F1" w:rsidP="00363C51">
      <w:pPr>
        <w:jc w:val="both"/>
        <w:rPr>
          <w:rFonts w:ascii="Santander Text" w:hAnsi="Santander Text"/>
          <w:sz w:val="20"/>
          <w:szCs w:val="20"/>
          <w:lang w:val="en-US"/>
        </w:rPr>
      </w:pPr>
      <w:r>
        <w:rPr>
          <w:rFonts w:ascii="Santander Text" w:hAnsi="Santander Text"/>
          <w:sz w:val="20"/>
          <w:szCs w:val="20"/>
          <w:lang w:val="en-US"/>
        </w:rPr>
        <w:t xml:space="preserve">In 2024, Santander Totta had a different entity structure with a holding company, Santander Totta SGPS. </w:t>
      </w:r>
      <w:r w:rsidR="000D0CAD">
        <w:rPr>
          <w:rFonts w:ascii="Santander Text" w:hAnsi="Santander Text"/>
          <w:sz w:val="20"/>
          <w:szCs w:val="20"/>
          <w:lang w:val="en-US"/>
        </w:rPr>
        <w:t>With the merge of Santander Totta SGPS into Banco Santander Totta, the Bank has “inherited” AT1, LT2 and SNP preferred instruments that were issued by Santander Totta SGPS and the previous ones issued by Banco Santander Totta were early terminated.</w:t>
      </w:r>
    </w:p>
    <w:p w14:paraId="54CDD3D8" w14:textId="44774227" w:rsidR="000D0CAD" w:rsidRDefault="000D0CAD" w:rsidP="00363C51">
      <w:pPr>
        <w:jc w:val="both"/>
        <w:rPr>
          <w:rFonts w:ascii="Santander Text" w:hAnsi="Santander Text"/>
          <w:sz w:val="20"/>
          <w:szCs w:val="20"/>
          <w:lang w:val="en-US"/>
        </w:rPr>
      </w:pPr>
      <w:r w:rsidRPr="000D0CAD">
        <w:rPr>
          <w:rFonts w:ascii="Santander Text" w:hAnsi="Santander Text"/>
          <w:sz w:val="20"/>
          <w:szCs w:val="20"/>
          <w:lang w:val="en-US"/>
        </w:rPr>
        <w:t>The</w:t>
      </w:r>
      <w:r>
        <w:rPr>
          <w:rFonts w:ascii="Santander Text" w:hAnsi="Santander Text"/>
          <w:sz w:val="20"/>
          <w:szCs w:val="20"/>
          <w:lang w:val="en-US"/>
        </w:rPr>
        <w:t>refore, we believe that the comparison between LDR reporting and MBDT is not valid.</w:t>
      </w:r>
    </w:p>
    <w:p w14:paraId="442A68AE" w14:textId="2F986168" w:rsidR="000D0CAD" w:rsidRDefault="000D0CAD" w:rsidP="00363C51">
      <w:pPr>
        <w:jc w:val="both"/>
        <w:rPr>
          <w:rFonts w:ascii="Santander Text" w:hAnsi="Santander Text"/>
          <w:sz w:val="20"/>
          <w:szCs w:val="20"/>
          <w:lang w:val="en-US"/>
        </w:rPr>
      </w:pPr>
      <w:r>
        <w:rPr>
          <w:rFonts w:ascii="Santander Text" w:hAnsi="Santander Text"/>
          <w:sz w:val="20"/>
          <w:szCs w:val="20"/>
          <w:lang w:val="en-US"/>
        </w:rPr>
        <w:t>Nevertheless, the Bank will make additional checks on consistency between MBDT and LDR reporting.</w:t>
      </w:r>
    </w:p>
    <w:p w14:paraId="67CCFD1B" w14:textId="77777777" w:rsidR="000D0CAD" w:rsidRDefault="000D0CAD" w:rsidP="00363C51">
      <w:pPr>
        <w:jc w:val="both"/>
        <w:rPr>
          <w:rFonts w:ascii="Santander Text" w:hAnsi="Santander Text"/>
          <w:sz w:val="20"/>
          <w:szCs w:val="20"/>
          <w:lang w:val="en-US"/>
        </w:rPr>
      </w:pPr>
    </w:p>
    <w:p w14:paraId="27C89A80" w14:textId="67FB2AAE" w:rsidR="000327F0" w:rsidRPr="000327F0" w:rsidRDefault="000327F0" w:rsidP="000327F0">
      <w:pPr>
        <w:pStyle w:val="ListParagraph"/>
        <w:numPr>
          <w:ilvl w:val="0"/>
          <w:numId w:val="6"/>
        </w:numPr>
        <w:ind w:left="426"/>
        <w:jc w:val="both"/>
        <w:rPr>
          <w:rFonts w:ascii="Santander Text" w:hAnsi="Santander Text"/>
          <w:b/>
          <w:bCs/>
          <w:lang w:val="en-US"/>
        </w:rPr>
      </w:pPr>
      <w:r w:rsidRPr="000327F0">
        <w:rPr>
          <w:rFonts w:ascii="Santander Text" w:hAnsi="Santander Text"/>
          <w:b/>
          <w:bCs/>
          <w:lang w:val="en-US"/>
        </w:rPr>
        <w:t>Annex 1 - Overview of data delivered – Banco Santander Totta</w:t>
      </w:r>
    </w:p>
    <w:p w14:paraId="6A0A8FCC" w14:textId="2CD10D51" w:rsidR="000327F0" w:rsidRPr="00143F85" w:rsidRDefault="000327F0" w:rsidP="00143F85">
      <w:pPr>
        <w:jc w:val="both"/>
        <w:rPr>
          <w:rFonts w:ascii="Santander Text" w:hAnsi="Santander Text"/>
          <w:b/>
          <w:bCs/>
          <w:lang w:val="en-US"/>
        </w:rPr>
      </w:pPr>
      <w:r w:rsidRPr="00143F85">
        <w:rPr>
          <w:rFonts w:ascii="Santander Text" w:hAnsi="Santander Text"/>
          <w:b/>
          <w:bCs/>
          <w:lang w:val="en-US"/>
        </w:rPr>
        <w:t>Overview of Instruments and Liabilities</w:t>
      </w:r>
    </w:p>
    <w:p w14:paraId="7E929B48" w14:textId="48ACB92E" w:rsidR="00143F85" w:rsidRPr="00143F85" w:rsidRDefault="00143F85" w:rsidP="000327F0">
      <w:pPr>
        <w:jc w:val="both"/>
        <w:rPr>
          <w:rFonts w:ascii="Santander Text" w:hAnsi="Santander Text"/>
          <w:sz w:val="20"/>
          <w:szCs w:val="20"/>
          <w:lang w:val="en-GB"/>
        </w:rPr>
      </w:pPr>
      <w:r w:rsidRPr="00143F85">
        <w:rPr>
          <w:rFonts w:ascii="Santander Text" w:hAnsi="Santander Text"/>
          <w:sz w:val="20"/>
          <w:szCs w:val="20"/>
          <w:lang w:val="en-US"/>
        </w:rPr>
        <w:t>This table provides an overview of the different types of instruments / liabilities reported in tab B02.00, as reported by the bank in field c0140.</w:t>
      </w:r>
    </w:p>
    <w:tbl>
      <w:tblPr>
        <w:tblW w:w="7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1"/>
        <w:gridCol w:w="1418"/>
        <w:gridCol w:w="2126"/>
        <w:gridCol w:w="837"/>
        <w:gridCol w:w="1856"/>
      </w:tblGrid>
      <w:tr w:rsidR="00143F85" w:rsidRPr="00143F85" w14:paraId="2C5023C2" w14:textId="77777777" w:rsidTr="00143F85">
        <w:trPr>
          <w:trHeight w:val="570"/>
        </w:trPr>
        <w:tc>
          <w:tcPr>
            <w:tcW w:w="1271" w:type="dxa"/>
            <w:shd w:val="clear" w:color="auto" w:fill="EE0000"/>
            <w:vAlign w:val="center"/>
            <w:hideMark/>
          </w:tcPr>
          <w:p w14:paraId="02619A81"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Bail-in Rank</w:t>
            </w:r>
          </w:p>
        </w:tc>
        <w:tc>
          <w:tcPr>
            <w:tcW w:w="1418" w:type="dxa"/>
            <w:shd w:val="clear" w:color="auto" w:fill="EE0000"/>
            <w:vAlign w:val="center"/>
            <w:hideMark/>
          </w:tcPr>
          <w:p w14:paraId="7571043A"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Number Securities</w:t>
            </w:r>
          </w:p>
        </w:tc>
        <w:tc>
          <w:tcPr>
            <w:tcW w:w="2126" w:type="dxa"/>
            <w:shd w:val="clear" w:color="auto" w:fill="EE0000"/>
            <w:vAlign w:val="center"/>
            <w:hideMark/>
          </w:tcPr>
          <w:p w14:paraId="0BBC1C36"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Relevant Amount Securities</w:t>
            </w:r>
          </w:p>
        </w:tc>
        <w:tc>
          <w:tcPr>
            <w:tcW w:w="837" w:type="dxa"/>
            <w:shd w:val="clear" w:color="auto" w:fill="EE0000"/>
            <w:vAlign w:val="center"/>
            <w:hideMark/>
          </w:tcPr>
          <w:p w14:paraId="4A9306D4"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Number Total</w:t>
            </w:r>
          </w:p>
        </w:tc>
        <w:tc>
          <w:tcPr>
            <w:tcW w:w="1856" w:type="dxa"/>
            <w:shd w:val="clear" w:color="auto" w:fill="EE0000"/>
            <w:vAlign w:val="center"/>
            <w:hideMark/>
          </w:tcPr>
          <w:p w14:paraId="0579CA3C" w14:textId="77777777" w:rsidR="00143F85" w:rsidRPr="00143F85" w:rsidRDefault="00143F85" w:rsidP="00143F85">
            <w:pPr>
              <w:spacing w:after="0" w:line="240" w:lineRule="auto"/>
              <w:rPr>
                <w:rFonts w:ascii="Arial" w:eastAsia="Times New Roman" w:hAnsi="Arial" w:cs="Arial"/>
                <w:b/>
                <w:bCs/>
                <w:color w:val="FFFFFF"/>
                <w:kern w:val="0"/>
                <w:sz w:val="14"/>
                <w:szCs w:val="14"/>
                <w:lang w:val="en-US" w:eastAsia="pt-PT"/>
                <w14:ligatures w14:val="none"/>
              </w:rPr>
            </w:pPr>
            <w:r w:rsidRPr="00143F85">
              <w:rPr>
                <w:rFonts w:ascii="Arial" w:eastAsia="Times New Roman" w:hAnsi="Arial" w:cs="Arial"/>
                <w:b/>
                <w:bCs/>
                <w:color w:val="FFFFFF"/>
                <w:kern w:val="0"/>
                <w:sz w:val="14"/>
                <w:lang w:val="en-US" w:eastAsia="pt-PT"/>
                <w14:ligatures w14:val="none"/>
              </w:rPr>
              <w:t>Relevant Amount Total</w:t>
            </w:r>
          </w:p>
        </w:tc>
      </w:tr>
      <w:tr w:rsidR="00143F85" w:rsidRPr="00143F85" w14:paraId="2080EC10" w14:textId="77777777" w:rsidTr="00143F85">
        <w:trPr>
          <w:trHeight w:val="345"/>
        </w:trPr>
        <w:tc>
          <w:tcPr>
            <w:tcW w:w="1271" w:type="dxa"/>
            <w:shd w:val="clear" w:color="auto" w:fill="FFFFFF" w:themeFill="background1"/>
            <w:vAlign w:val="center"/>
            <w:hideMark/>
          </w:tcPr>
          <w:p w14:paraId="197899A7"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1418" w:type="dxa"/>
            <w:shd w:val="clear" w:color="auto" w:fill="FFFFFF" w:themeFill="background1"/>
            <w:vAlign w:val="center"/>
            <w:hideMark/>
          </w:tcPr>
          <w:p w14:paraId="42AB5CC8"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2126" w:type="dxa"/>
            <w:shd w:val="clear" w:color="auto" w:fill="FFFFFF" w:themeFill="background1"/>
            <w:vAlign w:val="center"/>
            <w:hideMark/>
          </w:tcPr>
          <w:p w14:paraId="43133893" w14:textId="765B20AF"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566</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022</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662</w:t>
            </w:r>
          </w:p>
        </w:tc>
        <w:tc>
          <w:tcPr>
            <w:tcW w:w="837" w:type="dxa"/>
            <w:shd w:val="clear" w:color="auto" w:fill="FFFFFF" w:themeFill="background1"/>
            <w:vAlign w:val="center"/>
            <w:hideMark/>
          </w:tcPr>
          <w:p w14:paraId="536E4A06"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p>
        </w:tc>
        <w:tc>
          <w:tcPr>
            <w:tcW w:w="1856" w:type="dxa"/>
            <w:shd w:val="clear" w:color="auto" w:fill="FFFFFF" w:themeFill="background1"/>
            <w:vAlign w:val="center"/>
            <w:hideMark/>
          </w:tcPr>
          <w:p w14:paraId="491AB43A" w14:textId="617FEAFE"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566</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022</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662</w:t>
            </w:r>
          </w:p>
        </w:tc>
      </w:tr>
      <w:tr w:rsidR="00143F85" w:rsidRPr="00143F85" w14:paraId="7D0CFAE8" w14:textId="77777777" w:rsidTr="00143F85">
        <w:trPr>
          <w:trHeight w:val="330"/>
        </w:trPr>
        <w:tc>
          <w:tcPr>
            <w:tcW w:w="1271" w:type="dxa"/>
            <w:shd w:val="clear" w:color="auto" w:fill="FFFFFF" w:themeFill="background1"/>
            <w:vAlign w:val="center"/>
            <w:hideMark/>
          </w:tcPr>
          <w:p w14:paraId="0CECF73C"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418" w:type="dxa"/>
            <w:shd w:val="clear" w:color="auto" w:fill="FFFFFF" w:themeFill="background1"/>
            <w:vAlign w:val="center"/>
            <w:hideMark/>
          </w:tcPr>
          <w:p w14:paraId="79D56EF8"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2126" w:type="dxa"/>
            <w:shd w:val="clear" w:color="auto" w:fill="FFFFFF" w:themeFill="background1"/>
            <w:vAlign w:val="center"/>
            <w:hideMark/>
          </w:tcPr>
          <w:p w14:paraId="0C0F0673" w14:textId="3EBA9C95"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200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p>
        </w:tc>
        <w:tc>
          <w:tcPr>
            <w:tcW w:w="837" w:type="dxa"/>
            <w:shd w:val="clear" w:color="auto" w:fill="FFFFFF" w:themeFill="background1"/>
            <w:vAlign w:val="center"/>
            <w:hideMark/>
          </w:tcPr>
          <w:p w14:paraId="3777220D"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1856" w:type="dxa"/>
            <w:shd w:val="clear" w:color="auto" w:fill="FFFFFF" w:themeFill="background1"/>
            <w:vAlign w:val="center"/>
            <w:hideMark/>
          </w:tcPr>
          <w:p w14:paraId="70621001" w14:textId="0DF859E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200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000</w:t>
            </w:r>
          </w:p>
        </w:tc>
      </w:tr>
      <w:tr w:rsidR="00143F85" w:rsidRPr="00143F85" w14:paraId="44C8DFD8" w14:textId="77777777" w:rsidTr="00143F85">
        <w:trPr>
          <w:trHeight w:val="330"/>
        </w:trPr>
        <w:tc>
          <w:tcPr>
            <w:tcW w:w="1271" w:type="dxa"/>
            <w:shd w:val="clear" w:color="auto" w:fill="FFFFFF" w:themeFill="background1"/>
            <w:vAlign w:val="center"/>
            <w:hideMark/>
          </w:tcPr>
          <w:p w14:paraId="7602A2EB"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3</w:t>
            </w:r>
          </w:p>
        </w:tc>
        <w:tc>
          <w:tcPr>
            <w:tcW w:w="1418" w:type="dxa"/>
            <w:shd w:val="clear" w:color="auto" w:fill="FFFFFF" w:themeFill="background1"/>
            <w:vAlign w:val="center"/>
            <w:hideMark/>
          </w:tcPr>
          <w:p w14:paraId="5E310F53"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2126" w:type="dxa"/>
            <w:shd w:val="clear" w:color="auto" w:fill="FFFFFF" w:themeFill="background1"/>
            <w:vAlign w:val="center"/>
            <w:hideMark/>
          </w:tcPr>
          <w:p w14:paraId="1B25CA08" w14:textId="4AB307F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211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768</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449</w:t>
            </w:r>
          </w:p>
        </w:tc>
        <w:tc>
          <w:tcPr>
            <w:tcW w:w="837" w:type="dxa"/>
            <w:shd w:val="clear" w:color="auto" w:fill="FFFFFF" w:themeFill="background1"/>
            <w:vAlign w:val="center"/>
            <w:hideMark/>
          </w:tcPr>
          <w:p w14:paraId="13C45772"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856" w:type="dxa"/>
            <w:shd w:val="clear" w:color="auto" w:fill="FFFFFF" w:themeFill="background1"/>
            <w:vAlign w:val="center"/>
            <w:hideMark/>
          </w:tcPr>
          <w:p w14:paraId="6E5B6F47" w14:textId="00C13833"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211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768</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449</w:t>
            </w:r>
          </w:p>
        </w:tc>
      </w:tr>
      <w:tr w:rsidR="00143F85" w:rsidRPr="00143F85" w14:paraId="335DED4F" w14:textId="77777777" w:rsidTr="00143F85">
        <w:trPr>
          <w:trHeight w:val="330"/>
        </w:trPr>
        <w:tc>
          <w:tcPr>
            <w:tcW w:w="1271" w:type="dxa"/>
            <w:shd w:val="clear" w:color="auto" w:fill="FFFFFF" w:themeFill="background1"/>
            <w:vAlign w:val="center"/>
            <w:hideMark/>
          </w:tcPr>
          <w:p w14:paraId="69402E6B"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8</w:t>
            </w:r>
          </w:p>
        </w:tc>
        <w:tc>
          <w:tcPr>
            <w:tcW w:w="1418" w:type="dxa"/>
            <w:shd w:val="clear" w:color="auto" w:fill="FFFFFF" w:themeFill="background1"/>
            <w:vAlign w:val="center"/>
            <w:hideMark/>
          </w:tcPr>
          <w:p w14:paraId="5E41AD9D" w14:textId="77777777" w:rsidR="00143F85" w:rsidRPr="00143F85" w:rsidRDefault="00143F85" w:rsidP="00143F85">
            <w:pPr>
              <w:spacing w:after="0" w:line="240" w:lineRule="auto"/>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2126" w:type="dxa"/>
            <w:shd w:val="clear" w:color="auto" w:fill="FFFFFF" w:themeFill="background1"/>
            <w:vAlign w:val="center"/>
            <w:hideMark/>
          </w:tcPr>
          <w:p w14:paraId="18AE4BB6" w14:textId="20DA5861"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114</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359</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562</w:t>
            </w:r>
          </w:p>
        </w:tc>
        <w:tc>
          <w:tcPr>
            <w:tcW w:w="837" w:type="dxa"/>
            <w:shd w:val="clear" w:color="auto" w:fill="FFFFFF" w:themeFill="background1"/>
            <w:vAlign w:val="center"/>
            <w:hideMark/>
          </w:tcPr>
          <w:p w14:paraId="719B3944" w14:textId="77777777"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2</w:t>
            </w:r>
          </w:p>
        </w:tc>
        <w:tc>
          <w:tcPr>
            <w:tcW w:w="1856" w:type="dxa"/>
            <w:shd w:val="clear" w:color="auto" w:fill="FFFFFF" w:themeFill="background1"/>
            <w:vAlign w:val="center"/>
            <w:hideMark/>
          </w:tcPr>
          <w:p w14:paraId="6AF0CFB9" w14:textId="4AD309B9" w:rsidR="00143F85" w:rsidRPr="00143F85" w:rsidRDefault="00143F85" w:rsidP="00143F85">
            <w:pPr>
              <w:spacing w:after="0" w:line="240" w:lineRule="auto"/>
              <w:jc w:val="right"/>
              <w:rPr>
                <w:rFonts w:ascii="Santander Text" w:eastAsia="Times New Roman" w:hAnsi="Santander Text" w:cs="Arial"/>
                <w:color w:val="000000"/>
                <w:kern w:val="0"/>
                <w:sz w:val="16"/>
                <w:szCs w:val="16"/>
                <w:lang w:val="en-US" w:eastAsia="pt-PT"/>
                <w14:ligatures w14:val="none"/>
              </w:rPr>
            </w:pPr>
            <w:r w:rsidRPr="00143F85">
              <w:rPr>
                <w:rFonts w:ascii="Santander Text" w:eastAsia="Times New Roman" w:hAnsi="Santander Text" w:cs="Arial"/>
                <w:color w:val="000000"/>
                <w:kern w:val="0"/>
                <w:sz w:val="16"/>
                <w:szCs w:val="16"/>
                <w:lang w:val="en-US" w:eastAsia="pt-PT"/>
                <w14:ligatures w14:val="none"/>
              </w:rPr>
              <w:t>1</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114</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359</w:t>
            </w:r>
            <w:r>
              <w:rPr>
                <w:rFonts w:ascii="Santander Text" w:eastAsia="Times New Roman" w:hAnsi="Santander Text" w:cs="Arial"/>
                <w:color w:val="000000"/>
                <w:kern w:val="0"/>
                <w:sz w:val="16"/>
                <w:szCs w:val="16"/>
                <w:lang w:val="en-US" w:eastAsia="pt-PT"/>
                <w14:ligatures w14:val="none"/>
              </w:rPr>
              <w:t>.</w:t>
            </w:r>
            <w:r w:rsidRPr="00143F85">
              <w:rPr>
                <w:rFonts w:ascii="Santander Text" w:eastAsia="Times New Roman" w:hAnsi="Santander Text" w:cs="Arial"/>
                <w:color w:val="000000"/>
                <w:kern w:val="0"/>
                <w:sz w:val="16"/>
                <w:szCs w:val="16"/>
                <w:lang w:val="en-US" w:eastAsia="pt-PT"/>
                <w14:ligatures w14:val="none"/>
              </w:rPr>
              <w:t>562</w:t>
            </w:r>
          </w:p>
        </w:tc>
      </w:tr>
      <w:tr w:rsidR="00143F85" w:rsidRPr="00143F85" w14:paraId="0C00B343" w14:textId="77777777" w:rsidTr="00143F85">
        <w:trPr>
          <w:trHeight w:val="375"/>
        </w:trPr>
        <w:tc>
          <w:tcPr>
            <w:tcW w:w="1271" w:type="dxa"/>
            <w:shd w:val="clear" w:color="auto" w:fill="FFFFFF" w:themeFill="background1"/>
            <w:vAlign w:val="center"/>
            <w:hideMark/>
          </w:tcPr>
          <w:p w14:paraId="3565C857" w14:textId="77777777" w:rsidR="00143F85" w:rsidRPr="00143F85" w:rsidRDefault="00143F85" w:rsidP="00143F85">
            <w:pPr>
              <w:spacing w:after="0" w:line="240" w:lineRule="auto"/>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Total</w:t>
            </w:r>
          </w:p>
        </w:tc>
        <w:tc>
          <w:tcPr>
            <w:tcW w:w="1418" w:type="dxa"/>
            <w:shd w:val="clear" w:color="auto" w:fill="FFFFFF" w:themeFill="background1"/>
            <w:vAlign w:val="center"/>
            <w:hideMark/>
          </w:tcPr>
          <w:p w14:paraId="1CC386E0" w14:textId="77777777" w:rsidR="00143F85" w:rsidRPr="00143F85" w:rsidRDefault="00143F85" w:rsidP="00143F85">
            <w:pPr>
              <w:spacing w:after="0" w:line="240" w:lineRule="auto"/>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8</w:t>
            </w:r>
          </w:p>
        </w:tc>
        <w:tc>
          <w:tcPr>
            <w:tcW w:w="2126" w:type="dxa"/>
            <w:shd w:val="clear" w:color="auto" w:fill="FFFFFF" w:themeFill="background1"/>
            <w:vAlign w:val="center"/>
            <w:hideMark/>
          </w:tcPr>
          <w:p w14:paraId="141A0DFA" w14:textId="035011D9"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4</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092</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150</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673</w:t>
            </w:r>
          </w:p>
        </w:tc>
        <w:tc>
          <w:tcPr>
            <w:tcW w:w="837" w:type="dxa"/>
            <w:shd w:val="clear" w:color="auto" w:fill="FFFFFF" w:themeFill="background1"/>
            <w:vAlign w:val="center"/>
            <w:hideMark/>
          </w:tcPr>
          <w:p w14:paraId="4696F80D" w14:textId="77777777"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8</w:t>
            </w:r>
          </w:p>
        </w:tc>
        <w:tc>
          <w:tcPr>
            <w:tcW w:w="1856" w:type="dxa"/>
            <w:shd w:val="clear" w:color="auto" w:fill="FFFFFF" w:themeFill="background1"/>
            <w:vAlign w:val="center"/>
            <w:hideMark/>
          </w:tcPr>
          <w:p w14:paraId="28B6E876" w14:textId="3D10E2AE" w:rsidR="00143F85" w:rsidRPr="00143F85" w:rsidRDefault="00143F85" w:rsidP="00143F85">
            <w:pPr>
              <w:spacing w:after="0" w:line="240" w:lineRule="auto"/>
              <w:jc w:val="right"/>
              <w:rPr>
                <w:rFonts w:ascii="Santander Text" w:eastAsia="Times New Roman" w:hAnsi="Santander Text" w:cs="Arial"/>
                <w:b/>
                <w:bCs/>
                <w:color w:val="000000"/>
                <w:kern w:val="0"/>
                <w:sz w:val="16"/>
                <w:szCs w:val="16"/>
                <w:lang w:val="en-US" w:eastAsia="pt-PT"/>
                <w14:ligatures w14:val="none"/>
              </w:rPr>
            </w:pPr>
            <w:r w:rsidRPr="00143F85">
              <w:rPr>
                <w:rFonts w:ascii="Santander Text" w:eastAsia="Times New Roman" w:hAnsi="Santander Text" w:cs="Arial"/>
                <w:b/>
                <w:bCs/>
                <w:color w:val="000000"/>
                <w:kern w:val="0"/>
                <w:sz w:val="16"/>
                <w:szCs w:val="16"/>
                <w:lang w:val="en-US" w:eastAsia="pt-PT"/>
                <w14:ligatures w14:val="none"/>
              </w:rPr>
              <w:t>4</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092</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150</w:t>
            </w:r>
            <w:r>
              <w:rPr>
                <w:rFonts w:ascii="Santander Text" w:eastAsia="Times New Roman" w:hAnsi="Santander Text" w:cs="Arial"/>
                <w:b/>
                <w:bCs/>
                <w:color w:val="000000"/>
                <w:kern w:val="0"/>
                <w:sz w:val="16"/>
                <w:szCs w:val="16"/>
                <w:lang w:val="en-US" w:eastAsia="pt-PT"/>
                <w14:ligatures w14:val="none"/>
              </w:rPr>
              <w:t>.</w:t>
            </w:r>
            <w:r w:rsidRPr="00143F85">
              <w:rPr>
                <w:rFonts w:ascii="Santander Text" w:eastAsia="Times New Roman" w:hAnsi="Santander Text" w:cs="Arial"/>
                <w:b/>
                <w:bCs/>
                <w:color w:val="000000"/>
                <w:kern w:val="0"/>
                <w:sz w:val="16"/>
                <w:szCs w:val="16"/>
                <w:lang w:val="en-US" w:eastAsia="pt-PT"/>
                <w14:ligatures w14:val="none"/>
              </w:rPr>
              <w:t>673</w:t>
            </w:r>
          </w:p>
        </w:tc>
      </w:tr>
    </w:tbl>
    <w:p w14:paraId="7A0A05A9" w14:textId="77777777" w:rsidR="00143F85" w:rsidRDefault="00143F85" w:rsidP="000327F0">
      <w:pPr>
        <w:jc w:val="both"/>
        <w:rPr>
          <w:rFonts w:ascii="Santander Text" w:hAnsi="Santander Text"/>
          <w:sz w:val="20"/>
          <w:szCs w:val="20"/>
          <w:lang w:val="en-US"/>
        </w:rPr>
      </w:pPr>
    </w:p>
    <w:p w14:paraId="006DC6BE" w14:textId="77777777" w:rsidR="00143F85" w:rsidRDefault="00143F85" w:rsidP="00143F85">
      <w:pPr>
        <w:pStyle w:val="NoSpacing"/>
        <w:rPr>
          <w:rFonts w:ascii="Santander Text" w:eastAsiaTheme="minorHAnsi" w:hAnsi="Santander Text" w:cstheme="minorBidi"/>
          <w:color w:val="auto"/>
          <w:szCs w:val="20"/>
          <w:lang w:val="en-US" w:eastAsia="en-US"/>
        </w:rPr>
      </w:pPr>
      <w:commentRangeStart w:id="2"/>
      <w:r w:rsidRPr="00143F85">
        <w:rPr>
          <w:rFonts w:ascii="Santander Text" w:eastAsiaTheme="minorHAnsi" w:hAnsi="Santander Text" w:cstheme="minorBidi"/>
          <w:color w:val="auto"/>
          <w:szCs w:val="20"/>
          <w:lang w:val="en-US" w:eastAsia="en-US"/>
        </w:rPr>
        <w:t xml:space="preserve">We identified liabilities with title of ownership with bail-in rank 2, which </w:t>
      </w:r>
      <w:proofErr w:type="gramStart"/>
      <w:r w:rsidRPr="00143F85">
        <w:rPr>
          <w:rFonts w:ascii="Santander Text" w:eastAsiaTheme="minorHAnsi" w:hAnsi="Santander Text" w:cstheme="minorBidi"/>
          <w:color w:val="auto"/>
          <w:szCs w:val="20"/>
          <w:lang w:val="en-US" w:eastAsia="en-US"/>
        </w:rPr>
        <w:t>in reality are</w:t>
      </w:r>
      <w:proofErr w:type="gramEnd"/>
      <w:r w:rsidRPr="00143F85">
        <w:rPr>
          <w:rFonts w:ascii="Santander Text" w:eastAsiaTheme="minorHAnsi" w:hAnsi="Santander Text" w:cstheme="minorBidi"/>
          <w:color w:val="auto"/>
          <w:szCs w:val="20"/>
          <w:lang w:val="en-US" w:eastAsia="en-US"/>
        </w:rPr>
        <w:t xml:space="preserve"> AT1 instruments. The bank should amend the field c0140. </w:t>
      </w:r>
      <w:commentRangeEnd w:id="2"/>
      <w:r w:rsidR="00576535">
        <w:rPr>
          <w:rStyle w:val="CommentReference"/>
          <w:rFonts w:asciiTheme="minorHAnsi" w:eastAsiaTheme="minorHAnsi" w:hAnsiTheme="minorHAnsi" w:cstheme="minorBidi"/>
          <w:color w:val="auto"/>
          <w:lang w:eastAsia="en-US"/>
        </w:rPr>
        <w:commentReference w:id="2"/>
      </w:r>
    </w:p>
    <w:p w14:paraId="5568829F" w14:textId="77777777" w:rsidR="00143F85" w:rsidRDefault="00143F85" w:rsidP="00143F85">
      <w:pPr>
        <w:pStyle w:val="NoSpacing"/>
        <w:rPr>
          <w:rFonts w:ascii="Santander Text" w:eastAsiaTheme="minorHAnsi" w:hAnsi="Santander Text" w:cstheme="minorBidi"/>
          <w:color w:val="auto"/>
          <w:szCs w:val="20"/>
          <w:lang w:val="en-US" w:eastAsia="en-US"/>
        </w:rPr>
      </w:pPr>
    </w:p>
    <w:p w14:paraId="6F2182F7" w14:textId="77777777" w:rsidR="00143F85" w:rsidRPr="00143F85" w:rsidRDefault="00143F85" w:rsidP="00143F85">
      <w:pPr>
        <w:pStyle w:val="NoSpacing"/>
        <w:rPr>
          <w:rFonts w:ascii="Santander Text" w:eastAsiaTheme="minorHAnsi" w:hAnsi="Santander Text" w:cstheme="minorBidi"/>
          <w:color w:val="auto"/>
          <w:szCs w:val="20"/>
          <w:lang w:val="en-US" w:eastAsia="en-US"/>
        </w:rPr>
      </w:pPr>
      <w:r w:rsidRPr="00143F85">
        <w:rPr>
          <w:rFonts w:ascii="Santander Text" w:eastAsiaTheme="minorHAnsi" w:hAnsi="Santander Text" w:cstheme="minorBidi"/>
          <w:color w:val="auto"/>
          <w:szCs w:val="20"/>
          <w:lang w:val="en-US" w:eastAsia="en-US"/>
        </w:rPr>
        <w:t xml:space="preserve">Why are </w:t>
      </w:r>
      <w:proofErr w:type="spellStart"/>
      <w:r w:rsidRPr="00143F85">
        <w:rPr>
          <w:rFonts w:ascii="Santander Text" w:eastAsiaTheme="minorHAnsi" w:hAnsi="Santander Text" w:cstheme="minorBidi"/>
          <w:color w:val="auto"/>
          <w:szCs w:val="20"/>
          <w:lang w:val="en-US" w:eastAsia="en-US"/>
        </w:rPr>
        <w:t>iMREL</w:t>
      </w:r>
      <w:proofErr w:type="spellEnd"/>
      <w:r w:rsidRPr="00143F85">
        <w:rPr>
          <w:rFonts w:ascii="Santander Text" w:eastAsiaTheme="minorHAnsi" w:hAnsi="Santander Text" w:cstheme="minorBidi"/>
          <w:color w:val="auto"/>
          <w:szCs w:val="20"/>
          <w:lang w:val="en-US" w:eastAsia="en-US"/>
        </w:rPr>
        <w:t xml:space="preserve"> bonds are not classified as rank 4 (i.e., shareholders loans)? </w:t>
      </w:r>
    </w:p>
    <w:p w14:paraId="20015B8A" w14:textId="77777777" w:rsidR="00143F85" w:rsidRPr="00143F85" w:rsidRDefault="00143F85" w:rsidP="00143F85">
      <w:pPr>
        <w:pStyle w:val="NoSpacing"/>
        <w:rPr>
          <w:rFonts w:ascii="Santander Text" w:eastAsiaTheme="minorHAnsi" w:hAnsi="Santander Text" w:cstheme="minorBidi"/>
          <w:color w:val="auto"/>
          <w:szCs w:val="20"/>
          <w:lang w:val="en-GB" w:eastAsia="en-US"/>
        </w:rPr>
      </w:pPr>
    </w:p>
    <w:p w14:paraId="20EC567C" w14:textId="77777777" w:rsidR="00143F85" w:rsidRPr="00D318A2" w:rsidRDefault="00143F85" w:rsidP="00143F85">
      <w:pPr>
        <w:jc w:val="both"/>
        <w:rPr>
          <w:rFonts w:ascii="Santander Text" w:hAnsi="Santander Text"/>
          <w:b/>
          <w:bCs/>
          <w:color w:val="EE0000"/>
          <w:sz w:val="20"/>
          <w:szCs w:val="20"/>
          <w:lang w:val="en-US"/>
        </w:rPr>
      </w:pPr>
      <w:r w:rsidRPr="00D318A2">
        <w:rPr>
          <w:rFonts w:ascii="Santander Text" w:hAnsi="Santander Text"/>
          <w:b/>
          <w:bCs/>
          <w:color w:val="EE0000"/>
          <w:sz w:val="20"/>
          <w:szCs w:val="20"/>
          <w:lang w:val="en-US"/>
        </w:rPr>
        <w:t>BST’s comment:</w:t>
      </w:r>
    </w:p>
    <w:p w14:paraId="672EEBB1" w14:textId="76E9372B" w:rsidR="00143F85" w:rsidRDefault="00143F85" w:rsidP="000327F0">
      <w:pPr>
        <w:jc w:val="both"/>
        <w:rPr>
          <w:rFonts w:ascii="Santander Text" w:hAnsi="Santander Text"/>
          <w:sz w:val="20"/>
          <w:szCs w:val="20"/>
          <w:lang w:val="en-US"/>
        </w:rPr>
      </w:pPr>
      <w:commentRangeStart w:id="3"/>
      <w:r>
        <w:rPr>
          <w:rFonts w:ascii="Santander Text" w:hAnsi="Santander Text"/>
          <w:sz w:val="20"/>
          <w:szCs w:val="20"/>
          <w:lang w:val="en-US"/>
        </w:rPr>
        <w:t xml:space="preserve">These </w:t>
      </w:r>
      <w:proofErr w:type="spellStart"/>
      <w:r>
        <w:rPr>
          <w:rFonts w:ascii="Santander Text" w:hAnsi="Santander Text"/>
          <w:sz w:val="20"/>
          <w:szCs w:val="20"/>
          <w:lang w:val="en-US"/>
        </w:rPr>
        <w:t>iMREL</w:t>
      </w:r>
      <w:proofErr w:type="spellEnd"/>
      <w:r>
        <w:rPr>
          <w:rFonts w:ascii="Santander Text" w:hAnsi="Santander Text"/>
          <w:sz w:val="20"/>
          <w:szCs w:val="20"/>
          <w:lang w:val="en-US"/>
        </w:rPr>
        <w:t xml:space="preserve"> instruments are Senior Non- Preferred Bonds. In this sense, the Bank has considered them as insolvency rank 8 - </w:t>
      </w:r>
      <w:r w:rsidRPr="00143F85">
        <w:rPr>
          <w:rFonts w:ascii="Santander Text" w:hAnsi="Santander Text"/>
          <w:sz w:val="20"/>
          <w:szCs w:val="20"/>
          <w:lang w:val="en-US"/>
        </w:rPr>
        <w:t xml:space="preserve">Non-preferred senior debt: corresponds to debt issued under the rules resulting from the transposition of Directive (EU) 2017/2399, as long as it fulfils </w:t>
      </w:r>
      <w:r>
        <w:rPr>
          <w:rFonts w:ascii="Santander Text" w:hAnsi="Santander Text"/>
          <w:sz w:val="20"/>
          <w:szCs w:val="20"/>
          <w:lang w:val="en-US"/>
        </w:rPr>
        <w:t xml:space="preserve">some conditions (original maturity over 1 year, that they contain no derivatives and that the prospectus </w:t>
      </w:r>
      <w:r w:rsidRPr="00143F85">
        <w:rPr>
          <w:rFonts w:ascii="Santander Text" w:hAnsi="Santander Text"/>
          <w:sz w:val="20"/>
          <w:szCs w:val="20"/>
          <w:lang w:val="en-US"/>
        </w:rPr>
        <w:t>of the issuance explicitly acknowledge its lower ranking</w:t>
      </w:r>
      <w:r>
        <w:rPr>
          <w:rFonts w:ascii="Santander Text" w:hAnsi="Santander Text"/>
          <w:sz w:val="20"/>
          <w:szCs w:val="20"/>
          <w:lang w:val="en-US"/>
        </w:rPr>
        <w:t>).</w:t>
      </w:r>
    </w:p>
    <w:p w14:paraId="3FFC7A01" w14:textId="38B4078A" w:rsidR="000327F0" w:rsidRPr="000D0CAD" w:rsidRDefault="00143F85" w:rsidP="00363C51">
      <w:pPr>
        <w:jc w:val="both"/>
        <w:rPr>
          <w:rFonts w:ascii="Santander Text" w:hAnsi="Santander Text"/>
          <w:sz w:val="20"/>
          <w:szCs w:val="20"/>
          <w:lang w:val="en-US"/>
        </w:rPr>
      </w:pPr>
      <w:r>
        <w:rPr>
          <w:rFonts w:ascii="Santander Text" w:hAnsi="Santander Text"/>
          <w:sz w:val="20"/>
          <w:szCs w:val="20"/>
          <w:lang w:val="en-US"/>
        </w:rPr>
        <w:t xml:space="preserve">Is our understanding correct? If not, we will </w:t>
      </w:r>
      <w:proofErr w:type="gramStart"/>
      <w:r>
        <w:rPr>
          <w:rFonts w:ascii="Santander Text" w:hAnsi="Santander Text"/>
          <w:sz w:val="20"/>
          <w:szCs w:val="20"/>
          <w:lang w:val="en-US"/>
        </w:rPr>
        <w:t>adjust</w:t>
      </w:r>
      <w:proofErr w:type="gramEnd"/>
      <w:r>
        <w:rPr>
          <w:rFonts w:ascii="Santander Text" w:hAnsi="Santander Text"/>
          <w:sz w:val="20"/>
          <w:szCs w:val="20"/>
          <w:lang w:val="en-US"/>
        </w:rPr>
        <w:t xml:space="preserve"> the MBDT.</w:t>
      </w:r>
      <w:commentRangeEnd w:id="3"/>
      <w:r w:rsidR="00CD0538">
        <w:rPr>
          <w:rStyle w:val="CommentReference"/>
        </w:rPr>
        <w:commentReference w:id="3"/>
      </w:r>
    </w:p>
    <w:sectPr w:rsidR="000327F0" w:rsidRPr="000D0CA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rnandez Vicente Ivan" w:date="2026-04-09T16:48:00Z" w:initials="IH">
    <w:p w14:paraId="1F207FCA" w14:textId="77777777" w:rsidR="00B07129" w:rsidRDefault="00B07129" w:rsidP="00B07129">
      <w:pPr>
        <w:pStyle w:val="CommentText"/>
      </w:pPr>
      <w:r>
        <w:rPr>
          <w:rStyle w:val="CommentReference"/>
        </w:rPr>
        <w:annotationRef/>
      </w:r>
      <w:r>
        <w:t>Exacto, cuando los instrumentos son en EUR los campos tienen que ser iguales y no dejarse en blanco.</w:t>
      </w:r>
    </w:p>
  </w:comment>
  <w:comment w:id="1" w:author="Hernandez Vicente Ivan" w:date="2026-04-09T16:52:00Z" w:initials="IH">
    <w:p w14:paraId="39E6A750" w14:textId="77777777" w:rsidR="00B07129" w:rsidRDefault="00B07129" w:rsidP="00B07129">
      <w:pPr>
        <w:pStyle w:val="CommentText"/>
      </w:pPr>
      <w:r>
        <w:rPr>
          <w:rStyle w:val="CommentReference"/>
        </w:rPr>
        <w:annotationRef/>
      </w:r>
      <w:r>
        <w:t xml:space="preserve">En caso de que conozcais el tipo de contraparte habria que indicarlo. Por ejemplo, nosotros para banco Santander SA en el CET1 no lo reportamos individualmente, si no agregado por sectores. Es decir, sabemos que un x% de las acciones son con Households, pues abrimos un registro agregado con ese importe. </w:t>
      </w:r>
      <w:r>
        <w:br/>
        <w:t>En caso de que tengais esa información creo que seria la forma correcta de hacerlo. En caso contrario, entiendo que se corresponden con instrumentos listados, por lo que habria que hacer lo que indicais cambiando el valor.</w:t>
      </w:r>
    </w:p>
  </w:comment>
  <w:comment w:id="2" w:author="Hernandez Vicente Ivan" w:date="2026-04-09T17:14:00Z" w:initials="IH">
    <w:p w14:paraId="76B7E442" w14:textId="77777777" w:rsidR="00576535" w:rsidRDefault="00576535" w:rsidP="00576535">
      <w:pPr>
        <w:pStyle w:val="CommentText"/>
      </w:pPr>
      <w:r>
        <w:rPr>
          <w:rStyle w:val="CommentReference"/>
        </w:rPr>
        <w:annotationRef/>
      </w:r>
      <w:r>
        <w:t>Este caso se refiere a un campo diferente. El campo c0140 - Nature of liability. Parece que esta tomando el valor Title of ownership para AT1, cuando ese valor solo deberia ser para el CET1. Entiendo que siendo AT1 deberia tomar el valor Regisgtered Bond.</w:t>
      </w:r>
    </w:p>
  </w:comment>
  <w:comment w:id="3" w:author="Hernandez Vicente Ivan" w:date="2026-04-09T17:10:00Z" w:initials="IH">
    <w:p w14:paraId="4A82B90F" w14:textId="565D0E8A" w:rsidR="00CD0538" w:rsidRDefault="00CD0538" w:rsidP="00CD0538">
      <w:pPr>
        <w:pStyle w:val="CommentText"/>
      </w:pPr>
      <w:r>
        <w:rPr>
          <w:rStyle w:val="CommentReference"/>
        </w:rPr>
        <w:annotationRef/>
      </w:r>
      <w:r>
        <w:t>En el caso de España, el ranking de insolvencia indica claramente que todas las posiciones intragrupo son ranking 4</w:t>
      </w:r>
      <w:r>
        <w:br/>
      </w:r>
      <w:r>
        <w:rPr>
          <w:noProof/>
        </w:rPr>
        <w:drawing>
          <wp:inline distT="0" distB="0" distL="0" distR="0" wp14:anchorId="19209262" wp14:editId="7F6620AD">
            <wp:extent cx="5731510" cy="671830"/>
            <wp:effectExtent l="0" t="0" r="2540" b="0"/>
            <wp:docPr id="750906406"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06406" name="Picture 750906406"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671830"/>
                    </a:xfrm>
                    <a:prstGeom prst="rect">
                      <a:avLst/>
                    </a:prstGeom>
                  </pic:spPr>
                </pic:pic>
              </a:graphicData>
            </a:graphic>
          </wp:inline>
        </w:drawing>
      </w:r>
    </w:p>
    <w:p w14:paraId="14026405" w14:textId="77777777" w:rsidR="00CD0538" w:rsidRDefault="00CD0538" w:rsidP="00CD0538">
      <w:pPr>
        <w:pStyle w:val="CommentText"/>
      </w:pPr>
    </w:p>
    <w:p w14:paraId="5B82692D" w14:textId="77777777" w:rsidR="00CD0538" w:rsidRDefault="00CD0538" w:rsidP="00CD0538">
      <w:pPr>
        <w:pStyle w:val="CommentText"/>
      </w:pPr>
      <w:r>
        <w:t>Sin embargo, revisando el ranking de Portugal parece que no queda claro.</w:t>
      </w:r>
      <w:r>
        <w:br/>
        <w:t>- Parece que no entraria en el ranking 4 por ser instrumentos Senior Non Prefered y no Loans.</w:t>
      </w:r>
      <w:r>
        <w:br/>
        <w:t>- En caso de que no encajen en el ranking 4, no encajarían en el ranking 7 al ser intragrupo?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207FCA" w15:done="0"/>
  <w15:commentEx w15:paraId="39E6A750" w15:done="0"/>
  <w15:commentEx w15:paraId="76B7E442" w15:done="0"/>
  <w15:commentEx w15:paraId="5B8269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14F5A" w16cex:dateUtc="2026-04-09T14:48:00Z"/>
  <w16cex:commentExtensible w16cex:durableId="596C2FF5" w16cex:dateUtc="2026-04-09T14:52:00Z"/>
  <w16cex:commentExtensible w16cex:durableId="246CEFCB" w16cex:dateUtc="2026-04-09T15:14:00Z"/>
  <w16cex:commentExtensible w16cex:durableId="27010F57" w16cex:dateUtc="2026-04-09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207FCA" w16cid:durableId="29414F5A"/>
  <w16cid:commentId w16cid:paraId="39E6A750" w16cid:durableId="596C2FF5"/>
  <w16cid:commentId w16cid:paraId="76B7E442" w16cid:durableId="246CEFCB"/>
  <w16cid:commentId w16cid:paraId="5B82692D" w16cid:durableId="27010F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ntander Text">
    <w:panose1 w:val="020B0504020201020104"/>
    <w:charset w:val="00"/>
    <w:family w:val="swiss"/>
    <w:pitch w:val="variable"/>
    <w:sig w:usb0="A000006F" w:usb1="00000023"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C1FC1"/>
    <w:multiLevelType w:val="hybridMultilevel"/>
    <w:tmpl w:val="B31CCE3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2DEA1476"/>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F169B8"/>
    <w:multiLevelType w:val="hybridMultilevel"/>
    <w:tmpl w:val="2BA27532"/>
    <w:lvl w:ilvl="0" w:tplc="FFFFFFFF">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3E68D9"/>
    <w:multiLevelType w:val="hybridMultilevel"/>
    <w:tmpl w:val="2BA27532"/>
    <w:lvl w:ilvl="0" w:tplc="5D5AC186">
      <w:start w:val="4"/>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59F60593"/>
    <w:multiLevelType w:val="hybridMultilevel"/>
    <w:tmpl w:val="B31CCE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CBB5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CDA0421"/>
    <w:multiLevelType w:val="hybridMultilevel"/>
    <w:tmpl w:val="2BB088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387800961">
    <w:abstractNumId w:val="6"/>
  </w:num>
  <w:num w:numId="2" w16cid:durableId="489948660">
    <w:abstractNumId w:val="0"/>
  </w:num>
  <w:num w:numId="3" w16cid:durableId="973490452">
    <w:abstractNumId w:val="1"/>
  </w:num>
  <w:num w:numId="4" w16cid:durableId="2062440133">
    <w:abstractNumId w:val="5"/>
  </w:num>
  <w:num w:numId="5" w16cid:durableId="2080442781">
    <w:abstractNumId w:val="4"/>
  </w:num>
  <w:num w:numId="6" w16cid:durableId="1639990718">
    <w:abstractNumId w:val="3"/>
  </w:num>
  <w:num w:numId="7" w16cid:durableId="20630767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Vicente Ivan">
    <w15:presenceInfo w15:providerId="AD" w15:userId="S::n223264@santanderglobaltech.com::e3b08877-87fc-41a2-821a-89c6ab6390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5C"/>
    <w:rsid w:val="000327F0"/>
    <w:rsid w:val="000D0CAD"/>
    <w:rsid w:val="00143F85"/>
    <w:rsid w:val="0031554B"/>
    <w:rsid w:val="00363C51"/>
    <w:rsid w:val="004207E8"/>
    <w:rsid w:val="0047075C"/>
    <w:rsid w:val="00576535"/>
    <w:rsid w:val="00895BC5"/>
    <w:rsid w:val="00B07129"/>
    <w:rsid w:val="00BF2E90"/>
    <w:rsid w:val="00CD0538"/>
    <w:rsid w:val="00D318A2"/>
    <w:rsid w:val="00DD25B6"/>
    <w:rsid w:val="00E544F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DB8C"/>
  <w15:chartTrackingRefBased/>
  <w15:docId w15:val="{83799BF1-1B6D-47D9-99D6-F1DA41C9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5C"/>
    <w:rPr>
      <w:rFonts w:eastAsiaTheme="majorEastAsia" w:cstheme="majorBidi"/>
      <w:color w:val="272727" w:themeColor="text1" w:themeTint="D8"/>
    </w:rPr>
  </w:style>
  <w:style w:type="paragraph" w:styleId="Title">
    <w:name w:val="Title"/>
    <w:basedOn w:val="Normal"/>
    <w:next w:val="Normal"/>
    <w:link w:val="TitleChar"/>
    <w:uiPriority w:val="10"/>
    <w:qFormat/>
    <w:rsid w:val="0047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5C"/>
    <w:pPr>
      <w:spacing w:before="160"/>
      <w:jc w:val="center"/>
    </w:pPr>
    <w:rPr>
      <w:i/>
      <w:iCs/>
      <w:color w:val="404040" w:themeColor="text1" w:themeTint="BF"/>
    </w:rPr>
  </w:style>
  <w:style w:type="character" w:customStyle="1" w:styleId="QuoteChar">
    <w:name w:val="Quote Char"/>
    <w:basedOn w:val="DefaultParagraphFont"/>
    <w:link w:val="Quote"/>
    <w:uiPriority w:val="29"/>
    <w:rsid w:val="0047075C"/>
    <w:rPr>
      <w:i/>
      <w:iCs/>
      <w:color w:val="404040" w:themeColor="text1" w:themeTint="BF"/>
    </w:rPr>
  </w:style>
  <w:style w:type="paragraph" w:styleId="ListParagraph">
    <w:name w:val="List Paragraph"/>
    <w:basedOn w:val="Normal"/>
    <w:uiPriority w:val="34"/>
    <w:qFormat/>
    <w:rsid w:val="0047075C"/>
    <w:pPr>
      <w:ind w:left="720"/>
      <w:contextualSpacing/>
    </w:pPr>
  </w:style>
  <w:style w:type="character" w:styleId="IntenseEmphasis">
    <w:name w:val="Intense Emphasis"/>
    <w:basedOn w:val="DefaultParagraphFont"/>
    <w:uiPriority w:val="21"/>
    <w:qFormat/>
    <w:rsid w:val="0047075C"/>
    <w:rPr>
      <w:i/>
      <w:iCs/>
      <w:color w:val="0F4761" w:themeColor="accent1" w:themeShade="BF"/>
    </w:rPr>
  </w:style>
  <w:style w:type="paragraph" w:styleId="IntenseQuote">
    <w:name w:val="Intense Quote"/>
    <w:basedOn w:val="Normal"/>
    <w:next w:val="Normal"/>
    <w:link w:val="IntenseQuoteChar"/>
    <w:uiPriority w:val="30"/>
    <w:qFormat/>
    <w:rsid w:val="0047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75C"/>
    <w:rPr>
      <w:i/>
      <w:iCs/>
      <w:color w:val="0F4761" w:themeColor="accent1" w:themeShade="BF"/>
    </w:rPr>
  </w:style>
  <w:style w:type="character" w:styleId="IntenseReference">
    <w:name w:val="Intense Reference"/>
    <w:basedOn w:val="DefaultParagraphFont"/>
    <w:uiPriority w:val="32"/>
    <w:qFormat/>
    <w:rsid w:val="0047075C"/>
    <w:rPr>
      <w:b/>
      <w:bCs/>
      <w:smallCaps/>
      <w:color w:val="0F4761" w:themeColor="accent1" w:themeShade="BF"/>
      <w:spacing w:val="5"/>
    </w:rPr>
  </w:style>
  <w:style w:type="table" w:styleId="TableGrid">
    <w:name w:val="Table Grid"/>
    <w:basedOn w:val="TableNormal"/>
    <w:uiPriority w:val="39"/>
    <w:rsid w:val="00D3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43F85"/>
    <w:pPr>
      <w:spacing w:after="0" w:line="240" w:lineRule="auto"/>
      <w:ind w:left="10" w:hanging="10"/>
      <w:jc w:val="both"/>
    </w:pPr>
    <w:rPr>
      <w:rFonts w:ascii="Arial" w:eastAsia="Arial" w:hAnsi="Arial" w:cs="Arial"/>
      <w:color w:val="000000"/>
      <w:sz w:val="20"/>
      <w:lang w:eastAsia="pt-PT"/>
    </w:rPr>
  </w:style>
  <w:style w:type="character" w:styleId="CommentReference">
    <w:name w:val="annotation reference"/>
    <w:basedOn w:val="DefaultParagraphFont"/>
    <w:uiPriority w:val="99"/>
    <w:semiHidden/>
    <w:unhideWhenUsed/>
    <w:rsid w:val="00B07129"/>
    <w:rPr>
      <w:sz w:val="16"/>
      <w:szCs w:val="16"/>
    </w:rPr>
  </w:style>
  <w:style w:type="paragraph" w:styleId="CommentText">
    <w:name w:val="annotation text"/>
    <w:basedOn w:val="Normal"/>
    <w:link w:val="CommentTextChar"/>
    <w:uiPriority w:val="99"/>
    <w:unhideWhenUsed/>
    <w:rsid w:val="00B07129"/>
    <w:pPr>
      <w:spacing w:line="240" w:lineRule="auto"/>
    </w:pPr>
    <w:rPr>
      <w:sz w:val="20"/>
      <w:szCs w:val="20"/>
    </w:rPr>
  </w:style>
  <w:style w:type="character" w:customStyle="1" w:styleId="CommentTextChar">
    <w:name w:val="Comment Text Char"/>
    <w:basedOn w:val="DefaultParagraphFont"/>
    <w:link w:val="CommentText"/>
    <w:uiPriority w:val="99"/>
    <w:rsid w:val="00B07129"/>
    <w:rPr>
      <w:sz w:val="20"/>
      <w:szCs w:val="20"/>
    </w:rPr>
  </w:style>
  <w:style w:type="paragraph" w:styleId="CommentSubject">
    <w:name w:val="annotation subject"/>
    <w:basedOn w:val="CommentText"/>
    <w:next w:val="CommentText"/>
    <w:link w:val="CommentSubjectChar"/>
    <w:uiPriority w:val="99"/>
    <w:semiHidden/>
    <w:unhideWhenUsed/>
    <w:rsid w:val="00B07129"/>
    <w:rPr>
      <w:b/>
      <w:bCs/>
    </w:rPr>
  </w:style>
  <w:style w:type="character" w:customStyle="1" w:styleId="CommentSubjectChar">
    <w:name w:val="Comment Subject Char"/>
    <w:basedOn w:val="CommentTextChar"/>
    <w:link w:val="CommentSubject"/>
    <w:uiPriority w:val="99"/>
    <w:semiHidden/>
    <w:rsid w:val="00B071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B6B9A5E792D2446B8986FAE34BEC557" ma:contentTypeVersion="13" ma:contentTypeDescription="Criar um novo documento." ma:contentTypeScope="" ma:versionID="76c42d233f396c620dfe843c8ada89d5">
  <xsd:schema xmlns:xsd="http://www.w3.org/2001/XMLSchema" xmlns:xs="http://www.w3.org/2001/XMLSchema" xmlns:p="http://schemas.microsoft.com/office/2006/metadata/properties" xmlns:ns1="http://schemas.microsoft.com/sharepoint/v3" xmlns:ns2="5ad20f8b-9281-4829-a9aa-2b5a878ba2cc" xmlns:ns3="09d3dac3-f296-4107-b579-4b1e37be6169" targetNamespace="http://schemas.microsoft.com/office/2006/metadata/properties" ma:root="true" ma:fieldsID="ee5843f5cb2ee2b6912e5b34715a9ac2" ns1:_="" ns2:_="" ns3:_="">
    <xsd:import namespace="http://schemas.microsoft.com/sharepoint/v3"/>
    <xsd:import namespace="5ad20f8b-9281-4829-a9aa-2b5a878ba2cc"/>
    <xsd:import namespace="09d3dac3-f296-4107-b579-4b1e37be61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20f8b-9281-4829-a9aa-2b5a878ba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d3dac3-f296-4107-b579-4b1e37be616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f43633d-4f01-4e5f-8ed6-670c29f8108f}" ma:internalName="TaxCatchAll" ma:showField="CatchAllData" ma:web="09d3dac3-f296-4107-b579-4b1e37be61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09d3dac3-f296-4107-b579-4b1e37be6169" xsi:nil="true"/>
    <lcf76f155ced4ddcb4097134ff3c332f xmlns="5ad20f8b-9281-4829-a9aa-2b5a878ba2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AD1097-2C59-4AA0-83CE-FAF6B1280994}"/>
</file>

<file path=customXml/itemProps2.xml><?xml version="1.0" encoding="utf-8"?>
<ds:datastoreItem xmlns:ds="http://schemas.openxmlformats.org/officeDocument/2006/customXml" ds:itemID="{40D16C95-6898-4FB2-86BA-6642DD396E91}"/>
</file>

<file path=customXml/itemProps3.xml><?xml version="1.0" encoding="utf-8"?>
<ds:datastoreItem xmlns:ds="http://schemas.openxmlformats.org/officeDocument/2006/customXml" ds:itemID="{FF68C1D4-60E8-405F-A644-B7BA67ED01D9}"/>
</file>

<file path=docProps/app.xml><?xml version="1.0" encoding="utf-8"?>
<Properties xmlns="http://schemas.openxmlformats.org/officeDocument/2006/extended-properties" xmlns:vt="http://schemas.openxmlformats.org/officeDocument/2006/docPropsVTypes">
  <Template>Normal</Template>
  <TotalTime>0</TotalTime>
  <Pages>3</Pages>
  <Words>726</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Banco Santander Portugal</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Nuno Capelão Mendes</dc:creator>
  <cp:keywords/>
  <dc:description/>
  <cp:lastModifiedBy>Hernandez Vicente Ivan</cp:lastModifiedBy>
  <cp:revision>3</cp:revision>
  <dcterms:created xsi:type="dcterms:W3CDTF">2026-04-09T15:11:00Z</dcterms:created>
  <dcterms:modified xsi:type="dcterms:W3CDTF">2026-04-09T15:14:00Z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2026-04-09T08:33:06Z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482311ff-5437-463b-b5a7-0fe99ff16352</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0x0101000B6B9A5E792D2446B8986FAE34BEC557</vt:lpwstr>
  </property>
</Properties>
</file>