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FE01D" w14:textId="77777777" w:rsidR="008C6003" w:rsidRDefault="008C6003"/>
    <w:p w14:paraId="1DA5A4BC" w14:textId="77777777" w:rsidR="008C6003" w:rsidRDefault="008C6003"/>
    <w:p w14:paraId="76AD7EDC" w14:textId="77777777" w:rsidR="008C6003" w:rsidRDefault="007C6AE7">
      <w:pPr>
        <w:spacing w:after="120"/>
        <w:jc w:val="center"/>
      </w:pPr>
      <w:r>
        <w:rPr>
          <w:rFonts w:ascii="Calibri" w:hAnsi="Calibri"/>
          <w:b/>
          <w:color w:val="2C3E7A"/>
          <w:sz w:val="18"/>
        </w:rPr>
        <w:t>VISUALIZAÇÃO DE INFORMAÇÃO</w:t>
      </w:r>
    </w:p>
    <w:p w14:paraId="78E8B175" w14:textId="77777777" w:rsidR="008C6003" w:rsidRDefault="007C6AE7">
      <w:pPr>
        <w:spacing w:before="280" w:after="80"/>
        <w:jc w:val="center"/>
      </w:pPr>
      <w:r>
        <w:rPr>
          <w:rFonts w:ascii="Calibri" w:hAnsi="Calibri"/>
          <w:b/>
          <w:color w:val="2C3E7A"/>
          <w:sz w:val="52"/>
        </w:rPr>
        <w:t>Dashboard de Preços</w:t>
      </w:r>
      <w:r>
        <w:rPr>
          <w:rFonts w:ascii="Calibri" w:hAnsi="Calibri"/>
          <w:b/>
          <w:color w:val="2C3E7A"/>
          <w:sz w:val="52"/>
        </w:rPr>
        <w:br/>
        <w:t>de Habitação em Paris</w:t>
      </w:r>
    </w:p>
    <w:p w14:paraId="11ECD94E" w14:textId="77777777" w:rsidR="008C6003" w:rsidRDefault="007C6AE7">
      <w:pPr>
        <w:spacing w:before="80" w:after="400"/>
        <w:jc w:val="center"/>
      </w:pPr>
      <w:r>
        <w:rPr>
          <w:rFonts w:ascii="Calibri" w:hAnsi="Calibri"/>
          <w:color w:val="555555"/>
          <w:sz w:val="26"/>
        </w:rPr>
        <w:t>Paris Housing Price Prediction Dataset</w:t>
      </w:r>
    </w:p>
    <w:p w14:paraId="46594C4B" w14:textId="77777777" w:rsidR="008C6003" w:rsidRDefault="008C6003">
      <w:pPr>
        <w:pBdr>
          <w:bottom w:val="single" w:sz="18" w:space="4" w:color="2C3E7A"/>
        </w:pBdr>
        <w:spacing w:after="0"/>
        <w:jc w:val="center"/>
      </w:pPr>
    </w:p>
    <w:p w14:paraId="6AD0B39B" w14:textId="77777777" w:rsidR="008C6003" w:rsidRDefault="008C6003"/>
    <w:p w14:paraId="638743C2" w14:textId="77777777" w:rsidR="008C6003" w:rsidRDefault="008C6003"/>
    <w:p w14:paraId="573F4C75" w14:textId="77777777" w:rsidR="008C6003" w:rsidRDefault="007C6AE7">
      <w:pPr>
        <w:spacing w:before="40" w:after="40"/>
        <w:jc w:val="center"/>
      </w:pPr>
      <w:r>
        <w:rPr>
          <w:rFonts w:ascii="Calibri" w:hAnsi="Calibri"/>
          <w:b/>
          <w:color w:val="1A1A2E"/>
          <w:sz w:val="20"/>
        </w:rPr>
        <w:t xml:space="preserve">Unidade Curricular:  </w:t>
      </w:r>
      <w:r>
        <w:rPr>
          <w:rFonts w:ascii="Calibri" w:hAnsi="Calibri"/>
          <w:color w:val="555555"/>
          <w:sz w:val="20"/>
        </w:rPr>
        <w:t>Visualização de Informação</w:t>
      </w:r>
    </w:p>
    <w:p w14:paraId="3264FC52" w14:textId="77777777" w:rsidR="008C6003" w:rsidRDefault="007C6AE7">
      <w:pPr>
        <w:spacing w:before="40" w:after="40"/>
        <w:jc w:val="center"/>
      </w:pPr>
      <w:r>
        <w:rPr>
          <w:rFonts w:ascii="Calibri" w:hAnsi="Calibri"/>
          <w:b/>
          <w:color w:val="1A1A2E"/>
          <w:sz w:val="20"/>
        </w:rPr>
        <w:t xml:space="preserve">Ano Letivo:  </w:t>
      </w:r>
      <w:r>
        <w:rPr>
          <w:rFonts w:ascii="Calibri" w:hAnsi="Calibri"/>
          <w:color w:val="555555"/>
          <w:sz w:val="20"/>
        </w:rPr>
        <w:t>2025 / 2026</w:t>
      </w:r>
    </w:p>
    <w:p w14:paraId="6730AB21" w14:textId="77777777" w:rsidR="008C6003" w:rsidRDefault="007C6AE7">
      <w:pPr>
        <w:spacing w:before="40" w:after="40"/>
        <w:jc w:val="center"/>
      </w:pPr>
      <w:r>
        <w:rPr>
          <w:rFonts w:ascii="Calibri" w:hAnsi="Calibri"/>
          <w:b/>
          <w:color w:val="1A1A2E"/>
          <w:sz w:val="20"/>
        </w:rPr>
        <w:t xml:space="preserve">Dataset:  </w:t>
      </w:r>
      <w:r>
        <w:rPr>
          <w:rFonts w:ascii="Calibri" w:hAnsi="Calibri"/>
          <w:color w:val="555555"/>
          <w:sz w:val="20"/>
        </w:rPr>
        <w:t>Paris Housing Price Prediction (Kaggle)</w:t>
      </w:r>
    </w:p>
    <w:p w14:paraId="51220CEB" w14:textId="77777777" w:rsidR="008C6003" w:rsidRDefault="007C6AE7">
      <w:pPr>
        <w:spacing w:before="40" w:after="40"/>
        <w:jc w:val="center"/>
      </w:pPr>
      <w:r>
        <w:rPr>
          <w:rFonts w:ascii="Calibri" w:hAnsi="Calibri"/>
          <w:b/>
          <w:color w:val="1A1A2E"/>
          <w:sz w:val="20"/>
        </w:rPr>
        <w:t xml:space="preserve">Tecnologia:  </w:t>
      </w:r>
      <w:r>
        <w:rPr>
          <w:rFonts w:ascii="Calibri" w:hAnsi="Calibri"/>
          <w:color w:val="555555"/>
          <w:sz w:val="20"/>
        </w:rPr>
        <w:t>D3.js v7, noUiSlider, HTML5 / CSS3</w:t>
      </w:r>
    </w:p>
    <w:p w14:paraId="22567DD9" w14:textId="77777777" w:rsidR="008C6003" w:rsidRDefault="007C6AE7">
      <w:pPr>
        <w:spacing w:after="0"/>
      </w:pPr>
      <w:r>
        <w:br w:type="page"/>
      </w:r>
    </w:p>
    <w:p w14:paraId="6B26A594" w14:textId="77777777" w:rsidR="008C6003" w:rsidRDefault="007C6AE7">
      <w:pPr>
        <w:pBdr>
          <w:bottom w:val="single" w:sz="12" w:space="4" w:color="2C3E7A"/>
        </w:pBdr>
        <w:spacing w:after="120"/>
      </w:pPr>
      <w:r>
        <w:rPr>
          <w:rFonts w:ascii="Calibri" w:hAnsi="Calibri"/>
          <w:color w:val="555555"/>
          <w:sz w:val="18"/>
        </w:rPr>
        <w:lastRenderedPageBreak/>
        <w:t xml:space="preserve">Secção 1  </w:t>
      </w:r>
      <w:r>
        <w:rPr>
          <w:rFonts w:ascii="Calibri" w:hAnsi="Calibri"/>
          <w:b/>
          <w:color w:val="2C3E7A"/>
          <w:sz w:val="32"/>
        </w:rPr>
        <w:t>Esboço do Dashboard</w:t>
      </w:r>
    </w:p>
    <w:p w14:paraId="6EDF1ABE" w14:textId="079F69A5" w:rsidR="008C6003" w:rsidRDefault="007C6AE7">
      <w:pPr>
        <w:spacing w:before="40" w:after="280"/>
        <w:jc w:val="center"/>
      </w:pPr>
      <w:proofErr w:type="spellStart"/>
      <w:r>
        <w:rPr>
          <w:rFonts w:ascii="Calibri" w:hAnsi="Calibri"/>
          <w:b/>
          <w:color w:val="1A1A2E"/>
          <w:sz w:val="18"/>
        </w:rPr>
        <w:t>F</w:t>
      </w:r>
      <w:r>
        <w:rPr>
          <w:rFonts w:ascii="Calibri" w:hAnsi="Calibri"/>
          <w:b/>
          <w:color w:val="1A1A2E"/>
          <w:sz w:val="18"/>
        </w:rPr>
        <w:t>igura</w:t>
      </w:r>
      <w:proofErr w:type="spellEnd"/>
      <w:r>
        <w:rPr>
          <w:rFonts w:ascii="Calibri" w:hAnsi="Calibri"/>
          <w:b/>
          <w:color w:val="1A1A2E"/>
          <w:sz w:val="18"/>
        </w:rPr>
        <w:t xml:space="preserve"> 1</w:t>
      </w:r>
      <w:r>
        <w:rPr>
          <w:rFonts w:ascii="Calibri" w:hAnsi="Calibri"/>
          <w:i/>
          <w:color w:val="555555"/>
          <w:sz w:val="18"/>
        </w:rPr>
        <w:t xml:space="preserve"> — </w:t>
      </w:r>
      <w:proofErr w:type="spellStart"/>
      <w:r>
        <w:rPr>
          <w:rFonts w:ascii="Calibri" w:hAnsi="Calibri"/>
          <w:i/>
          <w:color w:val="555555"/>
          <w:sz w:val="18"/>
        </w:rPr>
        <w:t>Esboço</w:t>
      </w:r>
      <w:proofErr w:type="spellEnd"/>
      <w:r>
        <w:rPr>
          <w:rFonts w:ascii="Calibri" w:hAnsi="Calibri"/>
          <w:i/>
          <w:color w:val="555555"/>
          <w:sz w:val="18"/>
        </w:rPr>
        <w:t xml:space="preserve"> </w:t>
      </w:r>
      <w:r>
        <w:rPr>
          <w:rFonts w:ascii="Calibri" w:hAnsi="Calibri"/>
          <w:i/>
          <w:color w:val="555555"/>
          <w:sz w:val="18"/>
        </w:rPr>
        <w:t xml:space="preserve">do dashboard </w:t>
      </w:r>
      <w:proofErr w:type="spellStart"/>
      <w:r>
        <w:rPr>
          <w:rFonts w:ascii="Calibri" w:hAnsi="Calibri"/>
          <w:i/>
          <w:color w:val="555555"/>
          <w:sz w:val="18"/>
        </w:rPr>
        <w:t>completo</w:t>
      </w:r>
      <w:proofErr w:type="spellEnd"/>
    </w:p>
    <w:p w14:paraId="0011D593" w14:textId="779DAE24" w:rsidR="008C6003" w:rsidRDefault="007C6AE7">
      <w:pPr>
        <w:spacing w:line="280" w:lineRule="exact"/>
        <w:jc w:val="both"/>
      </w:pPr>
      <w:r>
        <w:rPr>
          <w:rFonts w:ascii="Calibri" w:hAnsi="Calibri"/>
        </w:rPr>
        <w:t xml:space="preserve">O dashboard Paris Housing Price Analysis apresenta uma análise exploratória e interativa do mercado imobiliário parisiense com base no dataset Paris Housing Price Prediction, disponível no Kaggle. A interface organiza-se em três níveis hierárquicos: um cabeçalho com indicadores KPI (imóveis selecionados, preço médio, área média e proporção com piscina), uma barra de filtros globais e uma grelha 2×2 com os quatro gráficos analíticos. </w:t>
      </w:r>
    </w:p>
    <w:p w14:paraId="473B2744" w14:textId="77777777" w:rsidR="008C6003" w:rsidRDefault="007C6AE7">
      <w:pPr>
        <w:spacing w:line="280" w:lineRule="exact"/>
        <w:jc w:val="both"/>
      </w:pPr>
      <w:r>
        <w:rPr>
          <w:rFonts w:ascii="Calibri" w:hAnsi="Calibri"/>
        </w:rPr>
        <w:t>Toda a interatividade assenta num estado global partilhado entre os quatro gráficos, de modo que qualquer alteração de filtro propaga automaticamente uma atualização coordenada e animada de todos os elementos visuais. A barra de filtros expõe três dimensões de seleção: um slider de preço com dois handles (intervalo mínimo-máximo), chips individuais por zona geográfica (cityPartRange) e botões de seleção para a presença de piscina. Os contadores KPI animam-se com easing cúbico aquando de cada atualização, re</w:t>
      </w:r>
      <w:r>
        <w:rPr>
          <w:rFonts w:ascii="Calibri" w:hAnsi="Calibri"/>
        </w:rPr>
        <w:t>forçando a perceção de mudança. Os tooltips contextuais, posicionados de forma dinâmica, fornecem valores exatos ao passar o cursor sobre qualquer elemento interativo.</w:t>
      </w:r>
    </w:p>
    <w:p w14:paraId="435E44C1" w14:textId="4F9FC0B5" w:rsidR="008C6003" w:rsidRDefault="007C6AE7">
      <w:pPr>
        <w:spacing w:after="0"/>
      </w:pPr>
      <w:r>
        <w:br w:type="page"/>
      </w:r>
    </w:p>
    <w:p w14:paraId="12807A8E" w14:textId="77777777" w:rsidR="008C6003" w:rsidRDefault="007C6AE7">
      <w:pPr>
        <w:pBdr>
          <w:bottom w:val="single" w:sz="12" w:space="4" w:color="2C3E7A"/>
        </w:pBdr>
        <w:spacing w:after="120"/>
      </w:pPr>
      <w:r>
        <w:rPr>
          <w:rFonts w:ascii="Calibri" w:hAnsi="Calibri"/>
          <w:color w:val="555555"/>
          <w:sz w:val="18"/>
        </w:rPr>
        <w:lastRenderedPageBreak/>
        <w:t xml:space="preserve">Secção 2  </w:t>
      </w:r>
      <w:r>
        <w:rPr>
          <w:rFonts w:ascii="Calibri" w:hAnsi="Calibri"/>
          <w:b/>
          <w:color w:val="2C3E7A"/>
          <w:sz w:val="32"/>
        </w:rPr>
        <w:t>Gráfico 1 — Preço Médio por Zona</w:t>
      </w:r>
    </w:p>
    <w:p w14:paraId="69FCC093" w14:textId="768C36D4" w:rsidR="008C6003" w:rsidRDefault="00C767FE">
      <w:pPr>
        <w:spacing w:before="40" w:after="280"/>
        <w:jc w:val="center"/>
      </w:pPr>
      <w:r>
        <w:rPr>
          <w:noProof/>
        </w:rPr>
        <w:drawing>
          <wp:inline distT="0" distB="0" distL="0" distR="0" wp14:anchorId="3C0D9DF5" wp14:editId="2EA7CDBA">
            <wp:extent cx="5760720" cy="3657600"/>
            <wp:effectExtent l="0" t="0" r="0" b="0"/>
            <wp:docPr id="17688920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92003" name=""/>
                    <pic:cNvPicPr/>
                  </pic:nvPicPr>
                  <pic:blipFill>
                    <a:blip r:embed="rId6"/>
                    <a:stretch>
                      <a:fillRect/>
                    </a:stretch>
                  </pic:blipFill>
                  <pic:spPr>
                    <a:xfrm>
                      <a:off x="0" y="0"/>
                      <a:ext cx="5760720" cy="3657600"/>
                    </a:xfrm>
                    <a:prstGeom prst="rect">
                      <a:avLst/>
                    </a:prstGeom>
                  </pic:spPr>
                </pic:pic>
              </a:graphicData>
            </a:graphic>
          </wp:inline>
        </w:drawing>
      </w:r>
      <w:proofErr w:type="spellStart"/>
      <w:r w:rsidR="007C6AE7">
        <w:rPr>
          <w:rFonts w:ascii="Calibri" w:hAnsi="Calibri"/>
          <w:b/>
          <w:color w:val="1A1A2E"/>
          <w:sz w:val="18"/>
        </w:rPr>
        <w:t>Figura</w:t>
      </w:r>
      <w:proofErr w:type="spellEnd"/>
      <w:r w:rsidR="007C6AE7">
        <w:rPr>
          <w:rFonts w:ascii="Calibri" w:hAnsi="Calibri"/>
          <w:b/>
          <w:color w:val="1A1A2E"/>
          <w:sz w:val="18"/>
        </w:rPr>
        <w:t xml:space="preserve"> 2</w:t>
      </w:r>
      <w:r w:rsidR="007C6AE7">
        <w:rPr>
          <w:rFonts w:ascii="Calibri" w:hAnsi="Calibri"/>
          <w:i/>
          <w:color w:val="555555"/>
          <w:sz w:val="18"/>
        </w:rPr>
        <w:t xml:space="preserve"> — </w:t>
      </w:r>
      <w:proofErr w:type="spellStart"/>
      <w:r w:rsidR="007C6AE7">
        <w:rPr>
          <w:rFonts w:ascii="Calibri" w:hAnsi="Calibri"/>
          <w:i/>
          <w:color w:val="555555"/>
          <w:sz w:val="18"/>
        </w:rPr>
        <w:t>Esboço</w:t>
      </w:r>
      <w:proofErr w:type="spellEnd"/>
      <w:r w:rsidR="007C6AE7">
        <w:rPr>
          <w:rFonts w:ascii="Calibri" w:hAnsi="Calibri"/>
          <w:i/>
          <w:color w:val="555555"/>
          <w:sz w:val="18"/>
        </w:rPr>
        <w:t xml:space="preserve"> do primeiro gráfico</w:t>
      </w:r>
    </w:p>
    <w:p w14:paraId="2074BEFD" w14:textId="58D11DD9" w:rsidR="008C6003" w:rsidRDefault="007C6AE7">
      <w:pPr>
        <w:spacing w:line="280" w:lineRule="exact"/>
        <w:jc w:val="both"/>
      </w:pPr>
      <w:r>
        <w:rPr>
          <w:rFonts w:ascii="Calibri" w:hAnsi="Calibri"/>
        </w:rPr>
        <w:t xml:space="preserve">O primeiro gráfico responde à questão de como o preço médio de habitação varia entre as diferentes zonas da cidade, representadas pela variável ordinal cityPartRange (valores de 1 a </w:t>
      </w:r>
      <w:r w:rsidR="00C767FE">
        <w:rPr>
          <w:rFonts w:ascii="Calibri" w:hAnsi="Calibri"/>
        </w:rPr>
        <w:t>10</w:t>
      </w:r>
      <w:r>
        <w:rPr>
          <w:rFonts w:ascii="Calibri" w:hAnsi="Calibri"/>
        </w:rPr>
        <w:t xml:space="preserve">, do </w:t>
      </w:r>
      <w:proofErr w:type="spellStart"/>
      <w:r>
        <w:rPr>
          <w:rFonts w:ascii="Calibri" w:hAnsi="Calibri"/>
        </w:rPr>
        <w:t>menos</w:t>
      </w:r>
      <w:proofErr w:type="spellEnd"/>
      <w:r>
        <w:rPr>
          <w:rFonts w:ascii="Calibri" w:hAnsi="Calibri"/>
        </w:rPr>
        <w:t xml:space="preserve"> </w:t>
      </w:r>
      <w:proofErr w:type="spellStart"/>
      <w:r>
        <w:rPr>
          <w:rFonts w:ascii="Calibri" w:hAnsi="Calibri"/>
        </w:rPr>
        <w:t>ao</w:t>
      </w:r>
      <w:proofErr w:type="spellEnd"/>
      <w:r>
        <w:rPr>
          <w:rFonts w:ascii="Calibri" w:hAnsi="Calibri"/>
        </w:rPr>
        <w:t xml:space="preserve"> mais exclusivo). Trata-se de um gráfico de barras verticais em que o eixo horizontal codifica o nível de zona e o eixo vertical o preço médio em euros. A terceira variável codificada é a área média dos imóveis (squareMeters), representada através da cor de cada barra numa escala sequencial que vai do azul escuro ao ciano. Esta codificação tripla permite identificar simultaneamente as zonas com preços mais elevados, as que concentram imóveis de maior dimensão e, sobretudo, investigar se existe </w:t>
      </w:r>
      <w:r>
        <w:rPr>
          <w:rFonts w:ascii="Calibri" w:hAnsi="Calibri"/>
        </w:rPr>
        <w:t>correlação entre área e valor de mercado ao longo do espectro de zonas.</w:t>
      </w:r>
    </w:p>
    <w:p w14:paraId="39CFC5DB" w14:textId="77777777" w:rsidR="008C6003" w:rsidRDefault="007C6AE7">
      <w:pPr>
        <w:spacing w:line="280" w:lineRule="exact"/>
        <w:jc w:val="both"/>
      </w:pPr>
      <w:r>
        <w:rPr>
          <w:rFonts w:ascii="Calibri" w:hAnsi="Calibri"/>
        </w:rPr>
        <w:t xml:space="preserve">Do ponto de vista técnico, o eixo de zonas utiliza d3.scaleBand() com um padding de 0,28, conferindo espaçamento visual proporcional entre as barras. A cor é calculada com d3.scaleSequential() em conjunto com d3.interpolateRgb(), com domínio recalculado dinamicamente a cada interação de filtro, garantindo que a legenda gradiente SVG reflete sempre os valores mínimo e máximo da seleção atual. As barras exibem rótulos de valor no topo e respondem ao hover com um tooltip que apresenta a zona, o preço médio, a </w:t>
      </w:r>
      <w:r>
        <w:rPr>
          <w:rFonts w:ascii="Calibri" w:hAnsi="Calibri"/>
        </w:rPr>
        <w:t>área média e a contagem de imóveis. As entradas e transições entre estados são animadas com easing cúbico a 600 ms para entradas e 500 ms para atualizações.</w:t>
      </w:r>
    </w:p>
    <w:p w14:paraId="72E62325" w14:textId="77777777" w:rsidR="008C6003" w:rsidRDefault="007C6AE7">
      <w:pPr>
        <w:spacing w:after="0"/>
      </w:pPr>
      <w:r>
        <w:br w:type="page"/>
      </w:r>
    </w:p>
    <w:p w14:paraId="01DF3250" w14:textId="77777777" w:rsidR="008C6003" w:rsidRDefault="007C6AE7">
      <w:pPr>
        <w:pBdr>
          <w:bottom w:val="single" w:sz="12" w:space="4" w:color="2C3E7A"/>
        </w:pBdr>
        <w:spacing w:after="120"/>
      </w:pPr>
      <w:r>
        <w:rPr>
          <w:rFonts w:ascii="Calibri" w:hAnsi="Calibri"/>
          <w:color w:val="555555"/>
          <w:sz w:val="18"/>
        </w:rPr>
        <w:lastRenderedPageBreak/>
        <w:t xml:space="preserve">Secção 3  </w:t>
      </w:r>
      <w:r>
        <w:rPr>
          <w:rFonts w:ascii="Calibri" w:hAnsi="Calibri"/>
          <w:b/>
          <w:color w:val="2C3E7A"/>
          <w:sz w:val="32"/>
        </w:rPr>
        <w:t>Gráfico 2 — Evolução por Ano de Construção</w:t>
      </w:r>
    </w:p>
    <w:p w14:paraId="2C7B6522" w14:textId="744696E9" w:rsidR="008C6003" w:rsidRDefault="00C767FE">
      <w:pPr>
        <w:spacing w:before="40" w:after="280"/>
        <w:jc w:val="center"/>
      </w:pPr>
      <w:r>
        <w:rPr>
          <w:noProof/>
        </w:rPr>
        <w:drawing>
          <wp:inline distT="0" distB="0" distL="0" distR="0" wp14:anchorId="7AF71A0D" wp14:editId="118D496D">
            <wp:extent cx="5760720" cy="3723005"/>
            <wp:effectExtent l="0" t="0" r="0" b="0"/>
            <wp:docPr id="18987319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31901" name=""/>
                    <pic:cNvPicPr/>
                  </pic:nvPicPr>
                  <pic:blipFill>
                    <a:blip r:embed="rId7"/>
                    <a:stretch>
                      <a:fillRect/>
                    </a:stretch>
                  </pic:blipFill>
                  <pic:spPr>
                    <a:xfrm>
                      <a:off x="0" y="0"/>
                      <a:ext cx="5760720" cy="3723005"/>
                    </a:xfrm>
                    <a:prstGeom prst="rect">
                      <a:avLst/>
                    </a:prstGeom>
                  </pic:spPr>
                </pic:pic>
              </a:graphicData>
            </a:graphic>
          </wp:inline>
        </w:drawing>
      </w:r>
      <w:proofErr w:type="spellStart"/>
      <w:r w:rsidR="007C6AE7">
        <w:rPr>
          <w:rFonts w:ascii="Calibri" w:hAnsi="Calibri"/>
          <w:b/>
          <w:color w:val="1A1A2E"/>
          <w:sz w:val="18"/>
        </w:rPr>
        <w:t>Figura</w:t>
      </w:r>
      <w:proofErr w:type="spellEnd"/>
      <w:r w:rsidR="007C6AE7">
        <w:rPr>
          <w:rFonts w:ascii="Calibri" w:hAnsi="Calibri"/>
          <w:b/>
          <w:color w:val="1A1A2E"/>
          <w:sz w:val="18"/>
        </w:rPr>
        <w:t xml:space="preserve"> 3</w:t>
      </w:r>
      <w:r w:rsidR="007C6AE7">
        <w:rPr>
          <w:rFonts w:ascii="Calibri" w:hAnsi="Calibri"/>
          <w:i/>
          <w:color w:val="555555"/>
          <w:sz w:val="18"/>
        </w:rPr>
        <w:t xml:space="preserve"> — </w:t>
      </w:r>
      <w:proofErr w:type="spellStart"/>
      <w:r w:rsidR="007C6AE7">
        <w:rPr>
          <w:rFonts w:ascii="Calibri" w:hAnsi="Calibri"/>
          <w:i/>
          <w:color w:val="555555"/>
          <w:sz w:val="18"/>
        </w:rPr>
        <w:t>Esboço</w:t>
      </w:r>
      <w:proofErr w:type="spellEnd"/>
      <w:r w:rsidR="007C6AE7">
        <w:rPr>
          <w:rFonts w:ascii="Calibri" w:hAnsi="Calibri"/>
          <w:i/>
          <w:color w:val="555555"/>
          <w:sz w:val="18"/>
        </w:rPr>
        <w:t xml:space="preserve"> do segundo gráfico</w:t>
      </w:r>
    </w:p>
    <w:p w14:paraId="14E3A584" w14:textId="77777777" w:rsidR="008C6003" w:rsidRDefault="007C6AE7">
      <w:pPr>
        <w:spacing w:line="280" w:lineRule="exact"/>
        <w:jc w:val="both"/>
      </w:pPr>
      <w:r>
        <w:rPr>
          <w:rFonts w:ascii="Calibri" w:hAnsi="Calibri"/>
        </w:rPr>
        <w:t>O segundo gráfico analisa a evolução do preço médio de habitação em função do ano de construção (made), respondendo à questão de como o período histórico de edificação influencia o valor atual dos imóveis. O canal visual primário é uma linha contínua com preenchimento de área subjacente que codifica a tendência de preço médio ao longo do tempo. Os círculos sobrepostos em cada ano introduzem a terceira variável: a contagem de imóveis construídos nesse ano, codificada pelo raio do ponto. Desta forma, o gráfic</w:t>
      </w:r>
      <w:r>
        <w:rPr>
          <w:rFonts w:ascii="Calibri" w:hAnsi="Calibri"/>
        </w:rPr>
        <w:t>o não só revela tendências de valorização ao longo do tempo, como também evidencia a densidade histórica de construção, permitindo identificar períodos de maior atividade imobiliária e correlacionar essa atividade com os preços praticados.</w:t>
      </w:r>
    </w:p>
    <w:p w14:paraId="7C517C76" w14:textId="77777777" w:rsidR="008C6003" w:rsidRDefault="007C6AE7">
      <w:pPr>
        <w:spacing w:line="280" w:lineRule="exact"/>
        <w:jc w:val="both"/>
      </w:pPr>
      <w:r>
        <w:rPr>
          <w:rFonts w:ascii="Calibri" w:hAnsi="Calibri"/>
        </w:rPr>
        <w:t xml:space="preserve">A escala de raio utiliza d3.scaleSqrt() com domínio [1, máx] e range [2,5 – 9] px, assegurando que a perceção visual de área dos pontos é proporcional à contagem (e não ao raio, que seria perceptualmente enganoso). O traçado da linha recorre a d3.curveMonotoneX para uma interpolação suave sem artefactos de sobreposição. Na primeira renderização, a linha é animada progressivamente através de stroke-dasharray/stroke-dashoffset, conferindo impacto visual à carga inicial dos dados. O hover sobre qualquer ponto </w:t>
      </w:r>
      <w:r>
        <w:rPr>
          <w:rFonts w:ascii="Calibri" w:hAnsi="Calibri"/>
        </w:rPr>
        <w:t>ativa um crosshair vertical e um tooltip com o ano, preço médio e número de imóveis, enquanto o raio do ponto é temporariamente ampliado para reforçar a seleção.</w:t>
      </w:r>
    </w:p>
    <w:p w14:paraId="5D20ADF5" w14:textId="77777777" w:rsidR="008C6003" w:rsidRDefault="007C6AE7">
      <w:pPr>
        <w:spacing w:after="0"/>
      </w:pPr>
      <w:r>
        <w:br w:type="page"/>
      </w:r>
    </w:p>
    <w:p w14:paraId="49BE69D8" w14:textId="77777777" w:rsidR="008C6003" w:rsidRDefault="007C6AE7">
      <w:pPr>
        <w:pBdr>
          <w:bottom w:val="single" w:sz="12" w:space="4" w:color="2C3E7A"/>
        </w:pBdr>
        <w:spacing w:after="120"/>
      </w:pPr>
      <w:r>
        <w:rPr>
          <w:rFonts w:ascii="Calibri" w:hAnsi="Calibri"/>
          <w:color w:val="555555"/>
          <w:sz w:val="18"/>
        </w:rPr>
        <w:lastRenderedPageBreak/>
        <w:t xml:space="preserve">Secção 4  </w:t>
      </w:r>
      <w:r>
        <w:rPr>
          <w:rFonts w:ascii="Calibri" w:hAnsi="Calibri"/>
          <w:b/>
          <w:color w:val="2C3E7A"/>
          <w:sz w:val="32"/>
        </w:rPr>
        <w:t>Gráfico 3 — Distribuição dos Preços</w:t>
      </w:r>
    </w:p>
    <w:p w14:paraId="00A21F79" w14:textId="551AC1DD" w:rsidR="008C6003" w:rsidRDefault="00C767FE">
      <w:pPr>
        <w:spacing w:before="40" w:after="280"/>
        <w:jc w:val="center"/>
      </w:pPr>
      <w:r>
        <w:rPr>
          <w:noProof/>
        </w:rPr>
        <w:drawing>
          <wp:inline distT="0" distB="0" distL="0" distR="0" wp14:anchorId="7E8C20A9" wp14:editId="20294451">
            <wp:extent cx="5760720" cy="3707765"/>
            <wp:effectExtent l="0" t="0" r="0" b="6985"/>
            <wp:docPr id="5061491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49115" name=""/>
                    <pic:cNvPicPr/>
                  </pic:nvPicPr>
                  <pic:blipFill>
                    <a:blip r:embed="rId8"/>
                    <a:stretch>
                      <a:fillRect/>
                    </a:stretch>
                  </pic:blipFill>
                  <pic:spPr>
                    <a:xfrm>
                      <a:off x="0" y="0"/>
                      <a:ext cx="5760720" cy="3707765"/>
                    </a:xfrm>
                    <a:prstGeom prst="rect">
                      <a:avLst/>
                    </a:prstGeom>
                  </pic:spPr>
                </pic:pic>
              </a:graphicData>
            </a:graphic>
          </wp:inline>
        </w:drawing>
      </w:r>
      <w:proofErr w:type="spellStart"/>
      <w:r w:rsidR="007C6AE7">
        <w:rPr>
          <w:rFonts w:ascii="Calibri" w:hAnsi="Calibri"/>
          <w:b/>
          <w:color w:val="1A1A2E"/>
          <w:sz w:val="18"/>
        </w:rPr>
        <w:t>Figura</w:t>
      </w:r>
      <w:proofErr w:type="spellEnd"/>
      <w:r w:rsidR="007C6AE7">
        <w:rPr>
          <w:rFonts w:ascii="Calibri" w:hAnsi="Calibri"/>
          <w:b/>
          <w:color w:val="1A1A2E"/>
          <w:sz w:val="18"/>
        </w:rPr>
        <w:t xml:space="preserve"> 4</w:t>
      </w:r>
      <w:r w:rsidR="007C6AE7">
        <w:rPr>
          <w:rFonts w:ascii="Calibri" w:hAnsi="Calibri"/>
          <w:i/>
          <w:color w:val="555555"/>
          <w:sz w:val="18"/>
        </w:rPr>
        <w:t xml:space="preserve"> — </w:t>
      </w:r>
      <w:proofErr w:type="spellStart"/>
      <w:r w:rsidR="007C6AE7">
        <w:rPr>
          <w:rFonts w:ascii="Calibri" w:hAnsi="Calibri"/>
          <w:i/>
          <w:color w:val="555555"/>
          <w:sz w:val="18"/>
        </w:rPr>
        <w:t>Esboço</w:t>
      </w:r>
      <w:proofErr w:type="spellEnd"/>
      <w:r w:rsidR="007C6AE7">
        <w:rPr>
          <w:rFonts w:ascii="Calibri" w:hAnsi="Calibri"/>
          <w:i/>
          <w:color w:val="555555"/>
          <w:sz w:val="18"/>
        </w:rPr>
        <w:t xml:space="preserve"> do terceiro gráfico</w:t>
      </w:r>
    </w:p>
    <w:p w14:paraId="669E0CD1" w14:textId="77777777" w:rsidR="008C6003" w:rsidRDefault="007C6AE7">
      <w:pPr>
        <w:spacing w:line="280" w:lineRule="exact"/>
        <w:jc w:val="both"/>
      </w:pPr>
      <w:r>
        <w:rPr>
          <w:rFonts w:ascii="Calibri" w:hAnsi="Calibri"/>
        </w:rPr>
        <w:t>O terceiro gráfico apresenta a distribuição dos preços de habitação através de um histograma empilhado (stacked histogram). O eixo horizontal corresponde ao preço em euros e o eixo vertical à contagem de imóveis por intervalo de preço. A terceira variável codificada é o tipo de construção (isNewBuilt): o segmento inferior em violeta representa imóveis de construção antiga (isNewBuilt = 0) e o segmento superior em verde representa imóveis de construção nova (isNewBuilt = 1). Esta representação tridimensional</w:t>
      </w:r>
      <w:r>
        <w:rPr>
          <w:rFonts w:ascii="Calibri" w:hAnsi="Calibri"/>
        </w:rPr>
        <w:t xml:space="preserve"> permite não só compreender a forma global da distribuição de preços — incluindo assimetrias e modas —, como também identificar em que gamas de preço se concentram os novos empreendimentos face ao parque imobiliário existente, revelando possíveis sobrepreços ou descontos associados à nova construção.</w:t>
      </w:r>
    </w:p>
    <w:p w14:paraId="585EA00B" w14:textId="77777777" w:rsidR="008C6003" w:rsidRDefault="007C6AE7">
      <w:pPr>
        <w:spacing w:line="280" w:lineRule="exact"/>
        <w:jc w:val="both"/>
      </w:pPr>
      <w:r>
        <w:rPr>
          <w:rFonts w:ascii="Calibri" w:hAnsi="Calibri"/>
        </w:rPr>
        <w:t xml:space="preserve">Os bins são calculados com d3.bin() com 28 intervalos, usando como domínio fixo os extremos do dataset completo (antes de qualquer filtro), garantindo que o eixo horizontal permanece estável durante as interações e que comparações entre seleções distintas são visualmente fidedignas. Uma linha vermelha tracejada assinala a média do preço na seleção atual e o seu valor é exibido em legenda inline junto à linha. A remoção de outliers de preço por IQR (fator 1,5) foi aplicada em pré-processamento, evitando que </w:t>
      </w:r>
      <w:r>
        <w:rPr>
          <w:rFonts w:ascii="Calibri" w:hAnsi="Calibri"/>
        </w:rPr>
        <w:t>valores extremos distorçam a escala e reduzam a resolução visual das barras centrais. Cada barra responde ao hover com um tooltip que apresenta o intervalo de preço e a contagem detalhada por tipo de construção.</w:t>
      </w:r>
    </w:p>
    <w:p w14:paraId="412E9D70" w14:textId="77777777" w:rsidR="008C6003" w:rsidRDefault="007C6AE7">
      <w:pPr>
        <w:spacing w:after="0"/>
      </w:pPr>
      <w:r>
        <w:br w:type="page"/>
      </w:r>
    </w:p>
    <w:p w14:paraId="345AAA8E" w14:textId="77777777" w:rsidR="008C6003" w:rsidRDefault="007C6AE7">
      <w:pPr>
        <w:pBdr>
          <w:bottom w:val="single" w:sz="12" w:space="4" w:color="2C3E7A"/>
        </w:pBdr>
        <w:spacing w:after="120"/>
      </w:pPr>
      <w:r>
        <w:rPr>
          <w:rFonts w:ascii="Calibri" w:hAnsi="Calibri"/>
          <w:color w:val="555555"/>
          <w:sz w:val="18"/>
        </w:rPr>
        <w:lastRenderedPageBreak/>
        <w:t xml:space="preserve">Secção 5  </w:t>
      </w:r>
      <w:r>
        <w:rPr>
          <w:rFonts w:ascii="Calibri" w:hAnsi="Calibri"/>
          <w:b/>
          <w:color w:val="2C3E7A"/>
          <w:sz w:val="32"/>
        </w:rPr>
        <w:t>Gráfico 4 — Proporção com Piscina por Zona</w:t>
      </w:r>
    </w:p>
    <w:p w14:paraId="64CD844A" w14:textId="70734768" w:rsidR="008C6003" w:rsidRDefault="00C767FE">
      <w:pPr>
        <w:spacing w:before="40" w:after="280"/>
        <w:jc w:val="center"/>
      </w:pPr>
      <w:r>
        <w:rPr>
          <w:noProof/>
        </w:rPr>
        <w:drawing>
          <wp:inline distT="0" distB="0" distL="0" distR="0" wp14:anchorId="11874CC2" wp14:editId="3384C5A7">
            <wp:extent cx="5760720" cy="3704590"/>
            <wp:effectExtent l="0" t="0" r="0" b="0"/>
            <wp:docPr id="13531943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94348" name=""/>
                    <pic:cNvPicPr/>
                  </pic:nvPicPr>
                  <pic:blipFill>
                    <a:blip r:embed="rId9"/>
                    <a:stretch>
                      <a:fillRect/>
                    </a:stretch>
                  </pic:blipFill>
                  <pic:spPr>
                    <a:xfrm>
                      <a:off x="0" y="0"/>
                      <a:ext cx="5760720" cy="3704590"/>
                    </a:xfrm>
                    <a:prstGeom prst="rect">
                      <a:avLst/>
                    </a:prstGeom>
                  </pic:spPr>
                </pic:pic>
              </a:graphicData>
            </a:graphic>
          </wp:inline>
        </w:drawing>
      </w:r>
      <w:proofErr w:type="spellStart"/>
      <w:r w:rsidR="007C6AE7">
        <w:rPr>
          <w:rFonts w:ascii="Calibri" w:hAnsi="Calibri"/>
          <w:b/>
          <w:color w:val="1A1A2E"/>
          <w:sz w:val="18"/>
        </w:rPr>
        <w:t>Figura</w:t>
      </w:r>
      <w:proofErr w:type="spellEnd"/>
      <w:r w:rsidR="007C6AE7">
        <w:rPr>
          <w:rFonts w:ascii="Calibri" w:hAnsi="Calibri"/>
          <w:b/>
          <w:color w:val="1A1A2E"/>
          <w:sz w:val="18"/>
        </w:rPr>
        <w:t xml:space="preserve"> 5</w:t>
      </w:r>
      <w:r w:rsidR="007C6AE7">
        <w:rPr>
          <w:rFonts w:ascii="Calibri" w:hAnsi="Calibri"/>
          <w:i/>
          <w:color w:val="555555"/>
          <w:sz w:val="18"/>
        </w:rPr>
        <w:t xml:space="preserve"> — </w:t>
      </w:r>
      <w:proofErr w:type="spellStart"/>
      <w:r w:rsidR="007C6AE7">
        <w:rPr>
          <w:rFonts w:ascii="Calibri" w:hAnsi="Calibri"/>
          <w:i/>
          <w:color w:val="555555"/>
          <w:sz w:val="18"/>
        </w:rPr>
        <w:t>Esboço</w:t>
      </w:r>
      <w:proofErr w:type="spellEnd"/>
      <w:r w:rsidR="007C6AE7">
        <w:rPr>
          <w:rFonts w:ascii="Calibri" w:hAnsi="Calibri"/>
          <w:i/>
          <w:color w:val="555555"/>
          <w:sz w:val="18"/>
        </w:rPr>
        <w:t xml:space="preserve"> do quarto gráfico</w:t>
      </w:r>
    </w:p>
    <w:p w14:paraId="3B58FA9A" w14:textId="6F1198C1" w:rsidR="008C6003" w:rsidRDefault="007C6AE7">
      <w:pPr>
        <w:spacing w:line="280" w:lineRule="exact"/>
        <w:jc w:val="both"/>
      </w:pPr>
      <w:r>
        <w:rPr>
          <w:rFonts w:ascii="Calibri" w:hAnsi="Calibri"/>
        </w:rPr>
        <w:t xml:space="preserve">O quarto gráfico investiga a relação entre a zona geográfica (cityPartRange) e a presença de piscina (hasPool), procurando perceber se a distribuição desta comodidade de luxo é uniforme ou concentrada em zonas específicas. Optou-se por um </w:t>
      </w:r>
      <w:proofErr w:type="spellStart"/>
      <w:r>
        <w:rPr>
          <w:rFonts w:ascii="Calibri" w:hAnsi="Calibri"/>
        </w:rPr>
        <w:t>gráfico</w:t>
      </w:r>
      <w:proofErr w:type="spellEnd"/>
      <w:r>
        <w:rPr>
          <w:rFonts w:ascii="Calibri" w:hAnsi="Calibri"/>
        </w:rPr>
        <w:t xml:space="preserve"> de barras</w:t>
      </w:r>
      <w:r w:rsidR="00C767FE">
        <w:rPr>
          <w:rFonts w:ascii="Calibri" w:hAnsi="Calibri"/>
        </w:rPr>
        <w:t xml:space="preserve"> </w:t>
      </w:r>
      <w:proofErr w:type="spellStart"/>
      <w:r>
        <w:rPr>
          <w:rFonts w:ascii="Calibri" w:hAnsi="Calibri"/>
        </w:rPr>
        <w:t>empilhad</w:t>
      </w:r>
      <w:r w:rsidR="00C767FE">
        <w:rPr>
          <w:rFonts w:ascii="Calibri" w:hAnsi="Calibri"/>
        </w:rPr>
        <w:t>o</w:t>
      </w:r>
      <w:proofErr w:type="spellEnd"/>
      <w:r>
        <w:rPr>
          <w:rFonts w:ascii="Calibri" w:hAnsi="Calibri"/>
        </w:rPr>
        <w:t xml:space="preserve"> (normalized stacked bar chart), em que cada barra representa uma zona e a sua altura total equivale sempre a 100% da amostra local. O segmento azul codifica a proporção de imóveis com piscina e o segmento cinzento a proporção sem piscina. Esta escolha visual elimina o efeito do tamanho absoluto de cada zona e foca a leitura nas proporções relativas, tornando imediatamente comparáveis as diferenças estruturais entre zonas.</w:t>
      </w:r>
    </w:p>
    <w:p w14:paraId="5F92B91D" w14:textId="77777777" w:rsidR="008C6003" w:rsidRDefault="007C6AE7">
      <w:pPr>
        <w:spacing w:line="280" w:lineRule="exact"/>
        <w:jc w:val="both"/>
      </w:pPr>
      <w:r>
        <w:rPr>
          <w:rFonts w:ascii="Calibri" w:hAnsi="Calibri"/>
        </w:rPr>
        <w:t>O eixo vertical utiliza d3.scaleLinear() com domínio [0, 1] e formatação em percentagem, enquanto o eixo horizontal usa d3.scaleBand() com padding de 0,25. Os valores percentuais são impressos dentro do segmento azul sempre que a proporção supera 4%, garantindo legibilidade mesmo em segmentos de dimensão reduzida. A legenda foi posicionada no interior da área do gráfico, no canto superior direito, para evitar sobreposição com os rótulos dos eixos. Tal como nos restantes gráficos, as barras respondem ao hove</w:t>
      </w:r>
      <w:r>
        <w:rPr>
          <w:rFonts w:ascii="Calibri" w:hAnsi="Calibri"/>
        </w:rPr>
        <w:t>r com tooltips que apresentam a zona, a proporção exata com e sem piscina e o número total de imóveis que compõem a seleção atual, permitindo avaliar a representatividade estatística de cada barra em tempo real.</w:t>
      </w:r>
    </w:p>
    <w:sectPr w:rsidR="008C6003"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102578957">
    <w:abstractNumId w:val="8"/>
  </w:num>
  <w:num w:numId="2" w16cid:durableId="1117986320">
    <w:abstractNumId w:val="6"/>
  </w:num>
  <w:num w:numId="3" w16cid:durableId="226186522">
    <w:abstractNumId w:val="5"/>
  </w:num>
  <w:num w:numId="4" w16cid:durableId="1684428946">
    <w:abstractNumId w:val="4"/>
  </w:num>
  <w:num w:numId="5" w16cid:durableId="1479961322">
    <w:abstractNumId w:val="7"/>
  </w:num>
  <w:num w:numId="6" w16cid:durableId="1667395705">
    <w:abstractNumId w:val="3"/>
  </w:num>
  <w:num w:numId="7" w16cid:durableId="390544556">
    <w:abstractNumId w:val="2"/>
  </w:num>
  <w:num w:numId="8" w16cid:durableId="1904094991">
    <w:abstractNumId w:val="1"/>
  </w:num>
  <w:num w:numId="9" w16cid:durableId="1310941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4737"/>
    <w:rsid w:val="008C6003"/>
    <w:rsid w:val="00AA1D8D"/>
    <w:rsid w:val="00B47730"/>
    <w:rsid w:val="00C767F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01E0F5"/>
  <w14:defaultImageDpi w14:val="300"/>
  <w15:docId w15:val="{5161344E-3298-412B-91F4-439724DF7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1195</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Diogo Ferreira</cp:lastModifiedBy>
  <cp:revision>2</cp:revision>
  <dcterms:created xsi:type="dcterms:W3CDTF">2013-12-23T23:15:00Z</dcterms:created>
  <dcterms:modified xsi:type="dcterms:W3CDTF">2026-06-08T11:26:00Z</dcterms:modified>
  <cp:category/>
</cp:coreProperties>
</file>