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0F2B46" w14:textId="77777777" w:rsidR="003211B4" w:rsidRDefault="003211B4" w:rsidP="003211B4">
      <w:pPr>
        <w:jc w:val="both"/>
      </w:pPr>
      <w:r>
        <w:t xml:space="preserve">18-Set-2025 </w:t>
      </w:r>
      <w:proofErr w:type="spellStart"/>
      <w:r>
        <w:t>Dr</w:t>
      </w:r>
      <w:proofErr w:type="spellEnd"/>
      <w:r>
        <w:t>(a). Rui Valente (HUC-UROLOGIA)</w:t>
      </w:r>
    </w:p>
    <w:p w14:paraId="003ADCBA" w14:textId="77777777" w:rsidR="003211B4" w:rsidRDefault="003211B4" w:rsidP="003211B4">
      <w:pPr>
        <w:jc w:val="both"/>
      </w:pPr>
      <w:r>
        <w:t>71A, vigilância Ca próstata pós-prostatectomia radical 2022. AP: adenocarcinoma próstata sob bloqueio hormonal, DM2, HTA, DPOC moderada; ex-fumador. Sem intercorrências urológicas desde última observação.</w:t>
      </w:r>
    </w:p>
    <w:p w14:paraId="46B0B07B" w14:textId="77777777" w:rsidR="003211B4" w:rsidRDefault="003211B4" w:rsidP="003211B4">
      <w:pPr>
        <w:jc w:val="both"/>
      </w:pPr>
      <w:r>
        <w:t xml:space="preserve">Assintomático. Sem hematúria macroscópica, disúria, </w:t>
      </w:r>
      <w:proofErr w:type="spellStart"/>
      <w:r>
        <w:t>polaquiúria</w:t>
      </w:r>
      <w:proofErr w:type="spellEnd"/>
      <w:r>
        <w:t xml:space="preserve">, urgência ou dor pélvica/perineal. Continência mantida, sem necessidade de pensos. </w:t>
      </w:r>
      <w:proofErr w:type="spellStart"/>
      <w:r>
        <w:t>Noctúria</w:t>
      </w:r>
      <w:proofErr w:type="spellEnd"/>
      <w:r>
        <w:t xml:space="preserve"> ocasional 1x/noite, antiga, sem agravamento e sem impacto funcional relevante. Sem febre, lombalgia, dor óssea, perda ponderal ou queixas constitucionais. Mantém disfunção erétil, previsível no contexto pós-cirúrgico e de privação androgénica; sem desejo de terapêutica dirigida nesta fase.</w:t>
      </w:r>
    </w:p>
    <w:p w14:paraId="5A9F17F5" w14:textId="77777777" w:rsidR="003211B4" w:rsidRDefault="003211B4" w:rsidP="003211B4">
      <w:pPr>
        <w:jc w:val="both"/>
      </w:pPr>
      <w:r>
        <w:t xml:space="preserve">MH: </w:t>
      </w:r>
      <w:proofErr w:type="spellStart"/>
      <w:r>
        <w:t>bicalutamida</w:t>
      </w:r>
      <w:proofErr w:type="spellEnd"/>
      <w:r>
        <w:t xml:space="preserve"> 50 mg id, mantida; restante terapêutica crónica sem alterações referidas.</w:t>
      </w:r>
    </w:p>
    <w:p w14:paraId="1CEDFE12" w14:textId="77777777" w:rsidR="003211B4" w:rsidRDefault="003211B4" w:rsidP="003211B4">
      <w:pPr>
        <w:jc w:val="both"/>
      </w:pPr>
      <w:r>
        <w:t xml:space="preserve">EO: bom estado geral, eupneico em repouso. TA 132/74 mmHg, FC 76 </w:t>
      </w:r>
      <w:proofErr w:type="spellStart"/>
      <w:r>
        <w:t>bpm</w:t>
      </w:r>
      <w:proofErr w:type="spellEnd"/>
      <w:r>
        <w:t xml:space="preserve">, SpO2 96% AA, T 36,4ºC. Abdómen plano, depressível, indolor, sem massas ou globo vesical. Sem edema MMII. TR: esfíncter </w:t>
      </w:r>
      <w:proofErr w:type="spellStart"/>
      <w:r>
        <w:t>normotónico</w:t>
      </w:r>
      <w:proofErr w:type="spellEnd"/>
      <w:r>
        <w:t xml:space="preserve">; loja prostática vazia, sem </w:t>
      </w:r>
      <w:proofErr w:type="spellStart"/>
      <w:r>
        <w:t>nodularidade</w:t>
      </w:r>
      <w:proofErr w:type="spellEnd"/>
      <w:r>
        <w:t>, induração ou dor; ampola rectal sem sangue.</w:t>
      </w:r>
    </w:p>
    <w:p w14:paraId="2AD1F196" w14:textId="77777777" w:rsidR="003211B4" w:rsidRDefault="003211B4" w:rsidP="003211B4">
      <w:pPr>
        <w:jc w:val="both"/>
      </w:pPr>
      <w:proofErr w:type="spellStart"/>
      <w:r>
        <w:t>MCDTs</w:t>
      </w:r>
      <w:proofErr w:type="spellEnd"/>
      <w:r>
        <w:t xml:space="preserve">: PSA total 18/09/2025 &lt;0,01 </w:t>
      </w:r>
      <w:proofErr w:type="spellStart"/>
      <w:r>
        <w:t>ng</w:t>
      </w:r>
      <w:proofErr w:type="spellEnd"/>
      <w:r>
        <w:t>/</w:t>
      </w:r>
      <w:proofErr w:type="spellStart"/>
      <w:r>
        <w:t>mL</w:t>
      </w:r>
      <w:proofErr w:type="spellEnd"/>
      <w:r>
        <w:t xml:space="preserve">, previamente &lt;0,01 </w:t>
      </w:r>
      <w:proofErr w:type="spellStart"/>
      <w:r>
        <w:t>ng</w:t>
      </w:r>
      <w:proofErr w:type="spellEnd"/>
      <w:r>
        <w:t>/</w:t>
      </w:r>
      <w:proofErr w:type="spellStart"/>
      <w:r>
        <w:t>mL</w:t>
      </w:r>
      <w:proofErr w:type="spellEnd"/>
      <w:r>
        <w:t xml:space="preserve"> em 14/03/2025; sem tendência ascendente, sem critérios de recidiva bioquímica. Testosterona total em níveis de castração, 0,18 </w:t>
      </w:r>
      <w:proofErr w:type="spellStart"/>
      <w:r>
        <w:t>ng</w:t>
      </w:r>
      <w:proofErr w:type="spellEnd"/>
      <w:r>
        <w:t>/</w:t>
      </w:r>
      <w:proofErr w:type="spellStart"/>
      <w:r>
        <w:t>mL</w:t>
      </w:r>
      <w:proofErr w:type="spellEnd"/>
      <w:r>
        <w:t>. Creatinina 0,94 mg/</w:t>
      </w:r>
      <w:proofErr w:type="spellStart"/>
      <w:r>
        <w:t>dL</w:t>
      </w:r>
      <w:proofErr w:type="spellEnd"/>
      <w:r>
        <w:t xml:space="preserve">, </w:t>
      </w:r>
      <w:proofErr w:type="spellStart"/>
      <w:r>
        <w:t>TFGe</w:t>
      </w:r>
      <w:proofErr w:type="spellEnd"/>
      <w:r>
        <w:t xml:space="preserve"> 85 </w:t>
      </w:r>
      <w:proofErr w:type="spellStart"/>
      <w:r>
        <w:t>mL</w:t>
      </w:r>
      <w:proofErr w:type="spellEnd"/>
      <w:r>
        <w:t xml:space="preserve">/min/1,73m2. </w:t>
      </w:r>
      <w:proofErr w:type="spellStart"/>
      <w:r>
        <w:t>Hb</w:t>
      </w:r>
      <w:proofErr w:type="spellEnd"/>
      <w:r>
        <w:t xml:space="preserve"> 14,1 g/</w:t>
      </w:r>
      <w:proofErr w:type="spellStart"/>
      <w:r>
        <w:t>dL</w:t>
      </w:r>
      <w:proofErr w:type="spellEnd"/>
      <w:r>
        <w:t xml:space="preserve">, leucócitos 7,2x10^9/L, plaquetas 238x10^9/L. Urina II sem hematúria, </w:t>
      </w:r>
      <w:proofErr w:type="spellStart"/>
      <w:r>
        <w:t>leucocitúria</w:t>
      </w:r>
      <w:proofErr w:type="spellEnd"/>
      <w:r>
        <w:t xml:space="preserve">, nitritos ou proteinúria; glicose positiva no contexto de </w:t>
      </w:r>
      <w:proofErr w:type="spellStart"/>
      <w:r>
        <w:t>empagliflozina</w:t>
      </w:r>
      <w:proofErr w:type="spellEnd"/>
      <w:r>
        <w:t>.</w:t>
      </w:r>
    </w:p>
    <w:p w14:paraId="2D88DEB0" w14:textId="1F616BA0" w:rsidR="00D0043C" w:rsidRDefault="003211B4" w:rsidP="003211B4">
      <w:pPr>
        <w:jc w:val="both"/>
      </w:pPr>
      <w:r>
        <w:t xml:space="preserve">Ca próstata pós-PR, sob hormonoterapia, PSA indetetável. Sem evidência clínica ou bioquímica de recidiva. Manter </w:t>
      </w:r>
      <w:proofErr w:type="spellStart"/>
      <w:r>
        <w:t>bicalutamida</w:t>
      </w:r>
      <w:proofErr w:type="spellEnd"/>
      <w:r>
        <w:t xml:space="preserve"> 50 mg id. Sem indicação </w:t>
      </w:r>
      <w:proofErr w:type="spellStart"/>
      <w:r>
        <w:t>actual</w:t>
      </w:r>
      <w:proofErr w:type="spellEnd"/>
      <w:r>
        <w:t xml:space="preserve"> para abordagem farmacológica/invasiva da DE; reavaliar se alteração de preferência. PSA total e testosterona antes da próxima consulta, em 6 meses. Orientado para contacto precoce se hematúria, dor óssea persistente, sintomas urinários novos ou agravamento clínico.</w:t>
      </w:r>
    </w:p>
    <w:p w14:paraId="513E57F9" w14:textId="77777777" w:rsidR="003211B4" w:rsidRDefault="003211B4" w:rsidP="003211B4">
      <w:pPr>
        <w:jc w:val="both"/>
      </w:pPr>
    </w:p>
    <w:p w14:paraId="3458C39F" w14:textId="77777777" w:rsidR="003211B4" w:rsidRDefault="003211B4" w:rsidP="003211B4">
      <w:pPr>
        <w:jc w:val="both"/>
      </w:pPr>
      <w:r>
        <w:t xml:space="preserve">04-Fev-2026 </w:t>
      </w:r>
      <w:proofErr w:type="spellStart"/>
      <w:r>
        <w:t>Dr</w:t>
      </w:r>
      <w:proofErr w:type="spellEnd"/>
      <w:r>
        <w:t>(a). Luís Mendonça (HUC-PNEUMOLOGIA)</w:t>
      </w:r>
    </w:p>
    <w:p w14:paraId="0440827D" w14:textId="77777777" w:rsidR="003211B4" w:rsidRDefault="003211B4" w:rsidP="003211B4">
      <w:pPr>
        <w:jc w:val="both"/>
      </w:pPr>
      <w:r>
        <w:t xml:space="preserve">71A, ex-fumador ~40 UMA, cessação 2019. DPOC moderada; HTA, DM2, Ca próstata pós-prostatectomia sob hormonoterapia. Reavaliação pós-exacerbação tratada SU em Jan/2026. Refere melhoria progressiva desde então. Sem dispneia em repouso, sem ortopneia ou dor torácica. Dispneia apenas para esforços moderados, semelhante basal. Tosse produtiva residual, </w:t>
      </w:r>
      <w:proofErr w:type="spellStart"/>
      <w:r>
        <w:t>expectoração</w:t>
      </w:r>
      <w:proofErr w:type="spellEnd"/>
      <w:r>
        <w:t xml:space="preserve"> </w:t>
      </w:r>
      <w:proofErr w:type="spellStart"/>
      <w:r>
        <w:t>mucóide</w:t>
      </w:r>
      <w:proofErr w:type="spellEnd"/>
      <w:r>
        <w:t xml:space="preserve"> escassa, em diminuição; sem hemoptises, febre ou arrepios. Sem nova ida ao SU, sem necessidade </w:t>
      </w:r>
      <w:proofErr w:type="spellStart"/>
      <w:r>
        <w:t>actual</w:t>
      </w:r>
      <w:proofErr w:type="spellEnd"/>
      <w:r>
        <w:t xml:space="preserve"> de SABA além do habitual.</w:t>
      </w:r>
    </w:p>
    <w:p w14:paraId="142C2289" w14:textId="77777777" w:rsidR="003211B4" w:rsidRDefault="003211B4" w:rsidP="003211B4">
      <w:pPr>
        <w:jc w:val="both"/>
      </w:pPr>
      <w:r>
        <w:lastRenderedPageBreak/>
        <w:t xml:space="preserve">MH: </w:t>
      </w:r>
      <w:proofErr w:type="spellStart"/>
      <w:r>
        <w:t>ti</w:t>
      </w:r>
      <w:r>
        <w:rPr>
          <w:rFonts w:ascii="Nirmala UI" w:hAnsi="Nirmala UI" w:cs="Nirmala UI"/>
        </w:rPr>
        <w:t>ोट</w:t>
      </w:r>
      <w:r>
        <w:t>rópio</w:t>
      </w:r>
      <w:proofErr w:type="spellEnd"/>
      <w:r>
        <w:t xml:space="preserve"> 18 </w:t>
      </w:r>
      <w:proofErr w:type="spellStart"/>
      <w:r>
        <w:t>mcg</w:t>
      </w:r>
      <w:proofErr w:type="spellEnd"/>
      <w:r>
        <w:t xml:space="preserve"> id </w:t>
      </w:r>
      <w:proofErr w:type="spellStart"/>
      <w:r>
        <w:t>inal</w:t>
      </w:r>
      <w:proofErr w:type="spellEnd"/>
      <w:r>
        <w:t>., salbutamol SOS. Refere adesão regular e técnica inalatória aparentemente adequada; revistos passos de utilização. Mantém abstinência tabágica.</w:t>
      </w:r>
    </w:p>
    <w:p w14:paraId="325A3924" w14:textId="77777777" w:rsidR="003211B4" w:rsidRDefault="003211B4" w:rsidP="003211B4">
      <w:pPr>
        <w:jc w:val="both"/>
      </w:pPr>
      <w:r>
        <w:t xml:space="preserve">EO: apirético, TA 132/74 mmHg, FC 78 </w:t>
      </w:r>
      <w:proofErr w:type="spellStart"/>
      <w:r>
        <w:t>bpm</w:t>
      </w:r>
      <w:proofErr w:type="spellEnd"/>
      <w:r>
        <w:t>, SpO2 95% AA. Sem uso de musculatura acessória, discurso fluente. AP: MV globalmente diminuído, expiração discretamente prolongada; sem sibilos audíveis, sem fervores focais. Sem edemas periféricos.</w:t>
      </w:r>
    </w:p>
    <w:p w14:paraId="508BE014" w14:textId="77777777" w:rsidR="003211B4" w:rsidRDefault="003211B4" w:rsidP="003211B4">
      <w:pPr>
        <w:jc w:val="both"/>
      </w:pPr>
      <w:r>
        <w:t xml:space="preserve">Espirometria controlo: qualidade aceitável/reprodutível. CVF 3,18 L (82% previsto), VEMS 1,62 L (57% previsto), VEMS/CVF 0,51, compatível com defeito </w:t>
      </w:r>
      <w:proofErr w:type="spellStart"/>
      <w:r>
        <w:t>ventilatório</w:t>
      </w:r>
      <w:proofErr w:type="spellEnd"/>
      <w:r>
        <w:t xml:space="preserve"> obstrutivo moderado. Curva fluxo-volume com concavidade expiratória. Após broncodilatador, VEMS 1,68 L, variação +60 </w:t>
      </w:r>
      <w:proofErr w:type="spellStart"/>
      <w:r>
        <w:t>mL</w:t>
      </w:r>
      <w:proofErr w:type="spellEnd"/>
      <w:r>
        <w:t>/+4%, sem resposta broncodilatadora significativa. Comparativamente a estudo de 03/2025, sem alteração funcional relevante; VEMS pré-BD então 1,66 L, CVF 3,22 L. Sem evidência funcional de restrição.</w:t>
      </w:r>
    </w:p>
    <w:p w14:paraId="6E01BE0B" w14:textId="77777777" w:rsidR="003211B4" w:rsidRDefault="003211B4" w:rsidP="003211B4">
      <w:pPr>
        <w:jc w:val="both"/>
      </w:pPr>
      <w:r>
        <w:t xml:space="preserve">Revista TAC torácica prévia: parênquima com alterações enfisematosas </w:t>
      </w:r>
      <w:proofErr w:type="spellStart"/>
      <w:r>
        <w:t>centrolobulares</w:t>
      </w:r>
      <w:proofErr w:type="spellEnd"/>
      <w:r>
        <w:t xml:space="preserve"> ligeiras, predominando lobos superiores, sem condensações, vidro despolido ou derrame pleural. Nódulo sólido </w:t>
      </w:r>
      <w:proofErr w:type="spellStart"/>
      <w:r>
        <w:t>subpleural</w:t>
      </w:r>
      <w:proofErr w:type="spellEnd"/>
      <w:r>
        <w:t xml:space="preserve"> no segmento posterior LSD, 4 mm, margens regulares, mantém dimensões e morfologia face a exame anterior. Sem novos nódulos suspeitos. Sem adenopatias mediastínicas/hilares de significado patológico. Vias aéreas centrais permeáveis; sem lesão </w:t>
      </w:r>
      <w:proofErr w:type="spellStart"/>
      <w:r>
        <w:t>endobrônquica</w:t>
      </w:r>
      <w:proofErr w:type="spellEnd"/>
      <w:r>
        <w:t xml:space="preserve"> identificável. Mantém vigilância imagiológica programada, TAC baixa dose conforme calendário.</w:t>
      </w:r>
    </w:p>
    <w:p w14:paraId="2A052BE7" w14:textId="06C5F13E" w:rsidR="003211B4" w:rsidRDefault="003211B4" w:rsidP="003211B4">
      <w:pPr>
        <w:jc w:val="both"/>
      </w:pPr>
      <w:r>
        <w:t xml:space="preserve">DPOC clinicamente em recuperação pós-exacerbação, sem critérios </w:t>
      </w:r>
      <w:proofErr w:type="spellStart"/>
      <w:r>
        <w:t>actuais</w:t>
      </w:r>
      <w:proofErr w:type="spellEnd"/>
      <w:r>
        <w:t xml:space="preserve"> para </w:t>
      </w:r>
      <w:proofErr w:type="spellStart"/>
      <w:r>
        <w:t>corticoterapia</w:t>
      </w:r>
      <w:proofErr w:type="spellEnd"/>
      <w:r>
        <w:t xml:space="preserve">/ATB. Manter </w:t>
      </w:r>
      <w:proofErr w:type="spellStart"/>
      <w:r>
        <w:t>tiotrópio</w:t>
      </w:r>
      <w:proofErr w:type="spellEnd"/>
      <w:r>
        <w:t xml:space="preserve"> 18 </w:t>
      </w:r>
      <w:proofErr w:type="spellStart"/>
      <w:r>
        <w:t>mcg</w:t>
      </w:r>
      <w:proofErr w:type="spellEnd"/>
      <w:r>
        <w:t xml:space="preserve"> id e salbutamol SOS, sem escalonamento inalatório nesta fase. Reforçada vacinação antigripal anual e antipneumocócica, confirmar </w:t>
      </w:r>
      <w:proofErr w:type="spellStart"/>
      <w:r>
        <w:t>actualização</w:t>
      </w:r>
      <w:proofErr w:type="spellEnd"/>
      <w:r>
        <w:t xml:space="preserve"> no CSP. Alertado para agravamento de dispneia, aumento/purulência da </w:t>
      </w:r>
      <w:proofErr w:type="spellStart"/>
      <w:r>
        <w:t>expectoração</w:t>
      </w:r>
      <w:proofErr w:type="spellEnd"/>
      <w:r>
        <w:t>, febre ou hemoptises. Reavaliação Pneumologia em 6 meses, com espirometria; antecipar se intercorrência.</w:t>
      </w:r>
    </w:p>
    <w:p w14:paraId="7ADE5C1B" w14:textId="77777777" w:rsidR="003211B4" w:rsidRDefault="003211B4" w:rsidP="003211B4">
      <w:pPr>
        <w:jc w:val="both"/>
      </w:pPr>
    </w:p>
    <w:p w14:paraId="2F46A058" w14:textId="77777777" w:rsidR="003211B4" w:rsidRDefault="003211B4" w:rsidP="003211B4">
      <w:pPr>
        <w:jc w:val="both"/>
      </w:pPr>
      <w:r>
        <w:t xml:space="preserve">12-Jun-2026 </w:t>
      </w:r>
      <w:proofErr w:type="spellStart"/>
      <w:r>
        <w:t>Dr</w:t>
      </w:r>
      <w:proofErr w:type="spellEnd"/>
      <w:r>
        <w:t>(a). Luís Filipe Matos (HUC-OFTALMOLOGIA)</w:t>
      </w:r>
    </w:p>
    <w:p w14:paraId="3E04A2C9" w14:textId="43822889" w:rsidR="003211B4" w:rsidRDefault="003211B4" w:rsidP="003211B4">
      <w:pPr>
        <w:jc w:val="both"/>
      </w:pPr>
      <w:r>
        <w:t xml:space="preserve">Refere visão turva ocasional, flutuante, sobretudo para longe/fim do dia; sem dor ocular, hiperemia, metamorfopsias, diplopia ou escotomas. AV </w:t>
      </w:r>
      <w:proofErr w:type="spellStart"/>
      <w:r>
        <w:t>cc</w:t>
      </w:r>
      <w:proofErr w:type="spellEnd"/>
      <w:r>
        <w:t xml:space="preserve"> OD 9/10, OE 9/10. PIO 15/16 mmHg. </w:t>
      </w:r>
      <w:proofErr w:type="spellStart"/>
      <w:r>
        <w:t>Biomicroscopia</w:t>
      </w:r>
      <w:proofErr w:type="spellEnd"/>
      <w:r>
        <w:t xml:space="preserve">: córnea transparente, CA formada e tranquila; cristalinos com discreta esclerose nuclear e opacidades corticais iniciais </w:t>
      </w:r>
      <w:proofErr w:type="spellStart"/>
      <w:r>
        <w:t>bilat</w:t>
      </w:r>
      <w:proofErr w:type="spellEnd"/>
      <w:r>
        <w:t xml:space="preserve">., sem impacto funcional relevante. Fundo ocular sem alterações agudas. Catarata incipiente OU; sem indicação cirúrgica.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correcção</w:t>
      </w:r>
      <w:proofErr w:type="spellEnd"/>
      <w:r>
        <w:t xml:space="preserve"> </w:t>
      </w:r>
      <w:proofErr w:type="spellStart"/>
      <w:r>
        <w:t>óptica</w:t>
      </w:r>
      <w:proofErr w:type="spellEnd"/>
      <w:r>
        <w:t xml:space="preserve"> se necessário, vigilância anual/PRN agravamento.</w:t>
      </w:r>
    </w:p>
    <w:sectPr w:rsidR="003211B4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FFA4E0" w14:textId="77777777" w:rsidR="007705AB" w:rsidRDefault="007705AB" w:rsidP="00932863">
      <w:pPr>
        <w:spacing w:after="0" w:line="240" w:lineRule="auto"/>
      </w:pPr>
      <w:r>
        <w:separator/>
      </w:r>
    </w:p>
  </w:endnote>
  <w:endnote w:type="continuationSeparator" w:id="0">
    <w:p w14:paraId="27BF513B" w14:textId="77777777" w:rsidR="007705AB" w:rsidRDefault="007705AB" w:rsidP="00932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9772C5" w14:textId="77777777" w:rsidR="00932863" w:rsidRPr="00932863" w:rsidRDefault="00932863" w:rsidP="00932863">
    <w:pPr>
      <w:rPr>
        <w:sz w:val="16"/>
        <w:szCs w:val="16"/>
      </w:rPr>
    </w:pPr>
    <w:r w:rsidRPr="00932863">
      <w:rPr>
        <w:sz w:val="16"/>
        <w:szCs w:val="16"/>
      </w:rPr>
      <w:t xml:space="preserve">Processado por computador - </w:t>
    </w:r>
    <w:proofErr w:type="spellStart"/>
    <w:r w:rsidRPr="00932863">
      <w:rPr>
        <w:sz w:val="16"/>
        <w:szCs w:val="16"/>
      </w:rPr>
      <w:t>SClínico</w:t>
    </w:r>
    <w:proofErr w:type="spellEnd"/>
  </w:p>
  <w:p w14:paraId="3DB63D17" w14:textId="56546F8F" w:rsidR="00932863" w:rsidRPr="00932863" w:rsidRDefault="00932863" w:rsidP="00932863">
    <w:pPr>
      <w:rPr>
        <w:sz w:val="16"/>
        <w:szCs w:val="16"/>
      </w:rPr>
    </w:pPr>
    <w:r w:rsidRPr="00932863">
      <w:rPr>
        <w:sz w:val="16"/>
        <w:szCs w:val="16"/>
      </w:rPr>
      <w:t xml:space="preserve">                                                                    </w:t>
    </w:r>
    <w:proofErr w:type="spellStart"/>
    <w:r w:rsidRPr="00932863">
      <w:rPr>
        <w:sz w:val="16"/>
        <w:szCs w:val="16"/>
      </w:rPr>
      <w:t>Pag</w:t>
    </w:r>
    <w:proofErr w:type="spellEnd"/>
    <w:r w:rsidRPr="00932863">
      <w:rPr>
        <w:sz w:val="16"/>
        <w:szCs w:val="16"/>
      </w:rPr>
      <w:t>. 1 /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FA00B2" w14:textId="77777777" w:rsidR="007705AB" w:rsidRDefault="007705AB" w:rsidP="00932863">
      <w:pPr>
        <w:spacing w:after="0" w:line="240" w:lineRule="auto"/>
      </w:pPr>
      <w:r>
        <w:separator/>
      </w:r>
    </w:p>
  </w:footnote>
  <w:footnote w:type="continuationSeparator" w:id="0">
    <w:p w14:paraId="4A0C12AB" w14:textId="77777777" w:rsidR="007705AB" w:rsidRDefault="007705AB" w:rsidP="00932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5227C5" w14:textId="77777777" w:rsidR="00932863" w:rsidRDefault="00932863" w:rsidP="00932863">
    <w:r w:rsidRPr="00D0043C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617A536D" wp14:editId="2CDF6712">
          <wp:simplePos x="0" y="0"/>
          <wp:positionH relativeFrom="margin">
            <wp:align>left</wp:align>
          </wp:positionH>
          <wp:positionV relativeFrom="paragraph">
            <wp:posOffset>29</wp:posOffset>
          </wp:positionV>
          <wp:extent cx="2212975" cy="861060"/>
          <wp:effectExtent l="0" t="0" r="0" b="0"/>
          <wp:wrapTight wrapText="bothSides">
            <wp:wrapPolygon edited="0">
              <wp:start x="0" y="0"/>
              <wp:lineTo x="0" y="21027"/>
              <wp:lineTo x="21383" y="21027"/>
              <wp:lineTo x="21383" y="0"/>
              <wp:lineTo x="0" y="0"/>
            </wp:wrapPolygon>
          </wp:wrapTight>
          <wp:docPr id="45205383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3358" cy="872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043C">
      <w:rPr>
        <w:b/>
        <w:bCs/>
      </w:rPr>
      <w:t>NOME COMPPLETO PACIENTE</w:t>
    </w:r>
    <w:r>
      <w:br/>
      <w:t xml:space="preserve">SEXO    </w:t>
    </w:r>
    <w:proofErr w:type="spellStart"/>
    <w:r>
      <w:t>Dta</w:t>
    </w:r>
    <w:proofErr w:type="spellEnd"/>
    <w:r>
      <w:t xml:space="preserve"> </w:t>
    </w:r>
    <w:proofErr w:type="spellStart"/>
    <w:r>
      <w:t>Nasc</w:t>
    </w:r>
    <w:proofErr w:type="spellEnd"/>
    <w:r>
      <w:t>: XXXX-XX-XX  (XX anos)   *XXXX*</w:t>
    </w:r>
    <w:r>
      <w:br/>
      <w:t>LOCALIDADE</w:t>
    </w:r>
    <w:r>
      <w:br/>
      <w:t>CÓDIGO POSTAL</w:t>
    </w:r>
  </w:p>
  <w:p w14:paraId="5ECC5F8B" w14:textId="77777777" w:rsidR="00932863" w:rsidRDefault="00932863" w:rsidP="00932863">
    <w:r>
      <w:t xml:space="preserve">  </w:t>
    </w:r>
    <w:r>
      <w:br/>
    </w:r>
    <w:r w:rsidRPr="00D0043C">
      <w:rPr>
        <w:b/>
        <w:bCs/>
        <w:sz w:val="36"/>
        <w:szCs w:val="36"/>
      </w:rPr>
      <w:t>Diário Clínico</w:t>
    </w:r>
    <w:r>
      <w:t xml:space="preserve"> </w:t>
    </w:r>
    <w:r>
      <w:br/>
    </w:r>
    <w:r w:rsidRPr="00D0043C">
      <w:rPr>
        <w:b/>
        <w:bCs/>
      </w:rPr>
      <w:t>Consulta Externa</w:t>
    </w:r>
  </w:p>
  <w:p w14:paraId="57FAAAA9" w14:textId="77777777" w:rsidR="00932863" w:rsidRDefault="0093286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43C"/>
    <w:rsid w:val="00111971"/>
    <w:rsid w:val="002B374D"/>
    <w:rsid w:val="002E0E78"/>
    <w:rsid w:val="003211B4"/>
    <w:rsid w:val="00701136"/>
    <w:rsid w:val="007705AB"/>
    <w:rsid w:val="00877213"/>
    <w:rsid w:val="008A7935"/>
    <w:rsid w:val="00932863"/>
    <w:rsid w:val="009C08BD"/>
    <w:rsid w:val="00A04DA5"/>
    <w:rsid w:val="00A813AC"/>
    <w:rsid w:val="00AB6E50"/>
    <w:rsid w:val="00B71085"/>
    <w:rsid w:val="00B7566A"/>
    <w:rsid w:val="00C05514"/>
    <w:rsid w:val="00D0043C"/>
    <w:rsid w:val="00DD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A6482"/>
  <w15:chartTrackingRefBased/>
  <w15:docId w15:val="{A453D87B-4185-442F-8758-41B29B99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E78"/>
  </w:style>
  <w:style w:type="paragraph" w:styleId="Ttulo1">
    <w:name w:val="heading 1"/>
    <w:basedOn w:val="Normal"/>
    <w:next w:val="Normal"/>
    <w:link w:val="Ttulo1Carter"/>
    <w:uiPriority w:val="9"/>
    <w:qFormat/>
    <w:rsid w:val="00D00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00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00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00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00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00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00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00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00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00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00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00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004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0043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004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0043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004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004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00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00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00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00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00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004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043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004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00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0043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004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9328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32863"/>
  </w:style>
  <w:style w:type="paragraph" w:styleId="Rodap">
    <w:name w:val="footer"/>
    <w:basedOn w:val="Normal"/>
    <w:link w:val="RodapCarter"/>
    <w:uiPriority w:val="99"/>
    <w:unhideWhenUsed/>
    <w:rsid w:val="009328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32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772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Rodrigues Dos Santos</dc:creator>
  <cp:keywords/>
  <dc:description/>
  <cp:lastModifiedBy>Diogo Filipe Rodrigues Dos Santos</cp:lastModifiedBy>
  <cp:revision>5</cp:revision>
  <dcterms:created xsi:type="dcterms:W3CDTF">2026-08-19T12:51:00Z</dcterms:created>
  <dcterms:modified xsi:type="dcterms:W3CDTF">2026-08-19T20:56:00Z</dcterms:modified>
</cp:coreProperties>
</file>