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CVE-2019-3929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1 - Caracterização do CVE escolhido na semana #2: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Identificação: descrição geral da vulnerabilidade, incluindo aplicações/sistemas operativos relevantes (max 4 itens com 20 palavras cada)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Catalogação: o que se sabe sobre o seu reporting, quem, quando, como, bug-bounty, nível de gravidade, etc. (max 4 itens com 20 palavras cada)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Exploit: descrever que tipo de exploit é conhecido e que tipo de automação existe, e.g., no Metasploit (max 4 itens com 20 palavras cada)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Ataques: descrever relatos de utilização desta vulnerabilidade para ataques bem sucedidos e/ou potencial para causar danos (max 4 itens com 20 palavras cada)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2 - Discussão do CVE escolhido na semana #2 CVE na aula TP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3 - Registo da caracterização anterior em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rtl w:val="0"/>
        </w:rPr>
        <w:t xml:space="preserve">LOGBOOK3.md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no repo gitlab do grupo.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“””deve dar para identificação</w:t>
        <w:br w:type="textWrapping"/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The vulnerability is due to insufficient sanitizing of user supplied inputs in the application when parsing HTTP requests. A remote attacker may be able to exploit this to execute arbitrary code within the context of the application, via a crafted request.</w:t>
      </w:r>
      <w:r w:rsidDel="00000000" w:rsidR="00000000" w:rsidRPr="00000000">
        <w:rPr>
          <w:rtl w:val="0"/>
        </w:rPr>
        <w:br w:type="textWrapping"/>
        <w:t xml:space="preserve">“””</w:t>
        <w:br w:type="textWrapping"/>
        <w:br w:type="textWrapping"/>
        <w:t xml:space="preserve">“””</w:t>
        <w:br w:type="textWrapping"/>
      </w:r>
      <w:r w:rsidDel="00000000" w:rsidR="00000000" w:rsidRPr="00000000">
        <w:rPr>
          <w:rFonts w:ascii="Roboto" w:cs="Roboto" w:eastAsia="Roboto" w:hAnsi="Roboto"/>
          <w:color w:val="777779"/>
          <w:sz w:val="24"/>
          <w:szCs w:val="24"/>
          <w:rtl w:val="0"/>
        </w:rPr>
        <w:t xml:space="preserve">A remote, unauthenticated attacker can execute operating system commands as root via crafted requests to the HTTP endpoint file_transfer.cgi.</w:t>
      </w:r>
      <w:r w:rsidDel="00000000" w:rsidR="00000000" w:rsidRPr="00000000">
        <w:rPr>
          <w:rtl w:val="0"/>
        </w:rPr>
        <w:br w:type="textWrapping"/>
        <w:t xml:space="preserve">“””</w:t>
        <w:br w:type="textWrapping"/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Primeiro ponto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 Injection, a remote, unauthenticated attacker can use this vulnerability to execute operating system commands as root.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Cataloguing: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Autor: METASPLOIT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Date: 30/04/2019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How: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Severity level: 9.8 according to NIST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Exploit: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https://www.exploit-db.com/exploits/46786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Attacks: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Successful attacks: The Crestron AM-100 firmware 1.6.0.2, Crestron AM-101 firmware 2.7.0.1, Barco wePresent WiPG-1000P firmware 2.3.0.10 etc.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Documented example of an attack: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https://www.fortiguard.com/encyclopedia/ips/47830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rtiguard.com/encyclopedia/ips/4783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