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525572">
        <w:rPr>
          <w:rFonts w:ascii="Times New Roman" w:hAnsi="Times New Roman"/>
          <w:sz w:val="22"/>
          <w:szCs w:val="20"/>
          <w:lang w:val="en-GB"/>
        </w:rPr>
        <w:t xml:space="preserve"> bars active, 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Pr>
          <w:rFonts w:ascii="Times New Roman" w:hAnsi="Times New Roman"/>
          <w:sz w:val="22"/>
          <w:szCs w:val="20"/>
          <w:lang w:val="en-GB"/>
        </w:rPr>
        <w:t>,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 a penalty is added by the repair function to the overall weight of the structure, over 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 xml:space="preserve">tonnes) from the real structure is added to the fitness returned by the EC3 checks with weight penalties added, the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on figure 2.4 is its modularity, by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 a completely different structure, that abides other design codes can be optimised by the algorithm. Also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w:t>
      </w:r>
      <w:r w:rsidR="006F3E92">
        <w:rPr>
          <w:rFonts w:ascii="Times New Roman" w:hAnsi="Times New Roman"/>
          <w:sz w:val="22"/>
          <w:szCs w:val="20"/>
          <w:lang w:val="en-GB"/>
        </w:rPr>
        <w:lastRenderedPageBreak/>
        <w:t xml:space="preserve">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rPr>
          <w:rFonts w:ascii="Times New Roman" w:hAnsi="Times New Roman"/>
          <w:sz w:val="22"/>
          <w:szCs w:val="20"/>
          <w:lang w:val="en-GB"/>
        </w:rPr>
      </w:pPr>
      <w:r>
        <w:t xml:space="preserve">Fig. 4.3 – </w:t>
      </w:r>
      <w:proofErr w:type="spellStart"/>
      <w:r>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 xml:space="preserve">his constant gives more control over the mutation in certain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A731F7"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Pr>
          <w:rFonts w:ascii="Times New Roman" w:hAnsi="Times New Roman"/>
          <w:sz w:val="22"/>
          <w:szCs w:val="20"/>
          <w:lang w:val="en-GB"/>
        </w:rPr>
        <w:t>:</w:t>
      </w:r>
    </w:p>
    <w:p w:rsidR="00E4545F" w:rsidRDefault="00E4545F" w:rsidP="00F32A10">
      <w:pPr>
        <w:spacing w:after="120" w:line="280" w:lineRule="atLeast"/>
        <w:jc w:val="both"/>
        <w:rPr>
          <w:rFonts w:ascii="Times New Roman" w:hAnsi="Times New Roman"/>
          <w:sz w:val="22"/>
          <w:szCs w:val="20"/>
          <w:lang w:val="en-GB"/>
        </w:rPr>
      </w:pPr>
    </w:p>
    <w:p w:rsidR="00E4545F" w:rsidRDefault="00E4545F" w:rsidP="00F32A10">
      <w:pPr>
        <w:spacing w:after="120" w:line="280" w:lineRule="atLeast"/>
        <w:jc w:val="both"/>
        <w:rPr>
          <w:rFonts w:ascii="Times New Roman" w:hAnsi="Times New Roman"/>
          <w:sz w:val="22"/>
          <w:szCs w:val="20"/>
          <w:lang w:val="en-GB"/>
        </w:rPr>
      </w:pPr>
    </w:p>
    <w:p w:rsidR="00FD2D66" w:rsidRDefault="00FD2D66" w:rsidP="00F32A10">
      <w:pPr>
        <w:spacing w:after="120" w:line="280" w:lineRule="atLeast"/>
        <w:jc w:val="both"/>
        <w:rPr>
          <w:rFonts w:ascii="Times New Roman" w:hAnsi="Times New Roman"/>
          <w:sz w:val="22"/>
          <w:szCs w:val="20"/>
          <w:lang w:val="en-GB"/>
        </w:rPr>
      </w:pPr>
    </w:p>
    <w:p w:rsidR="00FD2D66" w:rsidRPr="00C23C31" w:rsidRDefault="00FD2D66"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&amp;&amp; y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- 1; j &gt;=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Pr="00C23C31"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Pr="00C23C3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Pr>
          <w:rFonts w:ascii="Times New Roman" w:hAnsi="Times New Roman"/>
          <w:sz w:val="22"/>
          <w:szCs w:val="22"/>
          <w:lang w:val="en-GB"/>
        </w:rPr>
        <w:t>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C23C31" w:rsidRDefault="00E9575F" w:rsidP="00FE11A4">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E02FC2"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Pr>
          <w:rFonts w:ascii="Times New Roman" w:hAnsi="Times New Roman"/>
          <w:sz w:val="22"/>
          <w:szCs w:val="22"/>
          <w:lang w:val="en-GB"/>
        </w:rPr>
        <w:t>igure 4.4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A72C7">
      <w:pPr>
        <w:pStyle w:val="Caption"/>
      </w:pPr>
      <w:r>
        <w:t>Fig. 4.4</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Pr="00C23C31"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 is used by the next function called by the Evaluate routine, this function stores 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 bars – based on the U/f, this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 xml:space="preserve">hen that occurs the </w:t>
      </w:r>
      <w:proofErr w:type="gramStart"/>
      <w:r>
        <w:rPr>
          <w:rFonts w:ascii="Times New Roman" w:hAnsi="Times New Roman"/>
          <w:sz w:val="22"/>
          <w:szCs w:val="22"/>
          <w:lang w:val="en-GB"/>
        </w:rPr>
        <w:t>bar</w:t>
      </w:r>
      <w:proofErr w:type="gramEnd"/>
      <w:r>
        <w:rPr>
          <w:rFonts w:ascii="Times New Roman" w:hAnsi="Times New Roman"/>
          <w:sz w:val="22"/>
          <w:szCs w:val="22"/>
          <w:lang w:val="en-GB"/>
        </w:rPr>
        <w:t xml:space="preserve"> 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DA72C7" w:rsidRPr="00C23C31" w:rsidRDefault="00DA72C7"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lastRenderedPageBreak/>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szCs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urnament selection was also straight-</w:t>
      </w:r>
      <w:r w:rsidR="00171B27">
        <w:rPr>
          <w:rFonts w:ascii="Times New Roman" w:hAnsi="Times New Roman"/>
          <w:sz w:val="22"/>
          <w:szCs w:val="22"/>
          <w:lang w:val="en-GB"/>
        </w:rPr>
        <w:t xml:space="preserve"> 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Pr="00C23C31"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om having the largest section a</w:t>
      </w:r>
      <w:r w:rsidR="009A682B">
        <w:rPr>
          <w:rFonts w:ascii="Times New Roman" w:hAnsi="Times New Roman"/>
          <w:sz w:val="22"/>
          <w:szCs w:val="22"/>
          <w:lang w:val="en-GB"/>
        </w:rPr>
        <w:t xml:space="preserve">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proofErr w:type="gramStart"/>
      <w:r w:rsidR="003B5598">
        <w:rPr>
          <w:rFonts w:ascii="Times New Roman" w:hAnsi="Times New Roman"/>
          <w:sz w:val="22"/>
          <w:szCs w:val="22"/>
          <w:lang w:val="en-GB"/>
        </w:rPr>
        <w:t>S</w:t>
      </w:r>
      <w:r w:rsidR="0032578E">
        <w:rPr>
          <w:rFonts w:ascii="Times New Roman" w:hAnsi="Times New Roman"/>
          <w:sz w:val="22"/>
          <w:szCs w:val="22"/>
          <w:lang w:val="en-GB"/>
        </w:rPr>
        <w:t>pecifically</w:t>
      </w:r>
      <w:proofErr w:type="gramEnd"/>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orithm can try on the structure, after defining the gaussian distribution,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Pr="00DA72C7">
        <w:rPr>
          <w:lang w:val="en-GB"/>
        </w:rPr>
        <w:t>.5</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Pr>
          <w:rFonts w:ascii="Times New Roman" w:hAnsi="Times New Roman"/>
          <w:sz w:val="22"/>
          <w:szCs w:val="22"/>
          <w:lang w:val="en-GB"/>
        </w:rPr>
        <w:t xml:space="preserve"> was used:</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lastRenderedPageBreak/>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w:t>
      </w:r>
      <w:bookmarkStart w:id="0" w:name="_GoBack"/>
      <w:bookmarkEnd w:id="0"/>
      <w:r w:rsidRPr="00873A50">
        <w:rPr>
          <w:rFonts w:cs="Arial"/>
          <w:szCs w:val="20"/>
          <w:lang w:val="en-GB"/>
        </w:rPr>
        <w:t>ge</w:t>
      </w:r>
      <w:proofErr w:type="spellEnd"/>
    </w:p>
    <w:p w:rsidR="00F31BCE" w:rsidRDefault="00F31BCE" w:rsidP="00CC39E3">
      <w:pPr>
        <w:rPr>
          <w:rFonts w:cs="Arial"/>
          <w:szCs w:val="20"/>
          <w:lang w:val="en-GB"/>
        </w:rPr>
      </w:pPr>
    </w:p>
    <w:p w:rsidR="00F31BCE" w:rsidRPr="00CC39E3" w:rsidRDefault="00E02FC2" w:rsidP="00CC39E3">
      <w:pPr>
        <w:rPr>
          <w:rFonts w:cs="Arial"/>
          <w:szCs w:val="20"/>
          <w:lang w:val="en-GB"/>
        </w:rPr>
      </w:pPr>
      <w:hyperlink r:id="rId12" w:history="1">
        <w:r w:rsidR="00F31BCE" w:rsidRPr="00623BF6">
          <w:rPr>
            <w:rStyle w:val="Hyperlink"/>
            <w:rFonts w:cs="Arial"/>
            <w:szCs w:val="20"/>
            <w:lang w:val="en-GB"/>
          </w:rPr>
          <w:t>http://www.nashcoding.com/2010/07/07/evolutionary-algorithms-the-little-things-youd-never-guess-part-1/</w:t>
        </w:r>
      </w:hyperlink>
      <w:r w:rsidR="00F31BCE">
        <w:rPr>
          <w:rFonts w:cs="Arial"/>
          <w:szCs w:val="20"/>
          <w:lang w:val="en-GB"/>
        </w:rPr>
        <w:t xml:space="preserve"> (</w:t>
      </w:r>
      <w:proofErr w:type="spellStart"/>
      <w:r w:rsidR="00F31BCE">
        <w:rPr>
          <w:rFonts w:cs="Arial"/>
          <w:szCs w:val="20"/>
          <w:lang w:val="en-GB"/>
        </w:rPr>
        <w:t>acedido</w:t>
      </w:r>
      <w:proofErr w:type="spellEnd"/>
      <w:r w:rsidR="00F31BCE">
        <w:rPr>
          <w:rFonts w:cs="Arial"/>
          <w:szCs w:val="20"/>
          <w:lang w:val="en-GB"/>
        </w:rPr>
        <w:t xml:space="preserve"> a 20/05/2017)</w:t>
      </w:r>
    </w:p>
    <w:sectPr w:rsidR="00F31BCE"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8B3" w:rsidRDefault="00A608B3">
      <w:r>
        <w:separator/>
      </w:r>
    </w:p>
  </w:endnote>
  <w:endnote w:type="continuationSeparator" w:id="0">
    <w:p w:rsidR="00A608B3" w:rsidRDefault="00A6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FC2" w:rsidRPr="00807B98" w:rsidRDefault="00E02FC2" w:rsidP="00255CB7">
    <w:pPr>
      <w:pStyle w:val="Footer"/>
    </w:pPr>
    <w:r>
      <w:rPr>
        <w:rStyle w:val="PageNumber"/>
      </w:rPr>
      <w:fldChar w:fldCharType="begin"/>
    </w:r>
    <w:r>
      <w:rPr>
        <w:rStyle w:val="PageNumber"/>
      </w:rPr>
      <w:instrText xml:space="preserve"> PAGE </w:instrText>
    </w:r>
    <w:r>
      <w:rPr>
        <w:rStyle w:val="PageNumber"/>
      </w:rPr>
      <w:fldChar w:fldCharType="separate"/>
    </w:r>
    <w:r w:rsidR="003B5598">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FC2" w:rsidRPr="00274E3F" w:rsidRDefault="00E02FC2"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3B5598">
      <w:rPr>
        <w:rStyle w:val="PageNumber"/>
        <w:noProof/>
      </w:rPr>
      <w:t>35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8B3" w:rsidRDefault="00A608B3">
      <w:r>
        <w:separator/>
      </w:r>
    </w:p>
  </w:footnote>
  <w:footnote w:type="continuationSeparator" w:id="0">
    <w:p w:rsidR="00A608B3" w:rsidRDefault="00A60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E02FC2">
      <w:tc>
        <w:tcPr>
          <w:tcW w:w="9211" w:type="dxa"/>
        </w:tcPr>
        <w:p w:rsidR="00E02FC2" w:rsidRDefault="00E02FC2"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E02FC2" w:rsidRDefault="00E02FC2"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E02FC2">
      <w:tc>
        <w:tcPr>
          <w:tcW w:w="9211" w:type="dxa"/>
        </w:tcPr>
        <w:p w:rsidR="00E02FC2" w:rsidRDefault="00E02FC2"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E02FC2" w:rsidRDefault="00E02F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217A"/>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737B8"/>
    <w:rsid w:val="002B2CE0"/>
    <w:rsid w:val="002C1132"/>
    <w:rsid w:val="002D2F75"/>
    <w:rsid w:val="002F2A00"/>
    <w:rsid w:val="002F5412"/>
    <w:rsid w:val="0030705E"/>
    <w:rsid w:val="003217D1"/>
    <w:rsid w:val="0032578E"/>
    <w:rsid w:val="00330CA2"/>
    <w:rsid w:val="003366F1"/>
    <w:rsid w:val="003370FC"/>
    <w:rsid w:val="003410A2"/>
    <w:rsid w:val="00352AB8"/>
    <w:rsid w:val="003536E4"/>
    <w:rsid w:val="00364C77"/>
    <w:rsid w:val="0039044A"/>
    <w:rsid w:val="0039646D"/>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5E5C"/>
    <w:rsid w:val="004B12B8"/>
    <w:rsid w:val="004E55E2"/>
    <w:rsid w:val="00501478"/>
    <w:rsid w:val="00525572"/>
    <w:rsid w:val="00530E59"/>
    <w:rsid w:val="005666E3"/>
    <w:rsid w:val="00586674"/>
    <w:rsid w:val="005B7A1E"/>
    <w:rsid w:val="005C6018"/>
    <w:rsid w:val="005D5B2A"/>
    <w:rsid w:val="005E260A"/>
    <w:rsid w:val="005E3613"/>
    <w:rsid w:val="006317A6"/>
    <w:rsid w:val="0067080C"/>
    <w:rsid w:val="006A500B"/>
    <w:rsid w:val="006D4BB6"/>
    <w:rsid w:val="006E5465"/>
    <w:rsid w:val="006F3E92"/>
    <w:rsid w:val="006F73A1"/>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C01C7"/>
    <w:rsid w:val="008C1B9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A5F5E"/>
    <w:rsid w:val="00BD2D55"/>
    <w:rsid w:val="00C23C31"/>
    <w:rsid w:val="00C4245E"/>
    <w:rsid w:val="00C45191"/>
    <w:rsid w:val="00C74FF0"/>
    <w:rsid w:val="00C8795B"/>
    <w:rsid w:val="00CA3348"/>
    <w:rsid w:val="00CC39E3"/>
    <w:rsid w:val="00CE1E96"/>
    <w:rsid w:val="00CE2162"/>
    <w:rsid w:val="00CE7C48"/>
    <w:rsid w:val="00D35D7F"/>
    <w:rsid w:val="00D46A15"/>
    <w:rsid w:val="00D5263A"/>
    <w:rsid w:val="00D670DC"/>
    <w:rsid w:val="00D732B2"/>
    <w:rsid w:val="00D81469"/>
    <w:rsid w:val="00D9629B"/>
    <w:rsid w:val="00DA72C7"/>
    <w:rsid w:val="00DF6F92"/>
    <w:rsid w:val="00DF7110"/>
    <w:rsid w:val="00E02FC2"/>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DB46"/>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hcoding.com/2010/07/07/evolutionary-algorithms-the-little-things-youd-never-guess-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1999</TotalTime>
  <Pages>14</Pages>
  <Words>5183</Words>
  <Characters>27989</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77</cp:revision>
  <dcterms:created xsi:type="dcterms:W3CDTF">2012-11-02T12:09:00Z</dcterms:created>
  <dcterms:modified xsi:type="dcterms:W3CDTF">2017-06-11T10:22:00Z</dcterms:modified>
</cp:coreProperties>
</file>