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AE015" w14:textId="77777777" w:rsidR="00F2445C" w:rsidRDefault="00AD7F6E">
      <w:pPr>
        <w:pStyle w:val="Ttulo"/>
      </w:pPr>
      <w:r>
        <w:rPr>
          <w:rFonts w:ascii="Times New Roman" w:hAnsi="Times New Roman" w:eastAsia="Times New Roman" w:cs="Times New Roman"/>
        </w:rPr>
        <w:t>Quando o carbono indica recuperação funcional de solos da Caatinga</w:t>
      </w:r>
    </w:p>
    <w:p w14:paraId="77E350C7" w14:textId="77777777" w:rsidR="00F2445C" w:rsidRDefault="00AD7F6E">
      <w:pPr>
        <w:pStyle w:val="Subttulo"/>
      </w:pPr>
      <w:r>
        <w:rPr>
          <w:rFonts w:ascii="Times New Roman" w:hAnsi="Times New Roman" w:eastAsia="Times New Roman" w:cs="Times New Roman"/>
        </w:rPr>
        <w:t>Biomassa e fosfatases na avaliação da restauração com exclusão do pastejo</w:t>
      </w:r>
    </w:p>
    <w:p w14:paraId="669EE99D" w14:textId="77777777" w:rsidR="00F2445C" w:rsidRDefault="00AD7F6E">
      <w:r>
        <w:rPr>
          <w:rFonts w:ascii="Times New Roman" w:hAnsi="Times New Roman" w:eastAsia="Times New Roman" w:cs="Times New Roman"/>
          <w:sz w:val="21"/>
        </w:rPr>
        <w:t>UFAPE  |  Direcionamento atualizado em 20/10/2026 para a reunião de 21/10/2026</w:t>
      </w:r>
    </w:p>
    <w:p w14:paraId="797507AB" w14:textId="77777777" w:rsidR="00F2445C" w:rsidRDefault="00AD7F6E">
      <w:pPr>
        <w:pStyle w:val="Ttulo1"/>
      </w:pPr>
      <w:r>
        <w:rPr>
          <w:rFonts w:ascii="Times New Roman" w:hAnsi="Times New Roman" w:eastAsia="Times New Roman" w:cs="Times New Roman"/>
        </w:rPr>
        <w:t>1. Direção científica e pergunta central</w:t>
      </w:r>
    </w:p>
    <w:p w14:paraId="19B430F2" w14:textId="77777777" w:rsidR="00F2445C" w:rsidRDefault="00AD7F6E">
      <w:pPr>
        <w:jc w:val="both"/>
      </w:pPr>
      <w:r>
        <w:rPr>
          <w:rFonts w:ascii="Times New Roman" w:hAnsi="Times New Roman" w:eastAsia="Times New Roman" w:cs="Times New Roman"/>
        </w:rPr>
        <w:t>Vamos escrever uma revisão narrativa crítica sobre as condições em que o ganho de carbono acompanha a recuperação funcional dos solos da Caatinga. O núcleo regional será a restauração por exclusão do pastejo. Experimentos com resíduos e compostos, microcosmos e estudos de outros ambientes contribuirão para explicar mecanismos, sempre com contexto e limites explícitos. A contribuição científica proposta é uma matriz de convergências e discordâncias entre compartimentos de carbono, indicadores microbianos e aquisição de fósforo, condicionada pela água, pelo solo e pelo método de medição.</w:t>
      </w:r>
    </w:p>
    <w:p w14:paraId="30C67747" w14:textId="77777777" w:rsidR="00F2445C" w:rsidRDefault="00AD7F6E">
      <w:pPr>
        <w:jc w:val="both"/>
      </w:pPr>
      <w:r>
        <w:rPr>
          <w:rFonts w:ascii="Times New Roman" w:hAnsi="Times New Roman" w:eastAsia="Times New Roman" w:cs="Times New Roman"/>
        </w:rPr>
        <w:t>Pergunta central: Em quais condições o aumento do carbono do solo acompanha recuperação da biomassa microbiana e dos processos biológicos de transformação de resíduos e aquisição de fósforo na Caatinga, e quais diferenças de água, solo e método explicam respostas discordantes?</w:t>
      </w:r>
    </w:p>
    <w:p w14:paraId="48DA9D95" w14:textId="77777777" w:rsidR="00F2445C" w:rsidRDefault="00AD7F6E">
      <w:pPr>
        <w:jc w:val="both"/>
      </w:pPr>
      <w:r>
        <w:rPr>
          <w:rFonts w:ascii="Times New Roman" w:hAnsi="Times New Roman" w:eastAsia="Times New Roman" w:cs="Times New Roman"/>
        </w:rPr>
        <w:t>A hipótese de interpretação é que o aumento isolado de carbono, biomassa, atividade enzimática ou abundância de genes não basta para diagnosticar recuperação funcional. A revisão deverá identificar quais combinações de medidas sustentam esse diagnóstico, quais divergem e quais dados faltam. Essa formulação orienta a síntese; não representa uma hipótese experimental já testada pela turma.</w:t>
      </w:r>
    </w:p>
    <w:p w14:paraId="05DC3F37" w14:textId="77777777" w:rsidR="00F2445C" w:rsidRDefault="00AD7F6E">
      <w:pPr>
        <w:jc w:val="both"/>
      </w:pPr>
      <w:r>
        <w:rPr>
          <w:rFonts w:ascii="Times New Roman" w:hAnsi="Times New Roman" w:eastAsia="Times New Roman" w:cs="Times New Roman"/>
        </w:rPr>
        <w:t>O eixo de integração será carbono–biomassa–fósforo. Nitrogênio, relação carbono/nitrogênio, granulometria, bases trocáveis e porosidade entram como condicionantes desse eixo. A rede ajuda a localizar conexões e lacunas, mas as cinco seções serão justificadas pelas perguntas e pelos resultados dos artigos, sem converter cada comunidade visual em um capítulo.</w:t>
      </w:r>
    </w:p>
    <w:p w14:paraId="6D71CB8A" w14:textId="77777777" w:rsidR="00F2445C" w:rsidRDefault="00AD7F6E">
      <w:pPr>
        <w:pStyle w:val="Ttulo1"/>
      </w:pPr>
      <w:r>
        <w:rPr>
          <w:rFonts w:ascii="Times New Roman" w:hAnsi="Times New Roman" w:eastAsia="Times New Roman" w:cs="Times New Roman"/>
        </w:rPr>
        <w:lastRenderedPageBreak/>
        <w:t>2. Descobertas que mudam a interpretação dos indicadores</w:t>
      </w:r>
    </w:p>
    <w:p w14:paraId="419A4D91" w14:textId="77777777" w:rsidR="00F2445C" w:rsidRDefault="00AD7F6E">
      <w:pPr>
        <w:pStyle w:val="Ttulo2"/>
      </w:pPr>
      <w:r>
        <w:rPr>
          <w:rFonts w:ascii="Times New Roman" w:hAnsi="Times New Roman" w:eastAsia="Times New Roman" w:cs="Times New Roman"/>
        </w:rPr>
        <w:t>Biomassa carbono e respiração</w:t>
      </w:r>
    </w:p>
    <w:p w14:paraId="579E84D2" w14:textId="77777777" w:rsidR="00F2445C" w:rsidRDefault="00AD7F6E">
      <w:pPr>
        <w:jc w:val="both"/>
      </w:pPr>
      <w:r>
        <w:rPr>
          <w:rFonts w:ascii="Times New Roman" w:hAnsi="Times New Roman" w:eastAsia="Times New Roman" w:cs="Times New Roman"/>
        </w:rPr>
        <w:t>Souza et al. (2025; R01) oferecem um caso regional diretamente útil ao argumento: o carbono da biomassa microbiana (CBM) apresentou associações positivas modestas com o carbono orgânico e seu estoque, mas não se correlacionou com a respiração basal do solo (RBS) nessa amostra. Portanto, um reservatório de biomassa e um fluxo respiratório podem responder de formas diferentes. Os quocientes que compartilham componentes nas fórmulas devem ser interpretados com atenção à dependência matemática; o quociente metabólico não mede diretamente a eficiência de uso do carbono.</w:t>
      </w:r>
    </w:p>
    <w:p w14:paraId="775A61A0" w14:textId="77777777" w:rsidR="00F2445C" w:rsidRDefault="00AD7F6E">
      <w:pPr>
        <w:pStyle w:val="Ttulo2"/>
      </w:pPr>
      <w:r>
        <w:rPr>
          <w:rFonts w:ascii="Times New Roman" w:hAnsi="Times New Roman" w:eastAsia="Times New Roman" w:cs="Times New Roman"/>
        </w:rPr>
        <w:t>Fosfatases e aquisição de fósforo</w:t>
      </w:r>
    </w:p>
    <w:p w14:paraId="61602232" w14:textId="77777777" w:rsidR="00F2445C" w:rsidRDefault="00AD7F6E">
      <w:pPr>
        <w:jc w:val="both"/>
      </w:pPr>
      <w:r>
        <w:rPr>
          <w:rFonts w:ascii="Times New Roman" w:hAnsi="Times New Roman" w:eastAsia="Times New Roman" w:cs="Times New Roman"/>
        </w:rPr>
        <w:t xml:space="preserve">Os três trabalhos de Silva et al. (2024; R02, R06 e R07) aproximam carbono, biomassa, enzimas e informação molecular em Irauçuba. Eles serão identificados também pelo periódico para evitar troca de fontes. No estudo de comunidades fúngicas, o ensaio de fosfatase foi executado em pH 6,5; a designação ácida segue o método, apesar da nomenclatura inconsistente em parte da discussão (R06). No estudo de genes, a relação com </w:t>
      </w:r>
      <w:r>
        <w:rPr>
          <w:rFonts w:ascii="Times New Roman" w:hAnsi="Times New Roman" w:eastAsia="Times New Roman" w:cs="Times New Roman"/>
          <w:i/>
        </w:rPr>
        <w:t>phoD</w:t>
      </w:r>
      <w:r>
        <w:rPr>
          <w:rFonts w:ascii="Times New Roman" w:hAnsi="Times New Roman" w:eastAsia="Times New Roman" w:cs="Times New Roman"/>
        </w:rPr>
        <w:t xml:space="preserve"> se refere à fosfatase alcalina (R07). Abundância de genes no ácido desoxirribonucleico (DNA), atividade enzimática potencial e fósforo absorvido pela planta não são medidas intercambiáveis.</w:t>
      </w:r>
    </w:p>
    <w:p w14:paraId="400CC7BC" w14:textId="77777777" w:rsidR="00F2445C" w:rsidRDefault="00AD7F6E">
      <w:pPr>
        <w:jc w:val="both"/>
      </w:pPr>
      <w:r>
        <w:rPr>
          <w:rFonts w:ascii="Times New Roman" w:hAnsi="Times New Roman" w:eastAsia="Times New Roman" w:cs="Times New Roman"/>
        </w:rPr>
        <w:t>Wanke et al. (2024; R04) relacionam a aplicação prolongada de composto a diferentes indicadores de transformação de fósforo em um experimento alemão. Jiang et al. (2024; R09) mostram, em floresta australiana, que maior aporte de carbono abaixo do solo pode coexistir com competição microbiana por fósforo e resposta vegetal limitada. São mecanismos complementares; não validam uma dose de composto nem um diagnóstico de deficiência para a Caatinga. A fosfatase ácida também pode ter origem radicular, além da microbiana.</w:t>
      </w:r>
    </w:p>
    <w:p w14:paraId="45573C88" w14:textId="77777777" w:rsidR="00F2445C" w:rsidRDefault="00AD7F6E">
      <w:pPr>
        <w:pStyle w:val="Ttulo2"/>
      </w:pPr>
      <w:r>
        <w:rPr>
          <w:rFonts w:ascii="Times New Roman" w:hAnsi="Times New Roman" w:eastAsia="Times New Roman" w:cs="Times New Roman"/>
        </w:rPr>
        <w:t>Granulometria porosidade e bases</w:t>
      </w:r>
    </w:p>
    <w:p w14:paraId="3EBA00F4" w14:textId="77777777" w:rsidR="00F2445C" w:rsidRDefault="00AD7F6E">
      <w:pPr>
        <w:jc w:val="both"/>
      </w:pPr>
      <w:r>
        <w:rPr>
          <w:rFonts w:ascii="Times New Roman" w:hAnsi="Times New Roman" w:eastAsia="Times New Roman" w:cs="Times New Roman"/>
        </w:rPr>
        <w:t>Vasconcelos et al. (2025; R13) permitem integrar granulometria, porosidade, frações orgânicas e CBM. A microporosidade foi determinada a 6 kPa e o CBM por irradiação–extração. Os usos comparados também diferem em classe de solo; medidas conjuntas ou uma ordenação multivariada não isolam o efeito do manejo nem fornecem automaticamente correlação pareada. Granulometria condiciona a interpretação das frações e da água, mas não substitui informação mineralógica ou curva de retenção.</w:t>
      </w:r>
    </w:p>
    <w:p w14:paraId="00C3586D" w14:textId="77777777" w:rsidR="00F2445C" w:rsidRDefault="00AD7F6E">
      <w:pPr>
        <w:jc w:val="both"/>
      </w:pPr>
      <w:r>
        <w:rPr>
          <w:rFonts w:ascii="Times New Roman" w:hAnsi="Times New Roman" w:eastAsia="Times New Roman" w:cs="Times New Roman"/>
        </w:rPr>
        <w:lastRenderedPageBreak/>
        <w:t>Macedo et al. (2023; R14) acrescentam uma conexão química verificável: soma de bases e capacidade de troca de cátions (CTC) estão relacionadas por definição. A tabela 2 permite conferir CTC efetiva = soma de bases + alumínio trocável e CTC potencial = soma de bases + acidez potencial. A área degradada teve maior saturação por bases apesar de menor soma de bases, com maior participação de sódio. Essa diferença impede interpretar saturação elevada como sinônimo de melhor condição química. Foram utilizados o protocolo químico e a tabela 2; a descrição inconsistente do quociente metabólico não foi incorporada.</w:t>
      </w:r>
    </w:p>
    <w:p w14:paraId="61240185" w14:textId="77777777" w:rsidR="00F2445C" w:rsidRDefault="00AD7F6E">
      <w:pPr>
        <w:pStyle w:val="Ttulo2"/>
      </w:pPr>
      <w:r>
        <w:rPr>
          <w:rFonts w:ascii="Times New Roman" w:hAnsi="Times New Roman" w:eastAsia="Times New Roman" w:cs="Times New Roman"/>
        </w:rPr>
        <w:t>Diversidade expressão gênica e crescimento</w:t>
      </w:r>
    </w:p>
    <w:p w14:paraId="3D5B46CD" w14:textId="77777777" w:rsidR="00F2445C" w:rsidRDefault="00AD7F6E">
      <w:pPr>
        <w:jc w:val="both"/>
      </w:pPr>
      <w:r>
        <w:rPr>
          <w:rFonts w:ascii="Times New Roman" w:hAnsi="Times New Roman" w:eastAsia="Times New Roman" w:cs="Times New Roman"/>
        </w:rPr>
        <w:t>Chuckran et al. (2025; R15) combinaram metatranscriptômica de ácido ribonucleico (RNA) e medida de crescimento bacteriano após reumedecimento de solo da Califórnia. A expressão de proteínas ribossomais não apresentou relação forte com a taxa de crescimento, embora a sequência temporal das respostas trouxesse correspondências. Ayala-Ortiz et al. (2025; R16) observaram no Arizona queda temporária e recuperação da diversidade alfa com composição relativamente estável. Esses achados sustentam a distinção entre diversidade, composição, transcrição e processo; não são resultados de restauração da Caatinga.</w:t>
      </w:r>
    </w:p>
    <w:p w14:paraId="71B7F299" w14:textId="77777777" w:rsidR="00F2445C" w:rsidRDefault="00AD7F6E">
      <w:pPr>
        <w:pStyle w:val="Ttulo2"/>
      </w:pPr>
      <w:r>
        <w:rPr>
          <w:rFonts w:ascii="Times New Roman" w:hAnsi="Times New Roman" w:eastAsia="Times New Roman" w:cs="Times New Roman"/>
        </w:rPr>
        <w:t>Agregação água e perda de solo</w:t>
      </w:r>
    </w:p>
    <w:p w14:paraId="38E2C667" w14:textId="77777777" w:rsidR="00F2445C" w:rsidRDefault="00AD7F6E">
      <w:pPr>
        <w:jc w:val="both"/>
      </w:pPr>
      <w:r>
        <w:rPr>
          <w:rFonts w:ascii="Times New Roman" w:hAnsi="Times New Roman" w:eastAsia="Times New Roman" w:cs="Times New Roman"/>
        </w:rPr>
        <w:t>Medeiros et al. (2023; R12) identificaram situações de maior agregação e menor estoque de carbono. O aumento de 5,4% apresentado em uma das comparações não foi estatisticamente significativo e não deve ser descrito como ganho comprovado. No estudo de Souza et al. (2023; R11), em Pesqueira, a vegetação nativa apresentou menor perda de solo que palma forrageira e barreiras de pedra. Os 35 eventos foram observados em 2009–2010, em declive de 9%; a publicação é de 2023. Eventos de chuva não equivalem a 35 réplicas espaciais independentes.</w:t>
      </w:r>
    </w:p>
    <w:p w14:paraId="6EE229C4" w14:textId="77777777" w:rsidR="00F2445C" w:rsidRDefault="00AD7F6E">
      <w:pPr>
        <w:jc w:val="both"/>
      </w:pPr>
      <w:r>
        <w:rPr>
          <w:rFonts w:ascii="Times New Roman" w:hAnsi="Times New Roman" w:eastAsia="Times New Roman" w:cs="Times New Roman"/>
        </w:rPr>
        <w:t>A ausência de diferença detectada em escoamento entre palma e Caatinga não comprovou proteção equivalente contra sedimentos. A perda de solo se associou ao escoamento e à concentração de sedimentos, mas não apresentou associação significativa com os atributos de chuva avaliados na tabela 5 (R11). Não há transitividade automática entre correlações. Esse estudo não mediu carbono, CBM ou fosfatases; sua ligação com o eixo do artigo será uma discussão de conservação, identificada como tal.</w:t>
      </w:r>
    </w:p>
    <w:p w14:paraId="756947ED" w14:textId="77777777" w:rsidR="00F2445C" w:rsidRDefault="00AD7F6E">
      <w:pPr>
        <w:pStyle w:val="Ttulo1"/>
      </w:pPr>
      <w:r>
        <w:rPr>
          <w:rFonts w:ascii="Times New Roman" w:hAnsi="Times New Roman" w:eastAsia="Times New Roman" w:cs="Times New Roman"/>
        </w:rPr>
        <w:lastRenderedPageBreak/>
        <w:t>3. Cinco tópicos complementares para a redação</w:t>
      </w:r>
    </w:p>
    <w:p w14:paraId="62F93586" w14:textId="77777777" w:rsidR="00F2445C" w:rsidRDefault="00AD7F6E">
      <w:pPr>
        <w:pStyle w:val="Ttulo2"/>
      </w:pPr>
      <w:r>
        <w:rPr>
          <w:rFonts w:ascii="Times New Roman" w:hAnsi="Times New Roman" w:eastAsia="Times New Roman" w:cs="Times New Roman"/>
        </w:rPr>
        <w:t>1. Quantidade e proteção do carbono</w:t>
      </w:r>
    </w:p>
    <w:p w14:paraId="0D873B36" w14:textId="77777777" w:rsidR="00F2445C" w:rsidRDefault="00AD7F6E">
      <w:pPr>
        <w:jc w:val="both"/>
      </w:pPr>
      <w:r>
        <w:rPr>
          <w:rFonts w:ascii="Times New Roman" w:hAnsi="Times New Roman" w:eastAsia="Times New Roman" w:cs="Times New Roman"/>
        </w:rPr>
        <w:t>Responsáveis: Alaideane Santana Santos (T1); Lili (T2).</w:t>
      </w:r>
    </w:p>
    <w:p w14:paraId="17F73ED1" w14:textId="77777777" w:rsidR="00F2445C" w:rsidRDefault="00AD7F6E">
      <w:pPr>
        <w:jc w:val="both"/>
      </w:pPr>
      <w:r>
        <w:rPr>
          <w:rFonts w:ascii="Times New Roman" w:hAnsi="Times New Roman" w:eastAsia="Times New Roman" w:cs="Times New Roman"/>
        </w:rPr>
        <w:t>Pergunta da seção: O que aumentou de fato: concentração, estoque comparável ou uma fração operacional?</w:t>
      </w:r>
    </w:p>
    <w:p w14:paraId="0331943F" w14:textId="77777777" w:rsidR="00F2445C" w:rsidRDefault="00AD7F6E">
      <w:pPr>
        <w:jc w:val="both"/>
      </w:pPr>
      <w:r>
        <w:rPr>
          <w:rFonts w:ascii="Times New Roman" w:hAnsi="Times New Roman" w:eastAsia="Times New Roman" w:cs="Times New Roman"/>
        </w:rPr>
        <w:t>A seção estabelecerá a base de comparação do artigo. Distinguir concentração de carbono, estoque corrigido por profundidade e massa de solo e frações obtidas por um procedimento operacional. Apresentar entradas e transformação sem identificar toda matéria orgânica particulada com carbono lábil ou toda fração fina com permanência longa. Primo et al. (R03) ajudam a discutir resíduos e formação de frações; o microcosmo úmido não demonstra persistência em campo. Medeiros et al. (R12) fornecem a comparação regional entre estoque e agregação. Canarini et al. (R05), em ambiente austríaco, delimitam a extrapolação de respostas à seca.</w:t>
      </w:r>
    </w:p>
    <w:p w14:paraId="2010F0D5" w14:textId="77777777" w:rsidR="00F2445C" w:rsidRDefault="00AD7F6E">
      <w:pPr>
        <w:jc w:val="both"/>
      </w:pPr>
      <w:r>
        <w:rPr>
          <w:rFonts w:ascii="Times New Roman" w:hAnsi="Times New Roman" w:eastAsia="Times New Roman" w:cs="Times New Roman"/>
        </w:rPr>
        <w:t>Produto esperado: Quadro de estoques e frações com método, profundidade e limite da inferência de persistência. Definir frações e bases de cálculo aqui. A seção seguinte utilizará essas definições para discutir interfaces minerais e fósforo.</w:t>
      </w:r>
    </w:p>
    <w:p w14:paraId="44F3DAD8" w14:textId="77777777" w:rsidR="00F2445C" w:rsidRDefault="00AD7F6E">
      <w:pPr>
        <w:pStyle w:val="Ttulo2"/>
      </w:pPr>
      <w:r>
        <w:rPr>
          <w:rFonts w:ascii="Times New Roman" w:hAnsi="Times New Roman" w:eastAsia="Times New Roman" w:cs="Times New Roman"/>
        </w:rPr>
        <w:t>2. Interfaces minerais e acesso ao fósforo</w:t>
      </w:r>
    </w:p>
    <w:p w14:paraId="5A1F7B8A" w14:textId="77777777" w:rsidR="00F2445C" w:rsidRDefault="00AD7F6E">
      <w:pPr>
        <w:jc w:val="both"/>
      </w:pPr>
      <w:r>
        <w:rPr>
          <w:rFonts w:ascii="Times New Roman" w:hAnsi="Times New Roman" w:eastAsia="Times New Roman" w:cs="Times New Roman"/>
        </w:rPr>
        <w:t>Responsáveis: Luana Gabryella (T3); Teteu (T4).</w:t>
      </w:r>
    </w:p>
    <w:p w14:paraId="04D34CA1" w14:textId="77777777" w:rsidR="00F2445C" w:rsidRDefault="00AD7F6E">
      <w:pPr>
        <w:jc w:val="both"/>
      </w:pPr>
      <w:r>
        <w:rPr>
          <w:rFonts w:ascii="Times New Roman" w:hAnsi="Times New Roman" w:eastAsia="Times New Roman" w:cs="Times New Roman"/>
        </w:rPr>
        <w:t>Pergunta da seção: Quando o carbono se associa a condições químicas favoráveis, e quando persistem restrições à aquisição de fósforo?</w:t>
      </w:r>
    </w:p>
    <w:p w14:paraId="392F7AC1" w14:textId="77777777" w:rsidR="00F2445C" w:rsidRDefault="00AD7F6E">
      <w:pPr>
        <w:jc w:val="both"/>
      </w:pPr>
      <w:r>
        <w:rPr>
          <w:rFonts w:ascii="Times New Roman" w:hAnsi="Times New Roman" w:eastAsia="Times New Roman" w:cs="Times New Roman"/>
        </w:rPr>
        <w:t>Concentrar grupos funcionais, superfícies, cargas, pH, alumínio e bases nas condições que aproximam proteção do carbono e acesso ao fósforo. A proposição de Lieberman et al. (R10) será identificada como opinião conceitual, confrontada com estudos primários. Macedo et al. (R14) oferecem um exemplo químico regional; Jiang et al. (R09) e Wanke et al. (R04) contribuem com processos externos. Separar CTC, condutividade elétrica, saturação por bases e disponibilidade de nutrientes.</w:t>
      </w:r>
    </w:p>
    <w:p w14:paraId="6D8515C7" w14:textId="77777777" w:rsidR="00F2445C" w:rsidRDefault="00AD7F6E">
      <w:pPr>
        <w:jc w:val="both"/>
      </w:pPr>
      <w:r>
        <w:rPr>
          <w:rFonts w:ascii="Times New Roman" w:hAnsi="Times New Roman" w:eastAsia="Times New Roman" w:cs="Times New Roman"/>
        </w:rPr>
        <w:t>Produto esperado: Quadro mecanismo–medida–explicação alternativa, considerando pH, cargas, insumo e formas de fósforo. Explicar condicionantes químicos sem repetir as frações da seção 1 nem antecipar toda a discussão dos ensaios enzimáticos da seção 4.</w:t>
      </w:r>
    </w:p>
    <w:p w14:paraId="25A16111" w14:textId="77777777" w:rsidR="00F2445C" w:rsidRDefault="00AD7F6E">
      <w:pPr>
        <w:pStyle w:val="Ttulo2"/>
      </w:pPr>
      <w:r>
        <w:rPr>
          <w:rFonts w:ascii="Times New Roman" w:hAnsi="Times New Roman" w:eastAsia="Times New Roman" w:cs="Times New Roman"/>
        </w:rPr>
        <w:t>3. Pulsos hídricos, agregação e conservação do solo</w:t>
      </w:r>
    </w:p>
    <w:p w14:paraId="3B1580B3" w14:textId="77777777" w:rsidR="00F2445C" w:rsidRDefault="00AD7F6E">
      <w:pPr>
        <w:jc w:val="both"/>
      </w:pPr>
      <w:r>
        <w:rPr>
          <w:rFonts w:ascii="Times New Roman" w:hAnsi="Times New Roman" w:eastAsia="Times New Roman" w:cs="Times New Roman"/>
        </w:rPr>
        <w:t>Responsáveis: Maria Alice Vitalino de Moraes (T5).</w:t>
      </w:r>
    </w:p>
    <w:p w14:paraId="42F71D5B" w14:textId="77777777" w:rsidR="00F2445C" w:rsidRDefault="00AD7F6E">
      <w:pPr>
        <w:jc w:val="both"/>
      </w:pPr>
      <w:r>
        <w:rPr>
          <w:rFonts w:ascii="Times New Roman" w:hAnsi="Times New Roman" w:eastAsia="Times New Roman" w:cs="Times New Roman"/>
        </w:rPr>
        <w:lastRenderedPageBreak/>
        <w:t>Pergunta da seção: Proteção do carbono, água explorável e retenção de sedimentos respondem da mesma forma ao manejo e à chuva?</w:t>
      </w:r>
    </w:p>
    <w:p w14:paraId="1D2E0D18" w14:textId="77777777" w:rsidR="00F2445C" w:rsidRDefault="00AD7F6E">
      <w:pPr>
        <w:jc w:val="both"/>
      </w:pPr>
      <w:r>
        <w:rPr>
          <w:rFonts w:ascii="Times New Roman" w:hAnsi="Times New Roman" w:eastAsia="Times New Roman" w:cs="Times New Roman"/>
        </w:rPr>
        <w:t>Organizar a síntese por seca, retorno da chuva e fase úmida. Relacionar cobertura, agregação, distribuição de poros, retenção de água, escoamento e exportação de sedimentos. Comparar R11, R12 e R13 respeitando sítio, classe de solo, profundidade, período e unidade experimental. Distinguir água retida de água explorável pelas plantas; a microporosidade isolada não quantifica água disponível.</w:t>
      </w:r>
    </w:p>
    <w:p w14:paraId="0AB90DD1" w14:textId="77777777" w:rsidR="00F2445C" w:rsidRDefault="00AD7F6E">
      <w:pPr>
        <w:jc w:val="both"/>
      </w:pPr>
      <w:r>
        <w:rPr>
          <w:rFonts w:ascii="Times New Roman" w:hAnsi="Times New Roman" w:eastAsia="Times New Roman" w:cs="Times New Roman"/>
        </w:rPr>
        <w:t>Produto esperado: Síntese por seca, retorno da chuva e fase úmida, com um caso de perda de solo e os limites de comparação. Localizar aqui a definição de perda de solo e suas unidades. Usar a sazonalidade como ligação com as respostas biológicas da seção 4.</w:t>
      </w:r>
    </w:p>
    <w:p w14:paraId="7853B1F6" w14:textId="77777777" w:rsidR="00F2445C" w:rsidRDefault="00AD7F6E">
      <w:pPr>
        <w:pStyle w:val="Ttulo2"/>
      </w:pPr>
      <w:r>
        <w:rPr>
          <w:rFonts w:ascii="Times New Roman" w:hAnsi="Times New Roman" w:eastAsia="Times New Roman" w:cs="Times New Roman"/>
        </w:rPr>
        <w:t>4. Biomassa, enzimas e genes do potencial ao processo</w:t>
      </w:r>
    </w:p>
    <w:p w14:paraId="3DDF1C8F" w14:textId="77777777" w:rsidR="00F2445C" w:rsidRDefault="00AD7F6E">
      <w:pPr>
        <w:jc w:val="both"/>
      </w:pPr>
      <w:r>
        <w:rPr>
          <w:rFonts w:ascii="Times New Roman" w:hAnsi="Times New Roman" w:eastAsia="Times New Roman" w:cs="Times New Roman"/>
        </w:rPr>
        <w:t>Responsáveis: Vinicius Cordeiro Dos Santos (T6); DIOGO PAES DA COSTA (T7); DIOGO PAES DA COSTA (T8).</w:t>
      </w:r>
    </w:p>
    <w:p w14:paraId="33576CE5" w14:textId="77777777" w:rsidR="00F2445C" w:rsidRDefault="00AD7F6E">
      <w:pPr>
        <w:jc w:val="both"/>
      </w:pPr>
      <w:r>
        <w:rPr>
          <w:rFonts w:ascii="Times New Roman" w:hAnsi="Times New Roman" w:eastAsia="Times New Roman" w:cs="Times New Roman"/>
        </w:rPr>
        <w:t>Pergunta da seção: Quando os indicadores biológicos convergem, e quando suas discordâncias revelam regulação ou limitações do método?</w:t>
      </w:r>
    </w:p>
    <w:p w14:paraId="3BF969F4" w14:textId="77777777" w:rsidR="00F2445C" w:rsidRDefault="00AD7F6E">
      <w:pPr>
        <w:jc w:val="both"/>
      </w:pPr>
      <w:r>
        <w:rPr>
          <w:rFonts w:ascii="Times New Roman" w:hAnsi="Times New Roman" w:eastAsia="Times New Roman" w:cs="Times New Roman"/>
        </w:rPr>
        <w:t>Integrar os temas biológicos em uma única sequência de evidências. Carbono da biomassa é um reservatório; respiração e crescimento são fluxos distintos; atividade enzimática potencial depende do ensaio; DNA informa potencial e RNA informa transcrição. Comparar o caso regional de discordância CBM–RBS (R01), os estudos de enzimas e genes de Irauçuba (R02, R06 e R07) e as contribuições externas de R05, R08, R15 e R16. R08 oferece síntese global e modelagem, sem demonstrar causalidade local.</w:t>
      </w:r>
    </w:p>
    <w:p w14:paraId="6A628A88" w14:textId="77777777" w:rsidR="00F2445C" w:rsidRDefault="00AD7F6E">
      <w:pPr>
        <w:jc w:val="both"/>
      </w:pPr>
      <w:r>
        <w:rPr>
          <w:rFonts w:ascii="Times New Roman" w:hAnsi="Times New Roman" w:eastAsia="Times New Roman" w:cs="Times New Roman"/>
        </w:rPr>
        <w:t>Produto esperado: Quadro do alcance de carbono da biomassa microbiana, respiração, fosfatases, genes e fluxos; um caso convergente e outro discordante. Apresentar um caso de convergência com suporte explícito e um de discordância ou relação ainda não demonstrada. Não repetir três introduções independentes sobre microbiologia.</w:t>
      </w:r>
    </w:p>
    <w:p w14:paraId="61697BE4" w14:textId="77777777" w:rsidR="00F2445C" w:rsidRDefault="00AD7F6E">
      <w:pPr>
        <w:pStyle w:val="Ttulo2"/>
      </w:pPr>
      <w:r>
        <w:rPr>
          <w:rFonts w:ascii="Times New Roman" w:hAnsi="Times New Roman" w:eastAsia="Times New Roman" w:cs="Times New Roman"/>
        </w:rPr>
        <w:t>5. Discordâncias e decisões condicionadas de manejo</w:t>
      </w:r>
    </w:p>
    <w:p w14:paraId="26C2B6AB" w14:textId="77777777" w:rsidR="00F2445C" w:rsidRDefault="00AD7F6E">
      <w:pPr>
        <w:jc w:val="both"/>
      </w:pPr>
      <w:r>
        <w:rPr>
          <w:rFonts w:ascii="Times New Roman" w:hAnsi="Times New Roman" w:eastAsia="Times New Roman" w:cs="Times New Roman"/>
        </w:rPr>
        <w:t>Responsáveis: Vanessa Rodrigues (T9); Raylla Ramos (T10).</w:t>
      </w:r>
    </w:p>
    <w:p w14:paraId="16E6739F" w14:textId="77777777" w:rsidR="00F2445C" w:rsidRDefault="00AD7F6E">
      <w:pPr>
        <w:jc w:val="both"/>
      </w:pPr>
      <w:r>
        <w:rPr>
          <w:rFonts w:ascii="Times New Roman" w:hAnsi="Times New Roman" w:eastAsia="Times New Roman" w:cs="Times New Roman"/>
        </w:rPr>
        <w:t>Pergunta da seção: Que combinação de material, época, água e solo explica ganho de carbono com ou sem recuperação funcional correspondente?</w:t>
      </w:r>
    </w:p>
    <w:p w14:paraId="21EE68C4" w14:textId="77777777" w:rsidR="00F2445C" w:rsidRDefault="00AD7F6E">
      <w:pPr>
        <w:jc w:val="both"/>
      </w:pPr>
      <w:r>
        <w:rPr>
          <w:rFonts w:ascii="Times New Roman" w:hAnsi="Times New Roman" w:eastAsia="Times New Roman" w:cs="Times New Roman"/>
        </w:rPr>
        <w:t xml:space="preserve">Reunir as conclusões em cenários de interpretação e manejo, sem recontar as definições anteriores. Cada cenário combinará material orgânico, condição hídrica, solo, </w:t>
      </w:r>
      <w:r>
        <w:rPr>
          <w:rFonts w:ascii="Times New Roman" w:hAnsi="Times New Roman" w:eastAsia="Times New Roman" w:cs="Times New Roman"/>
        </w:rPr>
        <w:lastRenderedPageBreak/>
        <w:t>tempo e restrição de fósforo, com evidência disponível e medida que falta. Distinguir recuperação de estoque, atividade transitória e recuperação funcional sustentada. Usar R01, R04, R09, R11 e R12 para construir a matriz, preservando os limites de extrapolação.</w:t>
      </w:r>
    </w:p>
    <w:p w14:paraId="5235DE0D" w14:textId="77777777" w:rsidR="00F2445C" w:rsidRDefault="00AD7F6E">
      <w:pPr>
        <w:jc w:val="both"/>
      </w:pPr>
      <w:r>
        <w:rPr>
          <w:rFonts w:ascii="Times New Roman" w:hAnsi="Times New Roman" w:eastAsia="Times New Roman" w:cs="Times New Roman"/>
        </w:rPr>
        <w:t>Produto esperado: Matriz de cenários com evidência disponível, restrição ainda presente e dado necessário para uma recomendação. Relação carbono/nitrogênio não define sozinha mineralização ou dose. Evitar percentuais universais de retirada de resíduos, calendário fixo de decomposição ou recomendação regional baseada em um experimento externo.</w:t>
      </w:r>
    </w:p>
    <w:p w14:paraId="7794710F" w14:textId="77777777" w:rsidR="00F2445C" w:rsidRDefault="00AD7F6E">
      <w:pPr>
        <w:pStyle w:val="Ttulo1"/>
      </w:pPr>
      <w:r>
        <w:rPr>
          <w:rFonts w:ascii="Times New Roman" w:hAnsi="Times New Roman" w:eastAsia="Times New Roman" w:cs="Times New Roman"/>
        </w:rPr>
        <w:t>4. Metodologia da plataforma e da síntese</w:t>
      </w:r>
    </w:p>
    <w:p w14:paraId="14C25293" w14:textId="77777777" w:rsidR="00F2445C" w:rsidRDefault="00AD7F6E">
      <w:pPr>
        <w:jc w:val="both"/>
      </w:pPr>
      <w:r>
        <w:rPr>
          <w:rFonts w:ascii="Times New Roman" w:hAnsi="Times New Roman" w:eastAsia="Times New Roman" w:cs="Times New Roman"/>
        </w:rPr>
        <w:t>Os parágrafos desta seção descrevem procedimentos já executados e podem formar a base da metodologia do manuscrito. As etapas adicionais da seção 5 deverão ser relatadas no passado apenas depois de realizadas e registradas.</w:t>
      </w:r>
    </w:p>
    <w:p w14:paraId="7DE68A45" w14:textId="77777777" w:rsidR="00F2445C" w:rsidRDefault="00AD7F6E">
      <w:pPr>
        <w:pStyle w:val="Ttulo2"/>
      </w:pPr>
      <w:r>
        <w:rPr>
          <w:rFonts w:ascii="Times New Roman" w:hAnsi="Times New Roman" w:eastAsia="Times New Roman" w:cs="Times New Roman"/>
        </w:rPr>
        <w:t>Delineamento e formulação prévia das perguntas</w:t>
      </w:r>
    </w:p>
    <w:p w14:paraId="1053741A" w14:textId="77777777" w:rsidR="00F2445C" w:rsidRDefault="00AD7F6E">
      <w:pPr>
        <w:jc w:val="both"/>
      </w:pPr>
      <w:r>
        <w:rPr>
          <w:rFonts w:ascii="Times New Roman" w:hAnsi="Times New Roman" w:eastAsia="Times New Roman" w:cs="Times New Roman"/>
        </w:rPr>
        <w:t>A investigação bibliográfica foi organizada como revisão narrativa crítica orientada por perguntas, com apoio de uma plataforma colaborativa desenvolvida para coordenar contribuições e auditar sobreposições. Foram formulados previamente dez temas sobre matéria orgânica do solo, cada um com seis perguntas específicas, totalizando 60 perguntas. Nove participantes assumiram as dez fichas; um participante ficou responsável por dois temas. Assim, a unidade inicial de distribuição foi o tema, com seis perguntas por tema, e não necessariamente seis por colaborador.</w:t>
      </w:r>
    </w:p>
    <w:p w14:paraId="6C99C6CF" w14:textId="77777777" w:rsidR="00F2445C" w:rsidRDefault="00AD7F6E">
      <w:pPr>
        <w:jc w:val="both"/>
      </w:pPr>
      <w:r>
        <w:rPr>
          <w:rFonts w:ascii="Times New Roman" w:hAnsi="Times New Roman" w:eastAsia="Times New Roman" w:cs="Times New Roman"/>
        </w:rPr>
        <w:t>As perguntas abrangeram entradas e fracionamento do carbono, interfaces químicas, estrutura e água, processos microbianos, enzimas, informação molecular, qualidade dos resíduos e manejo. Elas orientaram o aprofundamento e a comparação posterior das contribuições. A síntese editorial convergiu para uma pergunta central e cinco seções complementares. Essa organização procura reduzir repetição expositiva, preservando resultados independentes que confirmem ou contrariem uma interpretação; replicação científica não foi tratada como redundância a eliminar.</w:t>
      </w:r>
    </w:p>
    <w:p w14:paraId="626CEA55" w14:textId="77777777" w:rsidR="00F2445C" w:rsidRDefault="00AD7F6E">
      <w:pPr>
        <w:pStyle w:val="Ttulo2"/>
      </w:pPr>
      <w:r>
        <w:rPr>
          <w:rFonts w:ascii="Times New Roman" w:hAnsi="Times New Roman" w:eastAsia="Times New Roman" w:cs="Times New Roman"/>
        </w:rPr>
        <w:t>Desenvolvimento aplicação e preservação dos registros</w:t>
      </w:r>
    </w:p>
    <w:p w14:paraId="0766B7E4" w14:textId="120CA505" w:rsidR="00F2445C" w:rsidRDefault="00AD7F6E">
      <w:pPr>
        <w:jc w:val="both"/>
      </w:pPr>
      <w:r>
        <w:rPr>
          <w:rFonts w:ascii="Times New Roman" w:hAnsi="Times New Roman" w:eastAsia="Times New Roman" w:cs="Times New Roman"/>
        </w:rPr>
        <w:t xml:space="preserve">Foi desenvolvida e aplicada a plataforma A expedição do carbono, da Universidade Federal do Agreste de Pernambuco (UFAPE), disponível em </w:t>
      </w:r>
      <w:hyperlink r:id="rId8">
        <w:r>
          <w:rPr>
            <w:rFonts w:ascii="Times New Roman" w:hAnsi="Times New Roman" w:eastAsia="Times New Roman" w:cs="Times New Roman"/>
            <w:u w:val="single"/>
          </w:rPr>
          <w:t>https://diogopaes1.github.io/aula-mos-ufape/</w:t>
        </w:r>
      </w:hyperlink>
      <w:r>
        <w:rPr>
          <w:rFonts w:ascii="Times New Roman" w:hAnsi="Times New Roman" w:eastAsia="Times New Roman" w:cs="Times New Roman"/>
        </w:rPr>
        <w:t xml:space="preserve">. O sistema reúne seis respostas livres por tema e </w:t>
      </w:r>
      <w:r>
        <w:rPr>
          <w:rFonts w:ascii="Times New Roman" w:hAnsi="Times New Roman" w:eastAsia="Times New Roman" w:cs="Times New Roman"/>
        </w:rPr>
        <w:lastRenderedPageBreak/>
        <w:t>campos para referências, esquemas e conexões, com autoria de edição, versões e consulta coletiva conforme as permissões da sala. Uma conta pode manter fichas independentes para mais de um tema. A plataforma foi construída para apoiar coordenação, rastreabilidade e identificação de lacunas, sem que sua eficácia comparativa tenha sido medida neste estudo.</w:t>
      </w:r>
    </w:p>
    <w:p w14:paraId="0AA966B8" w14:textId="77777777" w:rsidR="00F2445C" w:rsidRDefault="00AD7F6E">
      <w:pPr>
        <w:jc w:val="both"/>
      </w:pPr>
      <w:r>
        <w:rPr>
          <w:rFonts w:ascii="Times New Roman" w:hAnsi="Times New Roman" w:eastAsia="Times New Roman" w:cs="Times New Roman"/>
        </w:rPr>
        <w:t>Em 20 de outubro de 2026, foi preservada uma exportação administrativa e realizada a leitura integral das 60 respostas e dos 30 campos complementares. O corte documental não encerrou a participação da turma. A auditoria identificou referências incompletas, continuação de resposta em campo inadequado e problemas de reconhecimento de termos. Os campos foram ampliados para 15.000 caracteres por resposta e por bibliografia, 20.000 no esquema e 10.000 nas conexões, com espaços incluídos e contadores individuais.</w:t>
      </w:r>
    </w:p>
    <w:p w14:paraId="1FD65FDC" w14:textId="77777777" w:rsidR="00F2445C" w:rsidRDefault="00AD7F6E">
      <w:pPr>
        <w:jc w:val="both"/>
      </w:pPr>
      <w:r>
        <w:rPr>
          <w:rFonts w:ascii="Times New Roman" w:hAnsi="Times New Roman" w:eastAsia="Times New Roman" w:cs="Times New Roman"/>
        </w:rPr>
        <w:t>Complementos docentes bibliográficos e conceituais foram acrescentados sem apagar os textos anteriores, com marcação explícita de origem. Houve acréscimos em 32 dos 60 campos de resposta e nas dez bibliografias; os 60 textos originais foram preservados integralmente como prefixos. A identificação permite selecionar texto estudantil, docente ou ambos na análise lexical. A conclusão prévia de uma ficha não foi interpretada como concordância do estudante com os acréscimos posteriores.</w:t>
      </w:r>
    </w:p>
    <w:p w14:paraId="7E284B8B" w14:textId="77777777" w:rsidR="00F2445C" w:rsidRDefault="00AD7F6E">
      <w:pPr>
        <w:pStyle w:val="Ttulo2"/>
      </w:pPr>
      <w:r>
        <w:rPr>
          <w:rFonts w:ascii="Times New Roman" w:hAnsi="Times New Roman" w:eastAsia="Times New Roman" w:cs="Times New Roman"/>
        </w:rPr>
        <w:t>Extração lexical e construção da rede</w:t>
      </w:r>
    </w:p>
    <w:p w14:paraId="6AE6FE6B" w14:textId="77777777" w:rsidR="00F2445C" w:rsidRDefault="00AD7F6E">
      <w:pPr>
        <w:jc w:val="both"/>
      </w:pPr>
      <w:r>
        <w:rPr>
          <w:rFonts w:ascii="Times New Roman" w:hAnsi="Times New Roman" w:eastAsia="Times New Roman" w:cs="Times New Roman"/>
        </w:rPr>
        <w:t>A extração reconhece conceitos técnicos, siglas e expressões nominais por vocabulário e regras locais em português. Foram analisados respostas, esquemas e conexões; perguntas, caixa de referências, citações autor–ano e endereços eletrônicos foram excluídos da extração lexical. Duas expressões formam um par quando aparecem na mesma frase ou linha, a no máximo 200 caracteres. O peso lexical conta unidades textuais distintas, com uma ocorrência de cada par por unidade. A segmentação preserva números decimais.</w:t>
      </w:r>
    </w:p>
    <w:p w14:paraId="3ABB3081" w14:textId="77777777" w:rsidR="00F2445C" w:rsidRDefault="00AD7F6E">
      <w:pPr>
        <w:jc w:val="both"/>
      </w:pPr>
      <w:r>
        <w:rPr>
          <w:rFonts w:ascii="Times New Roman" w:hAnsi="Times New Roman" w:eastAsia="Times New Roman" w:cs="Times New Roman"/>
        </w:rPr>
        <w:t>A seleção visual combina frequência de menção, distribuição entre autores e prioridade de expressões técnicas. Uma pessoa com duas fichas conta como uma autoria nesse cálculo. Variáveis reconhecidas são preservadas além do corte de ranking. Quando um nó selecionado ficaria isolado somente pelo corte visual, pode ser conservado um vizinho real já existente, respeitando os filtros e o limiar. A área dos nós acompanha o número de vizinhos distintos entre as arestas exibidas; não representa importância científica.</w:t>
      </w:r>
    </w:p>
    <w:p w14:paraId="3A40926A" w14:textId="77777777" w:rsidR="00F2445C" w:rsidRDefault="00AD7F6E">
      <w:pPr>
        <w:jc w:val="both"/>
      </w:pPr>
      <w:r>
        <w:rPr>
          <w:rFonts w:ascii="Times New Roman" w:hAnsi="Times New Roman" w:eastAsia="Times New Roman" w:cs="Times New Roman"/>
        </w:rPr>
        <w:t xml:space="preserve">A disposição ForceAtlas2 e o agrupamento Louvain, além das alternativas oferecidas pela interface, auxiliam a inspeção. Distâncias visuais e comunidades dependem dos filtros e não possuem escala de efeito ou significado causal. Presença e similaridade medem a </w:t>
      </w:r>
      <w:r>
        <w:rPr>
          <w:rFonts w:ascii="Times New Roman" w:hAnsi="Times New Roman" w:eastAsia="Times New Roman" w:cs="Times New Roman"/>
        </w:rPr>
        <w:lastRenderedPageBreak/>
        <w:t>distribuição e a proximidade do vocabulário da origem textual selecionada. Não foram interpretadas como correlações entre resultados experimentais. As regras e versões das bibliotecas estão documentadas em Métodos da rede no site da plataforma.</w:t>
      </w:r>
    </w:p>
    <w:p w14:paraId="5A3DC645" w14:textId="77777777" w:rsidR="00F2445C" w:rsidRDefault="00AD7F6E">
      <w:pPr>
        <w:pStyle w:val="Ttulo2"/>
      </w:pPr>
      <w:r>
        <w:rPr>
          <w:rFonts w:ascii="Times New Roman" w:hAnsi="Times New Roman" w:eastAsia="Times New Roman" w:cs="Times New Roman"/>
        </w:rPr>
        <w:t>Curadoria bibliográfica e tipos de ligação</w:t>
      </w:r>
    </w:p>
    <w:p w14:paraId="0EEC3623" w14:textId="77777777" w:rsidR="00F2445C" w:rsidRDefault="00AD7F6E">
      <w:pPr>
        <w:jc w:val="both"/>
      </w:pPr>
      <w:r>
        <w:rPr>
          <w:rFonts w:ascii="Times New Roman" w:hAnsi="Times New Roman" w:eastAsia="Times New Roman" w:cs="Times New Roman"/>
        </w:rPr>
        <w:t>A auditoria dos termos pouco conectados verificou primeiro os trechos de origem, as variantes nominais e o efeito dos filtros. A expressão genérica carbono microbiano deixou de ser tomada como sinônimo automático de CBM. Foram examinados também fosfatase ácida, perda de solo, granulometria, soma de bases, diversidade microbiana, expressão gênica e microporosidade. A busca complementar dirigida recorreu a editoras e repositórios, seguida de conferência de identificador digital de objeto (DOI), metadados e métodos ou resultados pertinentes.</w:t>
      </w:r>
    </w:p>
    <w:p w14:paraId="16E593DD" w14:textId="77777777" w:rsidR="00F2445C" w:rsidRDefault="00AD7F6E">
      <w:pPr>
        <w:jc w:val="both"/>
      </w:pPr>
      <w:r>
        <w:rPr>
          <w:rFonts w:ascii="Times New Roman" w:hAnsi="Times New Roman" w:eastAsia="Times New Roman" w:cs="Times New Roman"/>
        </w:rPr>
        <w:t>A matriz final da curadoria da rede reuniu 16 artigos e 72 registros de relações, correspondentes a 68 pares entre 53 conceitos. Cada registro contém fonte, DOI, natureza da evidência, explicação, alcance da leitura e limite. Foram diferenciados associação, ausência de associação, medidas conjuntas, comparação, resultado multivariado, método, dependência de fórmula, balanço, discordância e proposição conceitual. Uma ligação entre medidas conjuntas não foi convertida em correlação pareada. A curadoria é manual e verificável, sem extração automática de fatos científicos a partir da proximidade de palavras.</w:t>
      </w:r>
    </w:p>
    <w:p w14:paraId="00665324" w14:textId="77777777" w:rsidR="00F2445C" w:rsidRDefault="00AD7F6E">
      <w:pPr>
        <w:jc w:val="both"/>
      </w:pPr>
      <w:r>
        <w:rPr>
          <w:rFonts w:ascii="Times New Roman" w:hAnsi="Times New Roman" w:eastAsia="Times New Roman" w:cs="Times New Roman"/>
        </w:rPr>
        <w:t>Cada DOI contribui uma vez por par, mesmo quando citado em várias fichas. Os 16 artigos foram agrupados em 14 grupos possíveis de dados; isso não corresponde a 14 experimentos. Os três trabalhos de Irauçuba foram marcados por possível compartilhamento amostral, a confirmar nos métodos e suplementos. Sínteses, modelos e opinião conceitual permaneceram identificados. Para R02, a leitura utilizada foi restrita a resumo e destaques oficiais; não se declarou acesso ao texto integral.</w:t>
      </w:r>
    </w:p>
    <w:p w14:paraId="709034FD" w14:textId="77777777" w:rsidR="00F2445C" w:rsidRDefault="00AD7F6E">
      <w:pPr>
        <w:jc w:val="both"/>
      </w:pPr>
      <w:r>
        <w:rPr>
          <w:rFonts w:ascii="Times New Roman" w:hAnsi="Times New Roman" w:eastAsia="Times New Roman" w:cs="Times New Roman"/>
        </w:rPr>
        <w:t>A interface separa as camadas lexical, bibliográfica verificada e integrada. A contagem de unidades textuais e a de DOI distintos por par permanecem separadas. Na vista integrada, o máximo dessas contagens serve apenas ao limiar e à disposição, sem constituir soma de evidências ou tamanho de efeito. O filtro de origem textual atua na camada lexical; a bibliográfica segue os DOI citados nas fichas do recorte. Trechos, tipos de ligação e limites podem ser inspecionados e exportados.</w:t>
      </w:r>
    </w:p>
    <w:p w14:paraId="674DAE7E" w14:textId="77777777" w:rsidR="00F2445C" w:rsidRDefault="00AD7F6E">
      <w:pPr>
        <w:pStyle w:val="Ttulo2"/>
      </w:pPr>
      <w:r>
        <w:rPr>
          <w:rFonts w:ascii="Times New Roman" w:hAnsi="Times New Roman" w:eastAsia="Times New Roman" w:cs="Times New Roman"/>
        </w:rPr>
        <w:lastRenderedPageBreak/>
        <w:t>Convergência editorial e limites da inferência</w:t>
      </w:r>
    </w:p>
    <w:p w14:paraId="2A2C053F" w14:textId="77777777" w:rsidR="00F2445C" w:rsidRDefault="00AD7F6E">
      <w:pPr>
        <w:jc w:val="both"/>
      </w:pPr>
      <w:r>
        <w:rPr>
          <w:rFonts w:ascii="Times New Roman" w:hAnsi="Times New Roman" w:eastAsia="Times New Roman" w:cs="Times New Roman"/>
        </w:rPr>
        <w:t>Na auditoria datada, a vista integrada padrão apresentou 95 nós e 395 arestas em uma componente, sem isolados. A camada bibliográfica teve 53 nós e 68 pares, também em uma componente. O corpus original completo manteve cinco componentes e isolados textuais. Esses números dependem do corpus, dos filtros e da curadoria; não demonstram conectividade universal da literatura nem validade científica por densidade. Relações negativas e discordantes foram mantidas, e nenhum vínculo foi criado apenas para unir componentes.</w:t>
      </w:r>
    </w:p>
    <w:p w14:paraId="75D203D2" w14:textId="77777777" w:rsidR="00F2445C" w:rsidRDefault="00AD7F6E">
      <w:pPr>
        <w:jc w:val="both"/>
      </w:pPr>
      <w:r>
        <w:rPr>
          <w:rFonts w:ascii="Times New Roman" w:hAnsi="Times New Roman" w:eastAsia="Times New Roman" w:cs="Times New Roman"/>
        </w:rPr>
        <w:t>A decisão pelas cinco seções combinou leitura das contribuições, inspeção das fontes e delimitação editorial. Cada definição recebeu uma localização principal, cada estudo um registro único e cada seção uma pergunta própria. A plataforma documenta esse fluxo e suas correções, mas não foram medidos tempo economizado, retrabalho evitado ou desempenho diante de um método convencional. As dimensões de transparência da escala SANRA podem auxiliar a redação da revisão narrativa, reconhecendo sua origem em contexto médico e sem alegar validação deste estudo em ciência do solo (Baethge et al., 2019; R17).</w:t>
      </w:r>
    </w:p>
    <w:p w14:paraId="14E98980" w14:textId="77777777" w:rsidR="00F2445C" w:rsidRDefault="00AD7F6E">
      <w:pPr>
        <w:pStyle w:val="Ttulo1"/>
      </w:pPr>
      <w:r>
        <w:rPr>
          <w:rFonts w:ascii="Times New Roman" w:hAnsi="Times New Roman" w:eastAsia="Times New Roman" w:cs="Times New Roman"/>
        </w:rPr>
        <w:t>5. Consolidação necessária antes da submissão</w:t>
      </w:r>
    </w:p>
    <w:p w14:paraId="5E4CB0DD" w14:textId="77777777" w:rsidR="00F2445C" w:rsidRDefault="00AD7F6E">
      <w:pPr>
        <w:jc w:val="both"/>
      </w:pPr>
      <w:r>
        <w:rPr>
          <w:rFonts w:ascii="Times New Roman" w:hAnsi="Times New Roman" w:eastAsia="Times New Roman" w:cs="Times New Roman"/>
        </w:rPr>
        <w:t>Manter a denominação revisão narrativa crítica com busca complementar registrada. O uso de várias perguntas e da plataforma não dispensa critérios de seleção, mas também não torna o estudo automaticamente sistemático. O corpus didático reuniu referências de diferentes anos; não há base para afirmar que ele já foi limitado aos últimos cinco anos. Uma revisão sistemática exigiria protocolo e busca compatíveis efetivamente executados.</w:t>
      </w:r>
    </w:p>
    <w:p w14:paraId="3F2A056C" w14:textId="77777777" w:rsidR="00F2445C" w:rsidRDefault="00AD7F6E">
      <w:pPr>
        <w:jc w:val="both"/>
      </w:pPr>
      <w:r>
        <w:rPr>
          <w:rFonts w:ascii="Times New Roman" w:hAnsi="Times New Roman" w:eastAsia="Times New Roman" w:cs="Times New Roman"/>
        </w:rPr>
        <w:t>Para a atualização bibliográfica final, propõe-se um núcleo recente publicado entre 20/10/2021 e 20/10/2026, com fundamentos metodológicos anteriores identificados separadamente. Essa janela ainda deve ser aplicada e registrada; não é um critério retroativo das respostas já coletadas. Anotar separadamente ano de publicação e período de observação: R11 é de 2023, mas os eventos ocorreram em 2009–2010. Estudos antigos ou intervenções longas podem ser necessários à interpretação e deverão ter justificativa explícita.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A0" w:firstRow="1" w:lastRow="0" w:firstColumn="1" w:lastColumn="0" w:noHBand="0" w:noVBand="1"/>
      </w:tblPr>
      <w:tblGrid>
        <w:gridCol w:w="1701"/>
        <w:gridCol w:w="7370"/>
      </w:tblGrid>
      <w:tr w:rsidR="00F2445C" w14:paraId="2B464382" w14:textId="77777777">
        <w:trPr>
          <w:cantSplit/>
          <w:tblHeader/>
          <w:jc w:val="center"/>
        </w:trPr>
        <w:tc>
          <w:tcPr>
            <w:tcW w:w="1701" w:type="dxa"/>
            <w:shd w:val="clear" w:color="auto" w:fill="E7E6E6"/>
            <w:vAlign w:val="center"/>
          </w:tcPr>
          <w:p w14:paraId="4A1ED2BB" w14:textId="77777777" w:rsidR="00F2445C" w:rsidRDefault="00AD7F6E">
            <w:pPr>
              <w:keepNext/>
              <w:spacing w:after="20" w:line="259" w:lineRule="auto"/>
              <w:ind w:firstLine="0"/>
            </w:pPr>
            <w:r>
              <w:rPr>
                <w:rFonts w:ascii="Times New Roman" w:hAnsi="Times New Roman" w:eastAsia="Times New Roman" w:cs="Times New Roman"/>
                <w:b/>
                <w:sz w:val="21"/>
              </w:rPr>
              <w:t>Etapa</w:t>
            </w:r>
          </w:p>
        </w:tc>
        <w:tc>
          <w:tcPr>
            <w:tcW w:w="7370" w:type="dxa"/>
            <w:shd w:val="clear" w:color="auto" w:fill="E7E6E6"/>
            <w:vAlign w:val="center"/>
          </w:tcPr>
          <w:p w14:paraId="1B872940" w14:textId="77777777" w:rsidR="00F2445C" w:rsidRDefault="00AD7F6E">
            <w:pPr>
              <w:keepNext/>
              <w:spacing w:after="20" w:line="259" w:lineRule="auto"/>
              <w:ind w:firstLine="0"/>
            </w:pPr>
            <w:r>
              <w:rPr>
                <w:rFonts w:ascii="Times New Roman" w:hAnsi="Times New Roman" w:eastAsia="Times New Roman" w:cs="Times New Roman"/>
                <w:b/>
                <w:sz w:val="21"/>
              </w:rPr>
              <w:t>Procedimento e registro exigido</w:t>
            </w:r>
          </w:p>
        </w:tc>
      </w:tr>
      <w:tr w:rsidR="00F2445C" w14:paraId="78D62FC3" w14:textId="77777777">
        <w:trPr>
          <w:cantSplit/>
          <w:jc w:val="center"/>
        </w:trPr>
        <w:tc>
          <w:tcPr>
            <w:tcW w:w="1701" w:type="dxa"/>
            <w:vAlign w:val="center"/>
          </w:tcPr>
          <w:p w14:paraId="4198A21A" w14:textId="77777777" w:rsidR="00F2445C" w:rsidRDefault="00AD7F6E">
            <w:pPr>
              <w:spacing w:after="20" w:line="259" w:lineRule="auto"/>
              <w:ind w:firstLine="0"/>
            </w:pPr>
            <w:r>
              <w:rPr>
                <w:rFonts w:ascii="Times New Roman" w:hAnsi="Times New Roman" w:eastAsia="Times New Roman" w:cs="Times New Roman"/>
                <w:sz w:val="21"/>
              </w:rPr>
              <w:t>Busca complementar</w:t>
            </w:r>
          </w:p>
        </w:tc>
        <w:tc>
          <w:tcPr>
            <w:tcW w:w="7370" w:type="dxa"/>
            <w:vAlign w:val="center"/>
          </w:tcPr>
          <w:p w14:paraId="178F8B0D" w14:textId="77777777" w:rsidR="00F2445C" w:rsidRDefault="00AD7F6E">
            <w:pPr>
              <w:spacing w:after="20" w:line="259" w:lineRule="auto"/>
              <w:ind w:firstLine="0"/>
            </w:pPr>
            <w:r>
              <w:rPr>
                <w:rFonts w:ascii="Times New Roman" w:hAnsi="Times New Roman" w:eastAsia="Times New Roman" w:cs="Times New Roman"/>
                <w:sz w:val="21"/>
              </w:rPr>
              <w:t>Registrar base ou repositório, data, expressão exata, filtros e resultados recuperados. Usar termos em português e inglês, inclusive microbial biomass carbon, acid phosphatase, grazing exclusion, Caatinga, soil loss, texture, microporosity e gene expression.</w:t>
            </w:r>
          </w:p>
        </w:tc>
      </w:tr>
      <w:tr w:rsidR="00F2445C" w14:paraId="5D7FDA0E" w14:textId="77777777">
        <w:trPr>
          <w:cantSplit/>
          <w:jc w:val="center"/>
        </w:trPr>
        <w:tc>
          <w:tcPr>
            <w:tcW w:w="1701" w:type="dxa"/>
            <w:vAlign w:val="center"/>
          </w:tcPr>
          <w:p w14:paraId="4BF334F7" w14:textId="77777777" w:rsidR="00F2445C" w:rsidRDefault="00AD7F6E">
            <w:pPr>
              <w:spacing w:after="20" w:line="259" w:lineRule="auto"/>
              <w:ind w:firstLine="0"/>
            </w:pPr>
            <w:r>
              <w:rPr>
                <w:rFonts w:ascii="Times New Roman" w:hAnsi="Times New Roman" w:eastAsia="Times New Roman" w:cs="Times New Roman"/>
                <w:sz w:val="21"/>
              </w:rPr>
              <w:lastRenderedPageBreak/>
              <w:t>Seleção</w:t>
            </w:r>
          </w:p>
        </w:tc>
        <w:tc>
          <w:tcPr>
            <w:tcW w:w="7370" w:type="dxa"/>
            <w:vAlign w:val="center"/>
          </w:tcPr>
          <w:p w14:paraId="4C43BB93" w14:textId="77777777" w:rsidR="00F2445C" w:rsidRDefault="00AD7F6E">
            <w:pPr>
              <w:spacing w:after="20" w:line="259" w:lineRule="auto"/>
              <w:ind w:firstLine="0"/>
            </w:pPr>
            <w:r>
              <w:rPr>
                <w:rFonts w:ascii="Times New Roman" w:hAnsi="Times New Roman" w:eastAsia="Times New Roman" w:cs="Times New Roman"/>
                <w:sz w:val="21"/>
              </w:rPr>
              <w:t>Separar estudos regionais de restauração, outros manejos regionais e mecanismos externos. Registrar inclusão e exclusão por aderência à pergunta, medidas, contexto e acesso. Prestígio do periódico não substitui avaliação do método.</w:t>
            </w:r>
          </w:p>
        </w:tc>
      </w:tr>
      <w:tr w:rsidR="00F2445C" w14:paraId="3F83C760" w14:textId="77777777">
        <w:trPr>
          <w:cantSplit/>
          <w:jc w:val="center"/>
        </w:trPr>
        <w:tc>
          <w:tcPr>
            <w:tcW w:w="1701" w:type="dxa"/>
            <w:vAlign w:val="center"/>
          </w:tcPr>
          <w:p w14:paraId="0CDD3B42" w14:textId="77777777" w:rsidR="00F2445C" w:rsidRDefault="00AD7F6E">
            <w:pPr>
              <w:spacing w:after="20" w:line="259" w:lineRule="auto"/>
              <w:ind w:firstLine="0"/>
            </w:pPr>
            <w:r>
              <w:rPr>
                <w:rFonts w:ascii="Times New Roman" w:hAnsi="Times New Roman" w:eastAsia="Times New Roman" w:cs="Times New Roman"/>
                <w:sz w:val="21"/>
              </w:rPr>
              <w:t>Extração</w:t>
            </w:r>
          </w:p>
        </w:tc>
        <w:tc>
          <w:tcPr>
            <w:tcW w:w="7370" w:type="dxa"/>
            <w:vAlign w:val="center"/>
          </w:tcPr>
          <w:p w14:paraId="1E37033C" w14:textId="77777777" w:rsidR="00F2445C" w:rsidRDefault="00AD7F6E">
            <w:pPr>
              <w:spacing w:after="20" w:line="259" w:lineRule="auto"/>
              <w:ind w:firstLine="0"/>
            </w:pPr>
            <w:r>
              <w:rPr>
                <w:rFonts w:ascii="Times New Roman" w:hAnsi="Times New Roman" w:eastAsia="Times New Roman" w:cs="Times New Roman"/>
                <w:sz w:val="21"/>
              </w:rPr>
              <w:t>Uma linha por estudo ou conjunto de dados: DOI, sítio, solo, manejo, duração, estação, profundidade, método, unidade experimental, tamanho amostral, resultado, incerteza e página ou tabela. Dado ausente recebe “não relatado”.</w:t>
            </w:r>
          </w:p>
        </w:tc>
      </w:tr>
      <w:tr w:rsidR="00F2445C" w14:paraId="3A551289" w14:textId="77777777">
        <w:trPr>
          <w:cantSplit/>
          <w:jc w:val="center"/>
        </w:trPr>
        <w:tc>
          <w:tcPr>
            <w:tcW w:w="1701" w:type="dxa"/>
            <w:vAlign w:val="center"/>
          </w:tcPr>
          <w:p w14:paraId="3D8478A7" w14:textId="77777777" w:rsidR="00F2445C" w:rsidRDefault="00AD7F6E">
            <w:pPr>
              <w:spacing w:after="20" w:line="259" w:lineRule="auto"/>
              <w:ind w:firstLine="0"/>
            </w:pPr>
            <w:r>
              <w:rPr>
                <w:rFonts w:ascii="Times New Roman" w:hAnsi="Times New Roman" w:eastAsia="Times New Roman" w:cs="Times New Roman"/>
                <w:sz w:val="21"/>
              </w:rPr>
              <w:t>Avaliação crítica</w:t>
            </w:r>
          </w:p>
        </w:tc>
        <w:tc>
          <w:tcPr>
            <w:tcW w:w="7370" w:type="dxa"/>
            <w:vAlign w:val="center"/>
          </w:tcPr>
          <w:p w14:paraId="1E158326" w14:textId="77777777" w:rsidR="00F2445C" w:rsidRDefault="00AD7F6E">
            <w:pPr>
              <w:spacing w:after="20" w:line="259" w:lineRule="auto"/>
              <w:ind w:firstLine="0"/>
            </w:pPr>
            <w:r>
              <w:rPr>
                <w:rFonts w:ascii="Times New Roman" w:hAnsi="Times New Roman" w:eastAsia="Times New Roman" w:cs="Times New Roman"/>
                <w:sz w:val="21"/>
              </w:rPr>
              <w:t>Conferir comparação válida, confusão entre solo e manejo, réplica espacial, comparabilidade de estoque, ensaios, significância e amostras compartilhadas. Não excluir um resultado apenas por ser discordante.</w:t>
            </w:r>
          </w:p>
        </w:tc>
      </w:tr>
      <w:tr w:rsidR="00F2445C" w14:paraId="01CF7562" w14:textId="77777777">
        <w:trPr>
          <w:cantSplit/>
          <w:jc w:val="center"/>
        </w:trPr>
        <w:tc>
          <w:tcPr>
            <w:tcW w:w="1701" w:type="dxa"/>
            <w:vAlign w:val="center"/>
          </w:tcPr>
          <w:p w14:paraId="6CB4E16A" w14:textId="77777777" w:rsidR="00F2445C" w:rsidRDefault="00AD7F6E">
            <w:pPr>
              <w:spacing w:after="20" w:line="259" w:lineRule="auto"/>
              <w:ind w:firstLine="0"/>
            </w:pPr>
            <w:r>
              <w:rPr>
                <w:rFonts w:ascii="Times New Roman" w:hAnsi="Times New Roman" w:eastAsia="Times New Roman" w:cs="Times New Roman"/>
                <w:sz w:val="21"/>
              </w:rPr>
              <w:t>Conferência em dupla</w:t>
            </w:r>
          </w:p>
        </w:tc>
        <w:tc>
          <w:tcPr>
            <w:tcW w:w="7370" w:type="dxa"/>
            <w:vAlign w:val="center"/>
          </w:tcPr>
          <w:p w14:paraId="7238A2EE" w14:textId="77777777" w:rsidR="00F2445C" w:rsidRDefault="00AD7F6E">
            <w:pPr>
              <w:spacing w:after="20" w:line="259" w:lineRule="auto"/>
              <w:ind w:firstLine="0"/>
            </w:pPr>
            <w:r>
              <w:rPr>
                <w:rFonts w:ascii="Times New Roman" w:hAnsi="Times New Roman" w:eastAsia="Times New Roman" w:cs="Times New Roman"/>
                <w:sz w:val="21"/>
              </w:rPr>
              <w:t>Responsável e revisor cruzado verificam as relações centrais no texto primário e registram acordo ou pendência. Não declarar concordância medida antes de realizar a avaliação.</w:t>
            </w:r>
          </w:p>
        </w:tc>
      </w:tr>
      <w:tr w:rsidR="00F2445C" w14:paraId="1C743A74" w14:textId="77777777">
        <w:trPr>
          <w:cantSplit/>
          <w:jc w:val="center"/>
        </w:trPr>
        <w:tc>
          <w:tcPr>
            <w:tcW w:w="1701" w:type="dxa"/>
            <w:vAlign w:val="center"/>
          </w:tcPr>
          <w:p w14:paraId="0ED6D9E4" w14:textId="77777777" w:rsidR="00F2445C" w:rsidRDefault="00AD7F6E">
            <w:pPr>
              <w:spacing w:after="20" w:line="259" w:lineRule="auto"/>
              <w:ind w:firstLine="0"/>
            </w:pPr>
            <w:r>
              <w:rPr>
                <w:rFonts w:ascii="Times New Roman" w:hAnsi="Times New Roman" w:eastAsia="Times New Roman" w:cs="Times New Roman"/>
                <w:sz w:val="21"/>
              </w:rPr>
              <w:t>Síntese</w:t>
            </w:r>
          </w:p>
        </w:tc>
        <w:tc>
          <w:tcPr>
            <w:tcW w:w="7370" w:type="dxa"/>
            <w:vAlign w:val="center"/>
          </w:tcPr>
          <w:p w14:paraId="6371B687" w14:textId="77777777" w:rsidR="00F2445C" w:rsidRDefault="00AD7F6E">
            <w:pPr>
              <w:spacing w:after="20" w:line="259" w:lineRule="auto"/>
              <w:ind w:firstLine="0"/>
            </w:pPr>
            <w:r>
              <w:rPr>
                <w:rFonts w:ascii="Times New Roman" w:hAnsi="Times New Roman" w:eastAsia="Times New Roman" w:cs="Times New Roman"/>
                <w:sz w:val="21"/>
              </w:rPr>
              <w:t>Organizar convergência, discordância e lacuna por cenário. Não combinar numericamente efeitos incompatíveis. Ajustar resumo e conclusões ao conjunto final realmente selecionado.</w:t>
            </w:r>
          </w:p>
        </w:tc>
      </w:tr>
    </w:tbl>
    <w:p w14:paraId="31F32CB6" w14:textId="77777777" w:rsidR="00F2445C" w:rsidRDefault="00F2445C">
      <w:pPr>
        <w:spacing w:after="60" w:line="60" w:lineRule="exact"/>
        <w:ind w:firstLine="0"/>
      </w:pPr>
    </w:p>
    <w:p w14:paraId="59072146" w14:textId="77777777" w:rsidR="00F2445C" w:rsidRDefault="00AD7F6E">
      <w:pPr>
        <w:pStyle w:val="Ttulo1"/>
      </w:pPr>
      <w:r>
        <w:rPr>
          <w:rFonts w:ascii="Times New Roman" w:hAnsi="Times New Roman" w:eastAsia="Times New Roman" w:cs="Times New Roman"/>
        </w:rPr>
        <w:t>6. Tarefas individuais para 21 de outubro de 2026</w:t>
      </w:r>
    </w:p>
    <w:p w14:paraId="01946E7F" w14:textId="77777777" w:rsidR="00F2445C" w:rsidRDefault="00AD7F6E">
      <w:pPr>
        <w:jc w:val="both"/>
      </w:pPr>
      <w:r>
        <w:rPr>
          <w:rFonts w:ascii="Times New Roman" w:hAnsi="Times New Roman" w:eastAsia="Times New Roman" w:cs="Times New Roman"/>
        </w:rPr>
        <w:t>Cada responsável deverá usar a coleção local indicada na seção 7 e as perguntas de sua ficha para construir a seção científica correspondente. Os nomes abaixo seguem a cópia das atribuições de 20/10/2026. Mantêm-se os dez temas distribuídos entre nove participantes; Diogo reúne T7 e T8. As tarefas incluem conferir os complementos docentes e incorporá-los somente após leitura crítica.</w:t>
      </w:r>
    </w:p>
    <w:p w14:paraId="365FBF7A" w14:textId="77777777" w:rsidR="00F2445C" w:rsidRDefault="00AD7F6E">
      <w:pPr>
        <w:pStyle w:val="Ttulo2"/>
      </w:pPr>
      <w:r>
        <w:rPr>
          <w:rFonts w:ascii="Times New Roman" w:hAnsi="Times New Roman" w:eastAsia="Times New Roman" w:cs="Times New Roman"/>
        </w:rPr>
        <w:t>Alaideane Santana Santos</w:t>
      </w:r>
    </w:p>
    <w:p w14:paraId="12416DC9" w14:textId="77777777" w:rsidR="00F2445C" w:rsidRDefault="00AD7F6E">
      <w:pPr>
        <w:jc w:val="both"/>
      </w:pPr>
      <w:r>
        <w:rPr>
          <w:rFonts w:ascii="Times New Roman" w:hAnsi="Times New Roman" w:eastAsia="Times New Roman" w:cs="Times New Roman"/>
        </w:rPr>
        <w:t>T1 integra a seção 1. Leituras prioritárias: R03, R05 e R12. Integrar entradas, transformação e proteção. Conferir as bases do valor de 46% e separar matéria orgânica de carbono nas frações. Usar Primo para discutir rotas de formação e Canarini como limite de extrapolação da resposta à seca.</w:t>
      </w:r>
    </w:p>
    <w:p w14:paraId="731D7B61" w14:textId="77777777" w:rsidR="00F2445C" w:rsidRDefault="00AD7F6E">
      <w:pPr>
        <w:jc w:val="both"/>
      </w:pPr>
      <w:r>
        <w:rPr>
          <w:rFonts w:ascii="Times New Roman" w:hAnsi="Times New Roman" w:eastAsia="Times New Roman" w:cs="Times New Roman"/>
        </w:rPr>
        <w:t>Entrega: Um argumento sobre destino do carbono e um quadro concentração–estoque–fração. Conferência cruzada: T2, Lili.</w:t>
      </w:r>
    </w:p>
    <w:p w14:paraId="4D131D64" w14:textId="77777777" w:rsidR="00F2445C" w:rsidRDefault="00AD7F6E">
      <w:pPr>
        <w:pStyle w:val="Ttulo2"/>
      </w:pPr>
      <w:r>
        <w:rPr>
          <w:rFonts w:ascii="Times New Roman" w:hAnsi="Times New Roman" w:eastAsia="Times New Roman" w:cs="Times New Roman"/>
        </w:rPr>
        <w:t>Lili</w:t>
      </w:r>
    </w:p>
    <w:p w14:paraId="715B678E" w14:textId="77777777" w:rsidR="00F2445C" w:rsidRDefault="00AD7F6E">
      <w:pPr>
        <w:jc w:val="both"/>
      </w:pPr>
      <w:r>
        <w:rPr>
          <w:rFonts w:ascii="Times New Roman" w:hAnsi="Times New Roman" w:eastAsia="Times New Roman" w:cs="Times New Roman"/>
        </w:rPr>
        <w:t>T2 integra a seção 1. Leituras prioritárias: R03, R10 e R12. Conferir dispersão, tamanho, densidade e recuperação de carbono. Explicar por que a fração menor que 53 micrômetros não comprova sozinha ligação mineral ou longa permanência. Retirar equivalências universais entre fração particulada e carbono lábil.</w:t>
      </w:r>
    </w:p>
    <w:p w14:paraId="5AA0B7CF" w14:textId="77777777" w:rsidR="00F2445C" w:rsidRDefault="00AD7F6E">
      <w:pPr>
        <w:jc w:val="both"/>
      </w:pPr>
      <w:r>
        <w:rPr>
          <w:rFonts w:ascii="Times New Roman" w:hAnsi="Times New Roman" w:eastAsia="Times New Roman" w:cs="Times New Roman"/>
        </w:rPr>
        <w:lastRenderedPageBreak/>
        <w:t>Entrega: Tabela comparativa de métodos de fracionamento e conclusões permitidas. Conferência cruzada: T1, Alaideane Santana Santos.</w:t>
      </w:r>
    </w:p>
    <w:p w14:paraId="62B8588A" w14:textId="77777777" w:rsidR="00F2445C" w:rsidRDefault="00AD7F6E">
      <w:pPr>
        <w:pStyle w:val="Ttulo2"/>
      </w:pPr>
      <w:r>
        <w:rPr>
          <w:rFonts w:ascii="Times New Roman" w:hAnsi="Times New Roman" w:eastAsia="Times New Roman" w:cs="Times New Roman"/>
        </w:rPr>
        <w:t>Luana Gabryella</w:t>
      </w:r>
    </w:p>
    <w:p w14:paraId="552985E4" w14:textId="77777777" w:rsidR="00F2445C" w:rsidRDefault="00AD7F6E">
      <w:pPr>
        <w:jc w:val="both"/>
      </w:pPr>
      <w:r>
        <w:rPr>
          <w:rFonts w:ascii="Times New Roman" w:hAnsi="Times New Roman" w:eastAsia="Times New Roman" w:cs="Times New Roman"/>
        </w:rPr>
        <w:t>T3 integra a seção 2. Leituras prioritárias: R04, R09 e R10. Condensar grupos funcionais e superfícies no mecanismo relevante para carbono e fósforo. Confrontar a proposição de Lieberman com dados experimentais, distinguindo hipótese conceitual e resultado observado.</w:t>
      </w:r>
    </w:p>
    <w:p w14:paraId="35025AEA" w14:textId="77777777" w:rsidR="00F2445C" w:rsidRDefault="00AD7F6E">
      <w:pPr>
        <w:jc w:val="both"/>
      </w:pPr>
      <w:r>
        <w:rPr>
          <w:rFonts w:ascii="Times New Roman" w:hAnsi="Times New Roman" w:eastAsia="Times New Roman" w:cs="Times New Roman"/>
        </w:rPr>
        <w:t>Entrega: Esquema de interfaces minerais e fósforo com fonte e limite em cada relação. Conferência cruzada: T4, Teteu.</w:t>
      </w:r>
    </w:p>
    <w:p w14:paraId="366689BE" w14:textId="77777777" w:rsidR="00F2445C" w:rsidRDefault="00AD7F6E">
      <w:pPr>
        <w:pStyle w:val="Ttulo2"/>
      </w:pPr>
      <w:r>
        <w:rPr>
          <w:rFonts w:ascii="Times New Roman" w:hAnsi="Times New Roman" w:eastAsia="Times New Roman" w:cs="Times New Roman"/>
        </w:rPr>
        <w:t>Teteu</w:t>
      </w:r>
    </w:p>
    <w:p w14:paraId="16BF037C" w14:textId="77777777" w:rsidR="00F2445C" w:rsidRDefault="00AD7F6E">
      <w:pPr>
        <w:jc w:val="both"/>
      </w:pPr>
      <w:r>
        <w:rPr>
          <w:rFonts w:ascii="Times New Roman" w:hAnsi="Times New Roman" w:eastAsia="Times New Roman" w:cs="Times New Roman"/>
        </w:rPr>
        <w:t>T4 integra a seção 2. Leituras prioritárias: R14, R04 e R09. Rever a interpretação de solos com o mesmo pH. Separar capacidade de troca de cátions, condutividade elétrica e atividade do alumínio. Reunir a continuação da resposta 6 e identificar quais dados faltam ao diagnóstico local. Usar Macedo para distinguir soma e saturação por bases e conferir as fórmulas de capacidade de troca.</w:t>
      </w:r>
    </w:p>
    <w:p w14:paraId="38F56E22" w14:textId="77777777" w:rsidR="00F2445C" w:rsidRDefault="00AD7F6E">
      <w:pPr>
        <w:jc w:val="both"/>
      </w:pPr>
      <w:r>
        <w:rPr>
          <w:rFonts w:ascii="Times New Roman" w:hAnsi="Times New Roman" w:eastAsia="Times New Roman" w:cs="Times New Roman"/>
        </w:rPr>
        <w:t>Entrega: Quadro de restrições químicas e explicações alternativas, sem percentuais universais. Conferência cruzada: T3, Luana Gabryella.</w:t>
      </w:r>
    </w:p>
    <w:p w14:paraId="3A8EF022" w14:textId="77777777" w:rsidR="00F2445C" w:rsidRDefault="00AD7F6E">
      <w:pPr>
        <w:jc w:val="both"/>
      </w:pPr>
      <w:r>
        <w:rPr>
          <w:rFonts w:ascii="Times New Roman" w:hAnsi="Times New Roman" w:eastAsia="Times New Roman" w:cs="Times New Roman"/>
        </w:rPr>
        <w:t>Reunir a continuação da resposta 6 atualmente distribuída nos complementos, mantendo uma cópia do original. A ampliação dos campos permite reorganizar a apresentação sem perder informação.</w:t>
      </w:r>
    </w:p>
    <w:p w14:paraId="189F23C4" w14:textId="77777777" w:rsidR="00F2445C" w:rsidRDefault="00AD7F6E">
      <w:pPr>
        <w:pStyle w:val="Ttulo2"/>
      </w:pPr>
      <w:r>
        <w:rPr>
          <w:rFonts w:ascii="Times New Roman" w:hAnsi="Times New Roman" w:eastAsia="Times New Roman" w:cs="Times New Roman"/>
        </w:rPr>
        <w:t>Maria Alice Vitalino de Moraes</w:t>
      </w:r>
    </w:p>
    <w:p w14:paraId="2C2BE0C2" w14:textId="77777777" w:rsidR="00F2445C" w:rsidRDefault="00AD7F6E">
      <w:pPr>
        <w:jc w:val="both"/>
      </w:pPr>
      <w:r>
        <w:rPr>
          <w:rFonts w:ascii="Times New Roman" w:hAnsi="Times New Roman" w:eastAsia="Times New Roman" w:cs="Times New Roman"/>
        </w:rPr>
        <w:t>T5 integra a seção 3. Leituras prioritárias: R11, R12 e R13. Integrar cobertura, agregação, água disponível, escoamento e perda de solo. Usar o estudo de Pesqueira com sua data de observação, declive e limite de replicação. Confrontar com o caso de maior agregação e menor estoque de carbono de Medeiros; conferir granulometria e microporosidade com o protocolo de Vasconcelos.</w:t>
      </w:r>
    </w:p>
    <w:p w14:paraId="2A5A420D" w14:textId="77777777" w:rsidR="00F2445C" w:rsidRDefault="00AD7F6E">
      <w:pPr>
        <w:jc w:val="both"/>
      </w:pPr>
      <w:r>
        <w:rPr>
          <w:rFonts w:ascii="Times New Roman" w:hAnsi="Times New Roman" w:eastAsia="Times New Roman" w:cs="Times New Roman"/>
        </w:rPr>
        <w:t>Entrega: Comparação de respostas hídricas e erosivas, com condições do estudo e incerteza. Conferência cruzada: T10, Raylla Ramos.</w:t>
      </w:r>
    </w:p>
    <w:p w14:paraId="63A4C2D0" w14:textId="77777777" w:rsidR="00F2445C" w:rsidRDefault="00AD7F6E">
      <w:pPr>
        <w:pStyle w:val="Ttulo2"/>
      </w:pPr>
      <w:r>
        <w:rPr>
          <w:rFonts w:ascii="Times New Roman" w:hAnsi="Times New Roman" w:eastAsia="Times New Roman" w:cs="Times New Roman"/>
        </w:rPr>
        <w:t>Vinicius Cordeiro Dos Santos</w:t>
      </w:r>
    </w:p>
    <w:p w14:paraId="42D29A73" w14:textId="77777777" w:rsidR="00F2445C" w:rsidRDefault="00AD7F6E">
      <w:pPr>
        <w:jc w:val="both"/>
      </w:pPr>
      <w:r>
        <w:rPr>
          <w:rFonts w:ascii="Times New Roman" w:hAnsi="Times New Roman" w:eastAsia="Times New Roman" w:cs="Times New Roman"/>
        </w:rPr>
        <w:t xml:space="preserve">T6 integra a seção 4. Leituras prioritárias: R01, R05 e R08. Distinguir biomassa viva, necromassa, respiração e eficiência de uso do carbono. Explorar o resultado de Souza em que </w:t>
      </w:r>
      <w:r>
        <w:rPr>
          <w:rFonts w:ascii="Times New Roman" w:hAnsi="Times New Roman" w:eastAsia="Times New Roman" w:cs="Times New Roman"/>
        </w:rPr>
        <w:lastRenderedPageBreak/>
        <w:t>CBM e respiração basal não se correlacionaram. Não calcular eficiência de uso do carbono diretamente a partir do quociente metabólico.</w:t>
      </w:r>
    </w:p>
    <w:p w14:paraId="247C1568" w14:textId="77777777" w:rsidR="00F2445C" w:rsidRDefault="00AD7F6E">
      <w:pPr>
        <w:jc w:val="both"/>
      </w:pPr>
      <w:r>
        <w:rPr>
          <w:rFonts w:ascii="Times New Roman" w:hAnsi="Times New Roman" w:eastAsia="Times New Roman" w:cs="Times New Roman"/>
        </w:rPr>
        <w:t>Entrega: Quadro compartimento–fluxo–eficiência e um exemplo regional de discordância. Conferência cruzada: T7, DIOGO PAES DA COSTA.</w:t>
      </w:r>
    </w:p>
    <w:p w14:paraId="474DF246" w14:textId="77777777" w:rsidR="00F2445C" w:rsidRDefault="00AD7F6E">
      <w:pPr>
        <w:pStyle w:val="Ttulo2"/>
      </w:pPr>
      <w:r>
        <w:rPr>
          <w:rFonts w:ascii="Times New Roman" w:hAnsi="Times New Roman" w:eastAsia="Times New Roman" w:cs="Times New Roman"/>
        </w:rPr>
        <w:t>DIOGO PAES DA COSTA</w:t>
      </w:r>
    </w:p>
    <w:p w14:paraId="145449D0" w14:textId="77777777" w:rsidR="00F2445C" w:rsidRDefault="00AD7F6E">
      <w:pPr>
        <w:jc w:val="both"/>
      </w:pPr>
      <w:r>
        <w:rPr>
          <w:rFonts w:ascii="Times New Roman" w:hAnsi="Times New Roman" w:eastAsia="Times New Roman" w:cs="Times New Roman"/>
        </w:rPr>
        <w:t>T7 integra a seção 4. Leituras prioritárias: R02, R04 e R06. Integrar fosfatase ácida, fósforo disponível, biomassa e condições hídricas. Separar atividade potencial de fluxo e demanda por fósforo de nutrição suficiente. Usar o método para resolver a nomenclatura da fosfatase no artigo de comunidades fúngicas.</w:t>
      </w:r>
    </w:p>
    <w:p w14:paraId="00A07700" w14:textId="77777777" w:rsidR="00F2445C" w:rsidRDefault="00AD7F6E">
      <w:pPr>
        <w:jc w:val="both"/>
      </w:pPr>
      <w:r>
        <w:rPr>
          <w:rFonts w:ascii="Times New Roman" w:hAnsi="Times New Roman" w:eastAsia="Times New Roman" w:cs="Times New Roman"/>
        </w:rPr>
        <w:t>Entrega: Tabela de ensaios, indicadores complementares e limites das relações com fósforo. Conferência cruzada: T6, Vinicius Cordeiro Dos Santos.</w:t>
      </w:r>
    </w:p>
    <w:p w14:paraId="2701E496" w14:textId="77777777" w:rsidR="00F2445C" w:rsidRDefault="00AD7F6E">
      <w:pPr>
        <w:jc w:val="both"/>
      </w:pPr>
      <w:r>
        <w:rPr>
          <w:rFonts w:ascii="Times New Roman" w:hAnsi="Times New Roman" w:eastAsia="Times New Roman" w:cs="Times New Roman"/>
        </w:rPr>
        <w:t xml:space="preserve">T8 integra a seção 4. Leituras prioritárias: R07, R15 e R16. Ligar potencial genético à evidência bioquímica sem equiparar DNA, expressão e fluxo. Usar a relação </w:t>
      </w:r>
      <w:r>
        <w:rPr>
          <w:rFonts w:ascii="Times New Roman" w:hAnsi="Times New Roman" w:eastAsia="Times New Roman" w:cs="Times New Roman"/>
          <w:i/>
        </w:rPr>
        <w:t>phoD</w:t>
      </w:r>
      <w:r>
        <w:rPr>
          <w:rFonts w:ascii="Times New Roman" w:hAnsi="Times New Roman" w:eastAsia="Times New Roman" w:cs="Times New Roman"/>
        </w:rPr>
        <w:t>–fosfatase alcalina; explicar por que ela não identifica diretamente fosfatase ácida. Conferir proporções de sequências e quantificação absoluta. Usar Chuckran para a discordância entre transcritos e crescimento e Ayala-Ortiz para distinguir diversidade alfa, composição e expressão.</w:t>
      </w:r>
    </w:p>
    <w:p w14:paraId="0EAB2111" w14:textId="77777777" w:rsidR="00F2445C" w:rsidRDefault="00AD7F6E">
      <w:pPr>
        <w:jc w:val="both"/>
      </w:pPr>
      <w:r>
        <w:rPr>
          <w:rFonts w:ascii="Times New Roman" w:hAnsi="Times New Roman" w:eastAsia="Times New Roman" w:cs="Times New Roman"/>
        </w:rPr>
        <w:t>Entrega: Escada de evidências com um caso convergente e um discordante ou ainda não demonstrado. Conferência cruzada: T9, Vanessa Rodrigues.</w:t>
      </w:r>
    </w:p>
    <w:p w14:paraId="56204E99" w14:textId="77777777" w:rsidR="00F2445C" w:rsidRDefault="00AD7F6E">
      <w:pPr>
        <w:pStyle w:val="Ttulo2"/>
      </w:pPr>
      <w:r>
        <w:rPr>
          <w:rFonts w:ascii="Times New Roman" w:hAnsi="Times New Roman" w:eastAsia="Times New Roman" w:cs="Times New Roman"/>
        </w:rPr>
        <w:t>Vanessa Rodrigues</w:t>
      </w:r>
    </w:p>
    <w:p w14:paraId="3074155E" w14:textId="77777777" w:rsidR="00F2445C" w:rsidRDefault="00AD7F6E">
      <w:pPr>
        <w:jc w:val="both"/>
      </w:pPr>
      <w:r>
        <w:rPr>
          <w:rFonts w:ascii="Times New Roman" w:hAnsi="Times New Roman" w:eastAsia="Times New Roman" w:cs="Times New Roman"/>
        </w:rPr>
        <w:t>T9 integra a seção 5. Leituras prioritárias: R03 e R04. Preservar o cálculo da mistura por massas de carbono e nitrogênio, retirando limiares universais de mineralização. Integrar qualidade, maturidade, sais e janela hídrica. O estudo de composto e fósforo complementa o diagnóstico, sem validar uma dose para a Caatinga.</w:t>
      </w:r>
    </w:p>
    <w:p w14:paraId="706487C5" w14:textId="77777777" w:rsidR="00F2445C" w:rsidRDefault="00AD7F6E">
      <w:pPr>
        <w:jc w:val="both"/>
      </w:pPr>
      <w:r>
        <w:rPr>
          <w:rFonts w:ascii="Times New Roman" w:hAnsi="Times New Roman" w:eastAsia="Times New Roman" w:cs="Times New Roman"/>
        </w:rPr>
        <w:t>Entrega: Quadro de escolha condicionada de materiais e sincronismo com a demanda da cultura. Conferência cruzada: T8, DIOGO PAES DA COSTA.</w:t>
      </w:r>
    </w:p>
    <w:p w14:paraId="5BB97B7D" w14:textId="77777777" w:rsidR="00F2445C" w:rsidRDefault="00AD7F6E">
      <w:pPr>
        <w:jc w:val="both"/>
      </w:pPr>
      <w:r>
        <w:rPr>
          <w:rFonts w:ascii="Times New Roman" w:hAnsi="Times New Roman" w:eastAsia="Times New Roman" w:cs="Times New Roman"/>
        </w:rPr>
        <w:t>Na mistura de materiais, conservar o cálculo que usa massas de carbono e nitrogênio e resulta em C/N = 23,52, conferindo os dados de entrada. Esse valor calculado não prediz sozinho mineralização líquida, maturidade ou segurança agronômica.</w:t>
      </w:r>
    </w:p>
    <w:p w14:paraId="75C34C0A" w14:textId="77777777" w:rsidR="00F2445C" w:rsidRDefault="00AD7F6E">
      <w:pPr>
        <w:pStyle w:val="Ttulo2"/>
      </w:pPr>
      <w:r>
        <w:rPr>
          <w:rFonts w:ascii="Times New Roman" w:hAnsi="Times New Roman" w:eastAsia="Times New Roman" w:cs="Times New Roman"/>
        </w:rPr>
        <w:t>Raylla Ramos</w:t>
      </w:r>
    </w:p>
    <w:p w14:paraId="60490F78" w14:textId="77777777" w:rsidR="00F2445C" w:rsidRDefault="00AD7F6E">
      <w:pPr>
        <w:jc w:val="both"/>
      </w:pPr>
      <w:r>
        <w:rPr>
          <w:rFonts w:ascii="Times New Roman" w:hAnsi="Times New Roman" w:eastAsia="Times New Roman" w:cs="Times New Roman"/>
        </w:rPr>
        <w:t xml:space="preserve">T10 integra a seção 5. Leituras prioritárias: R01, R11 e R12. Construir a matriz final de convergências e discordâncias. Corrigir a interpretação do aumento não significativo de </w:t>
      </w:r>
      <w:r>
        <w:rPr>
          <w:rFonts w:ascii="Times New Roman" w:hAnsi="Times New Roman" w:eastAsia="Times New Roman" w:cs="Times New Roman"/>
        </w:rPr>
        <w:lastRenderedPageBreak/>
        <w:t>5,4% e do caso com agregação maior e carbono menor. Distinguir três anos de exclusão do pastejo de recuperação já demonstrada.</w:t>
      </w:r>
    </w:p>
    <w:p w14:paraId="6DE367E6" w14:textId="77777777" w:rsidR="00F2445C" w:rsidRDefault="00AD7F6E">
      <w:pPr>
        <w:jc w:val="both"/>
      </w:pPr>
      <w:r>
        <w:rPr>
          <w:rFonts w:ascii="Times New Roman" w:hAnsi="Times New Roman" w:eastAsia="Times New Roman" w:cs="Times New Roman"/>
        </w:rPr>
        <w:t>Entrega: Síntese por cenário de manejo, com evidência, limitação e decisão que permanece aberta. Conferência cruzada: T5, Maria Alice Vitalino de Moraes.</w:t>
      </w:r>
    </w:p>
    <w:p w14:paraId="4815E5AE" w14:textId="77777777" w:rsidR="00F2445C" w:rsidRDefault="00AD7F6E">
      <w:pPr>
        <w:jc w:val="both"/>
      </w:pPr>
      <w:r>
        <w:rPr>
          <w:rFonts w:ascii="Times New Roman" w:hAnsi="Times New Roman" w:eastAsia="Times New Roman" w:cs="Times New Roman"/>
        </w:rPr>
        <w:t>Produto comum para a reunião: uma afirmação principal delimitada; uma tabela de evidências primárias com os campos da seção 5; um caso de convergência; uma discordância ou limite demonstrado; e um parágrafo de ligação à seção seguinte. Como orientação de trabalho, preparar 500–800 palavras por ficha, sem repetir definições já atribuídas a outra seção. Diogo poderá entregar uma síntese única de T7–T8 com as duas trilhas de evidência identificadas.</w:t>
      </w:r>
    </w:p>
    <w:p w14:paraId="0B191942" w14:textId="77777777" w:rsidR="00F2445C" w:rsidRDefault="00AD7F6E">
      <w:pPr>
        <w:jc w:val="both"/>
      </w:pPr>
      <w:r>
        <w:rPr>
          <w:rFonts w:ascii="Times New Roman" w:hAnsi="Times New Roman" w:eastAsia="Times New Roman" w:cs="Times New Roman"/>
        </w:rPr>
        <w:t>Na reunião, cada participante apresentará a afirmação, o estudo que a sustenta e a limitação que altera sua interpretação. O revisor cruzado verificará uma relação central e uma referência. A coordenação consolidará a matriz de cenários, registrará divergências ainda abertas e definirá a próxima versão do manuscrito. Resultados que contrariem a expectativa de recuperação devem permanecer na discussão.</w:t>
      </w:r>
    </w:p>
    <w:p w14:paraId="5CEAB2AB" w14:textId="77777777" w:rsidR="00F2445C" w:rsidRDefault="00AD7F6E">
      <w:pPr>
        <w:pStyle w:val="Ttulo1"/>
      </w:pPr>
      <w:r>
        <w:rPr>
          <w:rFonts w:ascii="Times New Roman" w:hAnsi="Times New Roman" w:eastAsia="Times New Roman" w:cs="Times New Roman"/>
        </w:rPr>
        <w:t>7. Uso obrigatório da coleção de artigos na escrita definitiva</w:t>
      </w:r>
    </w:p>
    <w:p w14:paraId="32D54514" w14:textId="77777777" w:rsidR="00F2445C" w:rsidRDefault="00AD7F6E">
      <w:pPr>
        <w:jc w:val="both"/>
      </w:pPr>
      <w:r>
        <w:rPr>
          <w:rFonts w:ascii="Times New Roman" w:hAnsi="Times New Roman" w:eastAsia="Times New Roman" w:cs="Times New Roman"/>
        </w:rPr>
        <w:t>A redação definitiva dos cinco tópicos deverá partir da coleção de artigos já reunida para este estudo, identificando os trabalhos pelos códigos R01–R17 abaixo. A pasta Colecao_Artigos_Revisao_Caatinga_20261020 está junto deste documento na raiz do projeto. O arquivo INDICE_FONTES.csv relaciona código, referência, DOI, nome do arquivo, situação local e alcance da leitura auditada. A coordenação deverá disponibilizar essa pasta no canal institucional da turma; a existência da cópia local não comprova acesso dos estudantes.</w:t>
      </w:r>
    </w:p>
    <w:p w14:paraId="3AC7ECE1" w14:textId="77777777" w:rsidR="00F2445C" w:rsidRDefault="00AD7F6E">
      <w:pPr>
        <w:jc w:val="both"/>
      </w:pPr>
      <w:r>
        <w:rPr>
          <w:rFonts w:ascii="Times New Roman" w:hAnsi="Times New Roman" w:eastAsia="Times New Roman" w:cs="Times New Roman"/>
        </w:rPr>
        <w:t>A coleção contém 14 PDFs integrais, dois textos integrais em XML e uma ficha de acesso ao texto ainda não arquivado de R02. Arquivo integral disponível e leitura crítica concluída são condições diferentes. Ler métodos, resultados, tabelas e suplementos pertinentes ao argumento; registrar página ou localização. Um resumo, uma nota docente ou um desenho da rede não substitui essa leitura. R02 poderá contextualizar apenas as informações explícitas do resumo até a obtenção do integral, sem inventar coeficiente, método ou tamanho de efeito.</w:t>
      </w:r>
    </w:p>
    <w:p w14:paraId="22D73AB3" w14:textId="77777777" w:rsidR="00F2445C" w:rsidRDefault="00AD7F6E">
      <w:pPr>
        <w:jc w:val="both"/>
      </w:pPr>
      <w:r>
        <w:rPr>
          <w:rFonts w:ascii="Times New Roman" w:hAnsi="Times New Roman" w:eastAsia="Times New Roman" w:cs="Times New Roman"/>
        </w:rPr>
        <w:t xml:space="preserve">Toda afirmação quantitativa deve ser conferida na fonte primária, com comparação, unidade, período e incerteza. Trabalhos citados dentro de um artigo não devem ser incluídos como fontes consultadas sem acesso e verificação próprios. Novas referências poderão </w:t>
      </w:r>
      <w:r>
        <w:rPr>
          <w:rFonts w:ascii="Times New Roman" w:hAnsi="Times New Roman" w:eastAsia="Times New Roman" w:cs="Times New Roman"/>
        </w:rPr>
        <w:lastRenderedPageBreak/>
        <w:t>ampliar a coleção quando responderem a uma lacuna identificada e tiverem existência e conteúdo conferidos. Conservar os originais e registrar atualizações no índice.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A0" w:firstRow="1" w:lastRow="0" w:firstColumn="1" w:lastColumn="0" w:noHBand="0" w:noVBand="1"/>
      </w:tblPr>
      <w:tblGrid>
        <w:gridCol w:w="2551"/>
        <w:gridCol w:w="4195"/>
        <w:gridCol w:w="2324"/>
      </w:tblGrid>
      <w:tr w:rsidR="00F2445C" w14:paraId="087D2F8B" w14:textId="77777777">
        <w:trPr>
          <w:cantSplit/>
          <w:tblHeader/>
          <w:jc w:val="center"/>
        </w:trPr>
        <w:tc>
          <w:tcPr>
            <w:tcW w:w="2551" w:type="dxa"/>
            <w:shd w:val="clear" w:color="auto" w:fill="E7E6E6"/>
            <w:vAlign w:val="center"/>
          </w:tcPr>
          <w:p w14:paraId="35F39907" w14:textId="77777777" w:rsidR="00F2445C" w:rsidRDefault="00AD7F6E">
            <w:pPr>
              <w:keepNext/>
              <w:spacing w:after="20" w:line="259" w:lineRule="auto"/>
              <w:ind w:firstLine="0"/>
            </w:pPr>
            <w:r>
              <w:rPr>
                <w:rFonts w:ascii="Times New Roman" w:hAnsi="Times New Roman" w:eastAsia="Times New Roman" w:cs="Times New Roman"/>
                <w:b/>
                <w:sz w:val="21"/>
              </w:rPr>
              <w:t>Código e fonte</w:t>
            </w:r>
          </w:p>
        </w:tc>
        <w:tc>
          <w:tcPr>
            <w:tcW w:w="4195" w:type="dxa"/>
            <w:shd w:val="clear" w:color="auto" w:fill="E7E6E6"/>
            <w:vAlign w:val="center"/>
          </w:tcPr>
          <w:p w14:paraId="5D427DA1" w14:textId="77777777" w:rsidR="00F2445C" w:rsidRDefault="00AD7F6E">
            <w:pPr>
              <w:keepNext/>
              <w:spacing w:after="20" w:line="259" w:lineRule="auto"/>
              <w:ind w:firstLine="0"/>
            </w:pPr>
            <w:r>
              <w:rPr>
                <w:rFonts w:ascii="Times New Roman" w:hAnsi="Times New Roman" w:eastAsia="Times New Roman" w:cs="Times New Roman"/>
                <w:b/>
                <w:sz w:val="21"/>
              </w:rPr>
              <w:t>Função na redação</w:t>
            </w:r>
          </w:p>
        </w:tc>
        <w:tc>
          <w:tcPr>
            <w:tcW w:w="2324" w:type="dxa"/>
            <w:shd w:val="clear" w:color="auto" w:fill="E7E6E6"/>
            <w:vAlign w:val="center"/>
          </w:tcPr>
          <w:p w14:paraId="5ADA6C64" w14:textId="77777777" w:rsidR="00F2445C" w:rsidRDefault="00AD7F6E">
            <w:pPr>
              <w:keepNext/>
              <w:spacing w:after="20" w:line="259" w:lineRule="auto"/>
              <w:ind w:firstLine="0"/>
            </w:pPr>
            <w:r>
              <w:rPr>
                <w:rFonts w:ascii="Times New Roman" w:hAnsi="Times New Roman" w:eastAsia="Times New Roman" w:cs="Times New Roman"/>
                <w:b/>
                <w:sz w:val="21"/>
              </w:rPr>
              <w:t>Arquivo disponível</w:t>
            </w:r>
          </w:p>
        </w:tc>
      </w:tr>
      <w:tr w:rsidR="00F2445C" w14:paraId="69E93973" w14:textId="77777777">
        <w:trPr>
          <w:cantSplit/>
          <w:jc w:val="center"/>
        </w:trPr>
        <w:tc>
          <w:tcPr>
            <w:tcW w:w="2551" w:type="dxa"/>
            <w:vAlign w:val="center"/>
          </w:tcPr>
          <w:p w14:paraId="45959A99" w14:textId="77777777" w:rsidR="00F2445C" w:rsidRDefault="00AD7F6E">
            <w:pPr>
              <w:spacing w:after="20" w:line="259" w:lineRule="auto"/>
              <w:ind w:firstLine="0"/>
            </w:pPr>
            <w:r>
              <w:rPr>
                <w:rFonts w:ascii="Times New Roman" w:hAnsi="Times New Roman" w:eastAsia="Times New Roman" w:cs="Times New Roman"/>
                <w:sz w:val="21"/>
              </w:rPr>
              <w:t>R01 Souza et al. (2025)</w:t>
            </w:r>
          </w:p>
        </w:tc>
        <w:tc>
          <w:tcPr>
            <w:tcW w:w="4195" w:type="dxa"/>
            <w:vAlign w:val="center"/>
          </w:tcPr>
          <w:p w14:paraId="1758B4C7" w14:textId="77777777" w:rsidR="00F2445C" w:rsidRDefault="00AD7F6E">
            <w:pPr>
              <w:spacing w:after="20" w:line="259" w:lineRule="auto"/>
              <w:ind w:firstLine="0"/>
            </w:pPr>
            <w:r>
              <w:rPr>
                <w:rFonts w:ascii="Times New Roman" w:hAnsi="Times New Roman" w:eastAsia="Times New Roman" w:cs="Times New Roman"/>
                <w:sz w:val="21"/>
              </w:rPr>
              <w:t>CBM carbono e respiração na Caatinga</w:t>
            </w:r>
          </w:p>
        </w:tc>
        <w:tc>
          <w:tcPr>
            <w:tcW w:w="2324" w:type="dxa"/>
            <w:vAlign w:val="center"/>
          </w:tcPr>
          <w:p w14:paraId="411BFDED" w14:textId="77777777" w:rsidR="00F2445C" w:rsidRDefault="00AD7F6E">
            <w:pPr>
              <w:spacing w:after="20" w:line="259" w:lineRule="auto"/>
              <w:ind w:firstLine="0"/>
            </w:pPr>
            <w:r>
              <w:rPr>
                <w:rFonts w:ascii="Times New Roman" w:hAnsi="Times New Roman" w:eastAsia="Times New Roman" w:cs="Times New Roman"/>
                <w:sz w:val="21"/>
              </w:rPr>
              <w:t>PDF integral</w:t>
            </w:r>
          </w:p>
        </w:tc>
      </w:tr>
      <w:tr w:rsidR="00F2445C" w14:paraId="203A5A38" w14:textId="77777777">
        <w:trPr>
          <w:cantSplit/>
          <w:jc w:val="center"/>
        </w:trPr>
        <w:tc>
          <w:tcPr>
            <w:tcW w:w="2551" w:type="dxa"/>
            <w:vAlign w:val="center"/>
          </w:tcPr>
          <w:p w14:paraId="334DCE24" w14:textId="77777777" w:rsidR="00F2445C" w:rsidRDefault="00AD7F6E">
            <w:pPr>
              <w:spacing w:after="20" w:line="259" w:lineRule="auto"/>
              <w:ind w:firstLine="0"/>
            </w:pPr>
            <w:r>
              <w:rPr>
                <w:rFonts w:ascii="Times New Roman" w:hAnsi="Times New Roman" w:eastAsia="Times New Roman" w:cs="Times New Roman"/>
                <w:sz w:val="21"/>
              </w:rPr>
              <w:t>R02 Silva et al. (2024; CATENA)</w:t>
            </w:r>
          </w:p>
        </w:tc>
        <w:tc>
          <w:tcPr>
            <w:tcW w:w="4195" w:type="dxa"/>
            <w:vAlign w:val="center"/>
          </w:tcPr>
          <w:p w14:paraId="4AE9FAFE" w14:textId="77777777" w:rsidR="00F2445C" w:rsidRDefault="00AD7F6E">
            <w:pPr>
              <w:spacing w:after="20" w:line="259" w:lineRule="auto"/>
              <w:ind w:firstLine="0"/>
            </w:pPr>
            <w:r>
              <w:rPr>
                <w:rFonts w:ascii="Times New Roman" w:hAnsi="Times New Roman" w:eastAsia="Times New Roman" w:cs="Times New Roman"/>
                <w:sz w:val="21"/>
              </w:rPr>
              <w:t>Estequiometria enzimática em restauração</w:t>
            </w:r>
          </w:p>
        </w:tc>
        <w:tc>
          <w:tcPr>
            <w:tcW w:w="2324" w:type="dxa"/>
            <w:vAlign w:val="center"/>
          </w:tcPr>
          <w:p w14:paraId="0D4EB9CB" w14:textId="77777777" w:rsidR="00F2445C" w:rsidRDefault="00AD7F6E">
            <w:pPr>
              <w:spacing w:after="20" w:line="259" w:lineRule="auto"/>
              <w:ind w:firstLine="0"/>
            </w:pPr>
            <w:r>
              <w:rPr>
                <w:rFonts w:ascii="Times New Roman" w:hAnsi="Times New Roman" w:eastAsia="Times New Roman" w:cs="Times New Roman"/>
                <w:sz w:val="21"/>
              </w:rPr>
              <w:t>link; integral pendente</w:t>
            </w:r>
          </w:p>
        </w:tc>
      </w:tr>
      <w:tr w:rsidR="00F2445C" w14:paraId="75BC2D9F" w14:textId="77777777">
        <w:trPr>
          <w:cantSplit/>
          <w:jc w:val="center"/>
        </w:trPr>
        <w:tc>
          <w:tcPr>
            <w:tcW w:w="2551" w:type="dxa"/>
            <w:vAlign w:val="center"/>
          </w:tcPr>
          <w:p w14:paraId="79A3D608" w14:textId="77777777" w:rsidR="00F2445C" w:rsidRDefault="00AD7F6E">
            <w:pPr>
              <w:spacing w:after="20" w:line="259" w:lineRule="auto"/>
              <w:ind w:firstLine="0"/>
            </w:pPr>
            <w:r>
              <w:rPr>
                <w:rFonts w:ascii="Times New Roman" w:hAnsi="Times New Roman" w:eastAsia="Times New Roman" w:cs="Times New Roman"/>
                <w:sz w:val="21"/>
              </w:rPr>
              <w:t>R03 Primo et al. (2024)</w:t>
            </w:r>
          </w:p>
        </w:tc>
        <w:tc>
          <w:tcPr>
            <w:tcW w:w="4195" w:type="dxa"/>
            <w:vAlign w:val="center"/>
          </w:tcPr>
          <w:p w14:paraId="1D56D9E2" w14:textId="77777777" w:rsidR="00F2445C" w:rsidRDefault="00AD7F6E">
            <w:pPr>
              <w:spacing w:after="20" w:line="259" w:lineRule="auto"/>
              <w:ind w:firstLine="0"/>
            </w:pPr>
            <w:r>
              <w:rPr>
                <w:rFonts w:ascii="Times New Roman" w:hAnsi="Times New Roman" w:eastAsia="Times New Roman" w:cs="Times New Roman"/>
                <w:sz w:val="21"/>
              </w:rPr>
              <w:t>Resíduos e frações em microcosmo</w:t>
            </w:r>
          </w:p>
        </w:tc>
        <w:tc>
          <w:tcPr>
            <w:tcW w:w="2324" w:type="dxa"/>
            <w:vAlign w:val="center"/>
          </w:tcPr>
          <w:p w14:paraId="27F17903" w14:textId="77777777" w:rsidR="00F2445C" w:rsidRDefault="00AD7F6E">
            <w:pPr>
              <w:spacing w:after="20" w:line="259" w:lineRule="auto"/>
              <w:ind w:firstLine="0"/>
            </w:pPr>
            <w:r>
              <w:rPr>
                <w:rFonts w:ascii="Times New Roman" w:hAnsi="Times New Roman" w:eastAsia="Times New Roman" w:cs="Times New Roman"/>
                <w:sz w:val="21"/>
              </w:rPr>
              <w:t>PDF integral</w:t>
            </w:r>
          </w:p>
        </w:tc>
      </w:tr>
      <w:tr w:rsidR="00F2445C" w14:paraId="6C4F50E5" w14:textId="77777777">
        <w:trPr>
          <w:cantSplit/>
          <w:jc w:val="center"/>
        </w:trPr>
        <w:tc>
          <w:tcPr>
            <w:tcW w:w="2551" w:type="dxa"/>
            <w:vAlign w:val="center"/>
          </w:tcPr>
          <w:p w14:paraId="4F2F1C2E" w14:textId="77777777" w:rsidR="00F2445C" w:rsidRDefault="00AD7F6E">
            <w:pPr>
              <w:spacing w:after="20" w:line="259" w:lineRule="auto"/>
              <w:ind w:firstLine="0"/>
            </w:pPr>
            <w:r>
              <w:rPr>
                <w:rFonts w:ascii="Times New Roman" w:hAnsi="Times New Roman" w:eastAsia="Times New Roman" w:cs="Times New Roman"/>
                <w:sz w:val="21"/>
              </w:rPr>
              <w:t>R04 Wanke et al. (2024)</w:t>
            </w:r>
          </w:p>
        </w:tc>
        <w:tc>
          <w:tcPr>
            <w:tcW w:w="4195" w:type="dxa"/>
            <w:vAlign w:val="center"/>
          </w:tcPr>
          <w:p w14:paraId="5D58EE72" w14:textId="77777777" w:rsidR="00F2445C" w:rsidRDefault="00AD7F6E">
            <w:pPr>
              <w:spacing w:after="20" w:line="259" w:lineRule="auto"/>
              <w:ind w:firstLine="0"/>
            </w:pPr>
            <w:r>
              <w:rPr>
                <w:rFonts w:ascii="Times New Roman" w:hAnsi="Times New Roman" w:eastAsia="Times New Roman" w:cs="Times New Roman"/>
                <w:sz w:val="21"/>
              </w:rPr>
              <w:t>Composto e indicadores de fósforo</w:t>
            </w:r>
          </w:p>
        </w:tc>
        <w:tc>
          <w:tcPr>
            <w:tcW w:w="2324" w:type="dxa"/>
            <w:vAlign w:val="center"/>
          </w:tcPr>
          <w:p w14:paraId="37C06E2C" w14:textId="77777777" w:rsidR="00F2445C" w:rsidRDefault="00AD7F6E">
            <w:pPr>
              <w:spacing w:after="20" w:line="259" w:lineRule="auto"/>
              <w:ind w:firstLine="0"/>
            </w:pPr>
            <w:r>
              <w:rPr>
                <w:rFonts w:ascii="Times New Roman" w:hAnsi="Times New Roman" w:eastAsia="Times New Roman" w:cs="Times New Roman"/>
                <w:sz w:val="21"/>
              </w:rPr>
              <w:t>PDF integral</w:t>
            </w:r>
          </w:p>
        </w:tc>
      </w:tr>
      <w:tr w:rsidR="00F2445C" w14:paraId="3F8C880C" w14:textId="77777777">
        <w:trPr>
          <w:cantSplit/>
          <w:jc w:val="center"/>
        </w:trPr>
        <w:tc>
          <w:tcPr>
            <w:tcW w:w="2551" w:type="dxa"/>
            <w:vAlign w:val="center"/>
          </w:tcPr>
          <w:p w14:paraId="39DF42E6" w14:textId="77777777" w:rsidR="00F2445C" w:rsidRDefault="00AD7F6E">
            <w:pPr>
              <w:spacing w:after="20" w:line="259" w:lineRule="auto"/>
              <w:ind w:firstLine="0"/>
            </w:pPr>
            <w:r>
              <w:rPr>
                <w:rFonts w:ascii="Times New Roman" w:hAnsi="Times New Roman" w:eastAsia="Times New Roman" w:cs="Times New Roman"/>
                <w:sz w:val="21"/>
              </w:rPr>
              <w:t>R05 Canarini et al. (2024)</w:t>
            </w:r>
          </w:p>
        </w:tc>
        <w:tc>
          <w:tcPr>
            <w:tcW w:w="4195" w:type="dxa"/>
            <w:vAlign w:val="center"/>
          </w:tcPr>
          <w:p w14:paraId="45164600" w14:textId="77777777" w:rsidR="00F2445C" w:rsidRDefault="00AD7F6E">
            <w:pPr>
              <w:spacing w:after="20" w:line="259" w:lineRule="auto"/>
              <w:ind w:firstLine="0"/>
            </w:pPr>
            <w:r>
              <w:rPr>
                <w:rFonts w:ascii="Times New Roman" w:hAnsi="Times New Roman" w:eastAsia="Times New Roman" w:cs="Times New Roman"/>
                <w:sz w:val="21"/>
              </w:rPr>
              <w:t>Seca crescimento e eficiência microbiana</w:t>
            </w:r>
          </w:p>
        </w:tc>
        <w:tc>
          <w:tcPr>
            <w:tcW w:w="2324" w:type="dxa"/>
            <w:vAlign w:val="center"/>
          </w:tcPr>
          <w:p w14:paraId="02883CAE" w14:textId="77777777" w:rsidR="00F2445C" w:rsidRDefault="00AD7F6E">
            <w:pPr>
              <w:spacing w:after="20" w:line="259" w:lineRule="auto"/>
              <w:ind w:firstLine="0"/>
            </w:pPr>
            <w:r>
              <w:rPr>
                <w:rFonts w:ascii="Times New Roman" w:hAnsi="Times New Roman" w:eastAsia="Times New Roman" w:cs="Times New Roman"/>
                <w:sz w:val="21"/>
              </w:rPr>
              <w:t>PDF integral</w:t>
            </w:r>
          </w:p>
        </w:tc>
      </w:tr>
      <w:tr w:rsidR="00F2445C" w14:paraId="5056666C" w14:textId="77777777">
        <w:trPr>
          <w:cantSplit/>
          <w:jc w:val="center"/>
        </w:trPr>
        <w:tc>
          <w:tcPr>
            <w:tcW w:w="2551" w:type="dxa"/>
            <w:vAlign w:val="center"/>
          </w:tcPr>
          <w:p w14:paraId="0D4C0DFB" w14:textId="77777777" w:rsidR="00F2445C" w:rsidRDefault="00AD7F6E">
            <w:pPr>
              <w:spacing w:after="20" w:line="259" w:lineRule="auto"/>
              <w:ind w:firstLine="0"/>
            </w:pPr>
            <w:r>
              <w:rPr>
                <w:rFonts w:ascii="Times New Roman" w:hAnsi="Times New Roman" w:eastAsia="Times New Roman" w:cs="Times New Roman"/>
                <w:sz w:val="21"/>
              </w:rPr>
              <w:t>R06 Silva et al. (2024; Microbiological Research)</w:t>
            </w:r>
          </w:p>
        </w:tc>
        <w:tc>
          <w:tcPr>
            <w:tcW w:w="4195" w:type="dxa"/>
            <w:vAlign w:val="center"/>
          </w:tcPr>
          <w:p w14:paraId="39C10397" w14:textId="77777777" w:rsidR="00F2445C" w:rsidRDefault="00AD7F6E">
            <w:pPr>
              <w:spacing w:after="20" w:line="259" w:lineRule="auto"/>
              <w:ind w:firstLine="0"/>
            </w:pPr>
            <w:r>
              <w:rPr>
                <w:rFonts w:ascii="Times New Roman" w:hAnsi="Times New Roman" w:eastAsia="Times New Roman" w:cs="Times New Roman"/>
                <w:sz w:val="21"/>
              </w:rPr>
              <w:t>Fungos biomassa e fosfatase ácida</w:t>
            </w:r>
          </w:p>
        </w:tc>
        <w:tc>
          <w:tcPr>
            <w:tcW w:w="2324" w:type="dxa"/>
            <w:vAlign w:val="center"/>
          </w:tcPr>
          <w:p w14:paraId="3CB3948B" w14:textId="77777777" w:rsidR="00F2445C" w:rsidRDefault="00AD7F6E">
            <w:pPr>
              <w:spacing w:after="20" w:line="259" w:lineRule="auto"/>
              <w:ind w:firstLine="0"/>
            </w:pPr>
            <w:r>
              <w:rPr>
                <w:rFonts w:ascii="Times New Roman" w:hAnsi="Times New Roman" w:eastAsia="Times New Roman" w:cs="Times New Roman"/>
                <w:sz w:val="21"/>
              </w:rPr>
              <w:t>PDF integral</w:t>
            </w:r>
          </w:p>
        </w:tc>
      </w:tr>
      <w:tr w:rsidR="00F2445C" w14:paraId="66C27D3D" w14:textId="77777777">
        <w:trPr>
          <w:cantSplit/>
          <w:jc w:val="center"/>
        </w:trPr>
        <w:tc>
          <w:tcPr>
            <w:tcW w:w="2551" w:type="dxa"/>
            <w:vAlign w:val="center"/>
          </w:tcPr>
          <w:p w14:paraId="1DA4137B" w14:textId="77777777" w:rsidR="00F2445C" w:rsidRDefault="00AD7F6E">
            <w:pPr>
              <w:spacing w:after="20" w:line="259" w:lineRule="auto"/>
              <w:ind w:firstLine="0"/>
            </w:pPr>
            <w:r>
              <w:rPr>
                <w:rFonts w:ascii="Times New Roman" w:hAnsi="Times New Roman" w:eastAsia="Times New Roman" w:cs="Times New Roman"/>
                <w:sz w:val="21"/>
              </w:rPr>
              <w:t>R07 Silva et al. (2024; Applied Soil Ecology)</w:t>
            </w:r>
          </w:p>
        </w:tc>
        <w:tc>
          <w:tcPr>
            <w:tcW w:w="4195" w:type="dxa"/>
            <w:vAlign w:val="center"/>
          </w:tcPr>
          <w:p w14:paraId="3A8C0BC8" w14:textId="77777777" w:rsidR="00F2445C" w:rsidRDefault="00AD7F6E">
            <w:pPr>
              <w:spacing w:after="20" w:line="259" w:lineRule="auto"/>
              <w:ind w:firstLine="0"/>
            </w:pPr>
            <w:r>
              <w:rPr>
                <w:rFonts w:ascii="Times New Roman" w:hAnsi="Times New Roman" w:eastAsia="Times New Roman" w:cs="Times New Roman"/>
                <w:sz w:val="21"/>
              </w:rPr>
              <w:t>Genes do ciclo de N e P e fosfatase alcalina</w:t>
            </w:r>
          </w:p>
        </w:tc>
        <w:tc>
          <w:tcPr>
            <w:tcW w:w="2324" w:type="dxa"/>
            <w:vAlign w:val="center"/>
          </w:tcPr>
          <w:p w14:paraId="29ACD70B" w14:textId="77777777" w:rsidR="00F2445C" w:rsidRDefault="00AD7F6E">
            <w:pPr>
              <w:spacing w:after="20" w:line="259" w:lineRule="auto"/>
              <w:ind w:firstLine="0"/>
            </w:pPr>
            <w:r>
              <w:rPr>
                <w:rFonts w:ascii="Times New Roman" w:hAnsi="Times New Roman" w:eastAsia="Times New Roman" w:cs="Times New Roman"/>
                <w:sz w:val="21"/>
              </w:rPr>
              <w:t>PDF integral</w:t>
            </w:r>
          </w:p>
        </w:tc>
      </w:tr>
      <w:tr w:rsidR="00F2445C" w14:paraId="6D1482A7" w14:textId="77777777">
        <w:trPr>
          <w:cantSplit/>
          <w:jc w:val="center"/>
        </w:trPr>
        <w:tc>
          <w:tcPr>
            <w:tcW w:w="2551" w:type="dxa"/>
            <w:vAlign w:val="center"/>
          </w:tcPr>
          <w:p w14:paraId="4E4B687F" w14:textId="77777777" w:rsidR="00F2445C" w:rsidRDefault="00AD7F6E">
            <w:pPr>
              <w:spacing w:after="20" w:line="259" w:lineRule="auto"/>
              <w:ind w:firstLine="0"/>
            </w:pPr>
            <w:r>
              <w:rPr>
                <w:rFonts w:ascii="Times New Roman" w:hAnsi="Times New Roman" w:eastAsia="Times New Roman" w:cs="Times New Roman"/>
                <w:sz w:val="21"/>
              </w:rPr>
              <w:t>R08 Tao et al. (2023)</w:t>
            </w:r>
          </w:p>
        </w:tc>
        <w:tc>
          <w:tcPr>
            <w:tcW w:w="4195" w:type="dxa"/>
            <w:vAlign w:val="center"/>
          </w:tcPr>
          <w:p w14:paraId="3DF4BA16" w14:textId="77777777" w:rsidR="00F2445C" w:rsidRDefault="00AD7F6E">
            <w:pPr>
              <w:spacing w:after="20" w:line="259" w:lineRule="auto"/>
              <w:ind w:firstLine="0"/>
            </w:pPr>
            <w:r>
              <w:rPr>
                <w:rFonts w:ascii="Times New Roman" w:hAnsi="Times New Roman" w:eastAsia="Times New Roman" w:cs="Times New Roman"/>
                <w:sz w:val="21"/>
              </w:rPr>
              <w:t>Síntese global de eficiência e carbono</w:t>
            </w:r>
          </w:p>
        </w:tc>
        <w:tc>
          <w:tcPr>
            <w:tcW w:w="2324" w:type="dxa"/>
            <w:vAlign w:val="center"/>
          </w:tcPr>
          <w:p w14:paraId="7093B1AF" w14:textId="77777777" w:rsidR="00F2445C" w:rsidRDefault="00AD7F6E">
            <w:pPr>
              <w:spacing w:after="20" w:line="259" w:lineRule="auto"/>
              <w:ind w:firstLine="0"/>
            </w:pPr>
            <w:r>
              <w:rPr>
                <w:rFonts w:ascii="Times New Roman" w:hAnsi="Times New Roman" w:eastAsia="Times New Roman" w:cs="Times New Roman"/>
                <w:sz w:val="21"/>
              </w:rPr>
              <w:t>PDF integral</w:t>
            </w:r>
          </w:p>
        </w:tc>
      </w:tr>
      <w:tr w:rsidR="00F2445C" w14:paraId="56688CC2" w14:textId="77777777">
        <w:trPr>
          <w:cantSplit/>
          <w:jc w:val="center"/>
        </w:trPr>
        <w:tc>
          <w:tcPr>
            <w:tcW w:w="2551" w:type="dxa"/>
            <w:vAlign w:val="center"/>
          </w:tcPr>
          <w:p w14:paraId="46E53914" w14:textId="77777777" w:rsidR="00F2445C" w:rsidRDefault="00AD7F6E">
            <w:pPr>
              <w:spacing w:after="20" w:line="259" w:lineRule="auto"/>
              <w:ind w:firstLine="0"/>
            </w:pPr>
            <w:r>
              <w:rPr>
                <w:rFonts w:ascii="Times New Roman" w:hAnsi="Times New Roman" w:eastAsia="Times New Roman" w:cs="Times New Roman"/>
                <w:sz w:val="21"/>
              </w:rPr>
              <w:t>R09 Jiang et al. (2024)</w:t>
            </w:r>
          </w:p>
        </w:tc>
        <w:tc>
          <w:tcPr>
            <w:tcW w:w="4195" w:type="dxa"/>
            <w:vAlign w:val="center"/>
          </w:tcPr>
          <w:p w14:paraId="62CB8A35" w14:textId="77777777" w:rsidR="00F2445C" w:rsidRDefault="00AD7F6E">
            <w:pPr>
              <w:spacing w:after="20" w:line="259" w:lineRule="auto"/>
              <w:ind w:firstLine="0"/>
            </w:pPr>
            <w:r>
              <w:rPr>
                <w:rFonts w:ascii="Times New Roman" w:hAnsi="Times New Roman" w:eastAsia="Times New Roman" w:cs="Times New Roman"/>
                <w:sz w:val="21"/>
              </w:rPr>
              <w:t>Competição microbiana por fósforo</w:t>
            </w:r>
          </w:p>
        </w:tc>
        <w:tc>
          <w:tcPr>
            <w:tcW w:w="2324" w:type="dxa"/>
            <w:vAlign w:val="center"/>
          </w:tcPr>
          <w:p w14:paraId="3581FA35" w14:textId="77777777" w:rsidR="00F2445C" w:rsidRDefault="00AD7F6E">
            <w:pPr>
              <w:spacing w:after="20" w:line="259" w:lineRule="auto"/>
              <w:ind w:firstLine="0"/>
            </w:pPr>
            <w:r>
              <w:rPr>
                <w:rFonts w:ascii="Times New Roman" w:hAnsi="Times New Roman" w:eastAsia="Times New Roman" w:cs="Times New Roman"/>
                <w:sz w:val="21"/>
              </w:rPr>
              <w:t>PDF integral</w:t>
            </w:r>
          </w:p>
        </w:tc>
      </w:tr>
      <w:tr w:rsidR="00F2445C" w14:paraId="0CF9D0DB" w14:textId="77777777">
        <w:trPr>
          <w:cantSplit/>
          <w:jc w:val="center"/>
        </w:trPr>
        <w:tc>
          <w:tcPr>
            <w:tcW w:w="2551" w:type="dxa"/>
            <w:vAlign w:val="center"/>
          </w:tcPr>
          <w:p w14:paraId="03ECCF96" w14:textId="77777777" w:rsidR="00F2445C" w:rsidRDefault="00AD7F6E">
            <w:pPr>
              <w:spacing w:after="20" w:line="259" w:lineRule="auto"/>
              <w:ind w:firstLine="0"/>
            </w:pPr>
            <w:r>
              <w:rPr>
                <w:rFonts w:ascii="Times New Roman" w:hAnsi="Times New Roman" w:eastAsia="Times New Roman" w:cs="Times New Roman"/>
                <w:sz w:val="21"/>
              </w:rPr>
              <w:t>R10 Lieberman et al. (2025)</w:t>
            </w:r>
          </w:p>
        </w:tc>
        <w:tc>
          <w:tcPr>
            <w:tcW w:w="4195" w:type="dxa"/>
            <w:vAlign w:val="center"/>
          </w:tcPr>
          <w:p w14:paraId="2EE4708E" w14:textId="77777777" w:rsidR="00F2445C" w:rsidRDefault="00AD7F6E">
            <w:pPr>
              <w:spacing w:after="20" w:line="259" w:lineRule="auto"/>
              <w:ind w:firstLine="0"/>
            </w:pPr>
            <w:r>
              <w:rPr>
                <w:rFonts w:ascii="Times New Roman" w:hAnsi="Times New Roman" w:eastAsia="Times New Roman" w:cs="Times New Roman"/>
                <w:sz w:val="21"/>
              </w:rPr>
              <w:t>Proposição sobre fósforo e matéria orgânica mineral</w:t>
            </w:r>
          </w:p>
        </w:tc>
        <w:tc>
          <w:tcPr>
            <w:tcW w:w="2324" w:type="dxa"/>
            <w:vAlign w:val="center"/>
          </w:tcPr>
          <w:p w14:paraId="0CBEC0DF" w14:textId="77777777" w:rsidR="00F2445C" w:rsidRDefault="00AD7F6E">
            <w:pPr>
              <w:spacing w:after="20" w:line="259" w:lineRule="auto"/>
              <w:ind w:firstLine="0"/>
            </w:pPr>
            <w:r>
              <w:rPr>
                <w:rFonts w:ascii="Times New Roman" w:hAnsi="Times New Roman" w:eastAsia="Times New Roman" w:cs="Times New Roman"/>
                <w:sz w:val="21"/>
              </w:rPr>
              <w:t>texto integral em XML</w:t>
            </w:r>
          </w:p>
        </w:tc>
      </w:tr>
      <w:tr w:rsidR="00F2445C" w14:paraId="509E2097" w14:textId="77777777">
        <w:trPr>
          <w:cantSplit/>
          <w:jc w:val="center"/>
        </w:trPr>
        <w:tc>
          <w:tcPr>
            <w:tcW w:w="2551" w:type="dxa"/>
            <w:vAlign w:val="center"/>
          </w:tcPr>
          <w:p w14:paraId="66CE0A9E" w14:textId="77777777" w:rsidR="00F2445C" w:rsidRDefault="00AD7F6E">
            <w:pPr>
              <w:spacing w:after="20" w:line="259" w:lineRule="auto"/>
              <w:ind w:firstLine="0"/>
            </w:pPr>
            <w:r>
              <w:rPr>
                <w:rFonts w:ascii="Times New Roman" w:hAnsi="Times New Roman" w:eastAsia="Times New Roman" w:cs="Times New Roman"/>
                <w:sz w:val="21"/>
              </w:rPr>
              <w:t>R11 Souza et al. (2023)</w:t>
            </w:r>
          </w:p>
        </w:tc>
        <w:tc>
          <w:tcPr>
            <w:tcW w:w="4195" w:type="dxa"/>
            <w:vAlign w:val="center"/>
          </w:tcPr>
          <w:p w14:paraId="097A3DEC" w14:textId="77777777" w:rsidR="00F2445C" w:rsidRDefault="00AD7F6E">
            <w:pPr>
              <w:spacing w:after="20" w:line="259" w:lineRule="auto"/>
              <w:ind w:firstLine="0"/>
            </w:pPr>
            <w:r>
              <w:rPr>
                <w:rFonts w:ascii="Times New Roman" w:hAnsi="Times New Roman" w:eastAsia="Times New Roman" w:cs="Times New Roman"/>
                <w:sz w:val="21"/>
              </w:rPr>
              <w:t>Escoamento e perda de solo em Pesqueira</w:t>
            </w:r>
          </w:p>
        </w:tc>
        <w:tc>
          <w:tcPr>
            <w:tcW w:w="2324" w:type="dxa"/>
            <w:vAlign w:val="center"/>
          </w:tcPr>
          <w:p w14:paraId="31A63724" w14:textId="77777777" w:rsidR="00F2445C" w:rsidRDefault="00AD7F6E">
            <w:pPr>
              <w:spacing w:after="20" w:line="259" w:lineRule="auto"/>
              <w:ind w:firstLine="0"/>
            </w:pPr>
            <w:r>
              <w:rPr>
                <w:rFonts w:ascii="Times New Roman" w:hAnsi="Times New Roman" w:eastAsia="Times New Roman" w:cs="Times New Roman"/>
                <w:sz w:val="21"/>
              </w:rPr>
              <w:t>PDF integral</w:t>
            </w:r>
          </w:p>
        </w:tc>
      </w:tr>
      <w:tr w:rsidR="00F2445C" w14:paraId="1552C9D6" w14:textId="77777777">
        <w:trPr>
          <w:cantSplit/>
          <w:jc w:val="center"/>
        </w:trPr>
        <w:tc>
          <w:tcPr>
            <w:tcW w:w="2551" w:type="dxa"/>
            <w:vAlign w:val="center"/>
          </w:tcPr>
          <w:p w14:paraId="5D5529C1" w14:textId="77777777" w:rsidR="00F2445C" w:rsidRDefault="00AD7F6E">
            <w:pPr>
              <w:spacing w:after="20" w:line="259" w:lineRule="auto"/>
              <w:ind w:firstLine="0"/>
            </w:pPr>
            <w:r>
              <w:rPr>
                <w:rFonts w:ascii="Times New Roman" w:hAnsi="Times New Roman" w:eastAsia="Times New Roman" w:cs="Times New Roman"/>
                <w:sz w:val="21"/>
              </w:rPr>
              <w:t>R12 Medeiros et al. (2023)</w:t>
            </w:r>
          </w:p>
        </w:tc>
        <w:tc>
          <w:tcPr>
            <w:tcW w:w="4195" w:type="dxa"/>
            <w:vAlign w:val="center"/>
          </w:tcPr>
          <w:p w14:paraId="272FB658" w14:textId="77777777" w:rsidR="00F2445C" w:rsidRDefault="00AD7F6E">
            <w:pPr>
              <w:spacing w:after="20" w:line="259" w:lineRule="auto"/>
              <w:ind w:firstLine="0"/>
            </w:pPr>
            <w:r>
              <w:rPr>
                <w:rFonts w:ascii="Times New Roman" w:hAnsi="Times New Roman" w:eastAsia="Times New Roman" w:cs="Times New Roman"/>
                <w:sz w:val="21"/>
              </w:rPr>
              <w:t>Agregação e estoque em solos do semiárido</w:t>
            </w:r>
          </w:p>
        </w:tc>
        <w:tc>
          <w:tcPr>
            <w:tcW w:w="2324" w:type="dxa"/>
            <w:vAlign w:val="center"/>
          </w:tcPr>
          <w:p w14:paraId="6C7310A7" w14:textId="77777777" w:rsidR="00F2445C" w:rsidRDefault="00AD7F6E">
            <w:pPr>
              <w:spacing w:after="20" w:line="259" w:lineRule="auto"/>
              <w:ind w:firstLine="0"/>
            </w:pPr>
            <w:r>
              <w:rPr>
                <w:rFonts w:ascii="Times New Roman" w:hAnsi="Times New Roman" w:eastAsia="Times New Roman" w:cs="Times New Roman"/>
                <w:sz w:val="21"/>
              </w:rPr>
              <w:t>PDF integral</w:t>
            </w:r>
          </w:p>
        </w:tc>
      </w:tr>
      <w:tr w:rsidR="00F2445C" w14:paraId="12C361D5" w14:textId="77777777">
        <w:trPr>
          <w:cantSplit/>
          <w:jc w:val="center"/>
        </w:trPr>
        <w:tc>
          <w:tcPr>
            <w:tcW w:w="2551" w:type="dxa"/>
            <w:vAlign w:val="center"/>
          </w:tcPr>
          <w:p w14:paraId="2415D143" w14:textId="77777777" w:rsidR="00F2445C" w:rsidRDefault="00AD7F6E">
            <w:pPr>
              <w:spacing w:after="20" w:line="259" w:lineRule="auto"/>
              <w:ind w:firstLine="0"/>
            </w:pPr>
            <w:r>
              <w:rPr>
                <w:rFonts w:ascii="Times New Roman" w:hAnsi="Times New Roman" w:eastAsia="Times New Roman" w:cs="Times New Roman"/>
                <w:sz w:val="21"/>
              </w:rPr>
              <w:t>R13 Vasconcelos et al. (2025)</w:t>
            </w:r>
          </w:p>
        </w:tc>
        <w:tc>
          <w:tcPr>
            <w:tcW w:w="4195" w:type="dxa"/>
            <w:vAlign w:val="center"/>
          </w:tcPr>
          <w:p w14:paraId="7409CBDB" w14:textId="77777777" w:rsidR="00F2445C" w:rsidRDefault="00AD7F6E">
            <w:pPr>
              <w:spacing w:after="20" w:line="259" w:lineRule="auto"/>
              <w:ind w:firstLine="0"/>
            </w:pPr>
            <w:r>
              <w:rPr>
                <w:rFonts w:ascii="Times New Roman" w:hAnsi="Times New Roman" w:eastAsia="Times New Roman" w:cs="Times New Roman"/>
                <w:sz w:val="21"/>
              </w:rPr>
              <w:t>Granulometria porosidade e biomassa</w:t>
            </w:r>
          </w:p>
        </w:tc>
        <w:tc>
          <w:tcPr>
            <w:tcW w:w="2324" w:type="dxa"/>
            <w:vAlign w:val="center"/>
          </w:tcPr>
          <w:p w14:paraId="36DE8C91" w14:textId="77777777" w:rsidR="00F2445C" w:rsidRDefault="00AD7F6E">
            <w:pPr>
              <w:spacing w:after="20" w:line="259" w:lineRule="auto"/>
              <w:ind w:firstLine="0"/>
            </w:pPr>
            <w:r>
              <w:rPr>
                <w:rFonts w:ascii="Times New Roman" w:hAnsi="Times New Roman" w:eastAsia="Times New Roman" w:cs="Times New Roman"/>
                <w:sz w:val="21"/>
              </w:rPr>
              <w:t>PDF integral</w:t>
            </w:r>
          </w:p>
        </w:tc>
      </w:tr>
      <w:tr w:rsidR="00F2445C" w14:paraId="33864216" w14:textId="77777777">
        <w:trPr>
          <w:cantSplit/>
          <w:jc w:val="center"/>
        </w:trPr>
        <w:tc>
          <w:tcPr>
            <w:tcW w:w="2551" w:type="dxa"/>
            <w:vAlign w:val="center"/>
          </w:tcPr>
          <w:p w14:paraId="6C8CE2F8" w14:textId="77777777" w:rsidR="00F2445C" w:rsidRDefault="00AD7F6E">
            <w:pPr>
              <w:spacing w:after="20" w:line="259" w:lineRule="auto"/>
              <w:ind w:firstLine="0"/>
            </w:pPr>
            <w:r>
              <w:rPr>
                <w:rFonts w:ascii="Times New Roman" w:hAnsi="Times New Roman" w:eastAsia="Times New Roman" w:cs="Times New Roman"/>
                <w:sz w:val="21"/>
              </w:rPr>
              <w:t>R14 Macedo et al. (2023)</w:t>
            </w:r>
          </w:p>
        </w:tc>
        <w:tc>
          <w:tcPr>
            <w:tcW w:w="4195" w:type="dxa"/>
            <w:vAlign w:val="center"/>
          </w:tcPr>
          <w:p w14:paraId="73EC45F1" w14:textId="77777777" w:rsidR="00F2445C" w:rsidRDefault="00AD7F6E">
            <w:pPr>
              <w:spacing w:after="20" w:line="259" w:lineRule="auto"/>
              <w:ind w:firstLine="0"/>
            </w:pPr>
            <w:r>
              <w:rPr>
                <w:rFonts w:ascii="Times New Roman" w:hAnsi="Times New Roman" w:eastAsia="Times New Roman" w:cs="Times New Roman"/>
                <w:sz w:val="21"/>
              </w:rPr>
              <w:t>Bases CTC e contexto de degradação</w:t>
            </w:r>
          </w:p>
        </w:tc>
        <w:tc>
          <w:tcPr>
            <w:tcW w:w="2324" w:type="dxa"/>
            <w:vAlign w:val="center"/>
          </w:tcPr>
          <w:p w14:paraId="4A442683" w14:textId="77777777" w:rsidR="00F2445C" w:rsidRDefault="00AD7F6E">
            <w:pPr>
              <w:spacing w:after="20" w:line="259" w:lineRule="auto"/>
              <w:ind w:firstLine="0"/>
            </w:pPr>
            <w:r>
              <w:rPr>
                <w:rFonts w:ascii="Times New Roman" w:hAnsi="Times New Roman" w:eastAsia="Times New Roman" w:cs="Times New Roman"/>
                <w:sz w:val="21"/>
              </w:rPr>
              <w:t>PDF integral</w:t>
            </w:r>
          </w:p>
        </w:tc>
      </w:tr>
      <w:tr w:rsidR="00F2445C" w14:paraId="63AF1157" w14:textId="77777777">
        <w:trPr>
          <w:cantSplit/>
          <w:jc w:val="center"/>
        </w:trPr>
        <w:tc>
          <w:tcPr>
            <w:tcW w:w="2551" w:type="dxa"/>
            <w:vAlign w:val="center"/>
          </w:tcPr>
          <w:p w14:paraId="40A21F4F" w14:textId="77777777" w:rsidR="00F2445C" w:rsidRDefault="00AD7F6E">
            <w:pPr>
              <w:spacing w:after="20" w:line="259" w:lineRule="auto"/>
              <w:ind w:firstLine="0"/>
            </w:pPr>
            <w:r>
              <w:rPr>
                <w:rFonts w:ascii="Times New Roman" w:hAnsi="Times New Roman" w:eastAsia="Times New Roman" w:cs="Times New Roman"/>
                <w:sz w:val="21"/>
              </w:rPr>
              <w:t>R15 Chuckran et al. (2025)</w:t>
            </w:r>
          </w:p>
        </w:tc>
        <w:tc>
          <w:tcPr>
            <w:tcW w:w="4195" w:type="dxa"/>
            <w:vAlign w:val="center"/>
          </w:tcPr>
          <w:p w14:paraId="2697E0F5" w14:textId="77777777" w:rsidR="00F2445C" w:rsidRDefault="00AD7F6E">
            <w:pPr>
              <w:spacing w:after="20" w:line="259" w:lineRule="auto"/>
              <w:ind w:firstLine="0"/>
            </w:pPr>
            <w:r>
              <w:rPr>
                <w:rFonts w:ascii="Times New Roman" w:hAnsi="Times New Roman" w:eastAsia="Times New Roman" w:cs="Times New Roman"/>
                <w:sz w:val="21"/>
              </w:rPr>
              <w:t>Transcritos e crescimento após reumedecimento</w:t>
            </w:r>
          </w:p>
        </w:tc>
        <w:tc>
          <w:tcPr>
            <w:tcW w:w="2324" w:type="dxa"/>
            <w:vAlign w:val="center"/>
          </w:tcPr>
          <w:p w14:paraId="2B9DE6E1" w14:textId="77777777" w:rsidR="00F2445C" w:rsidRDefault="00AD7F6E">
            <w:pPr>
              <w:spacing w:after="20" w:line="259" w:lineRule="auto"/>
              <w:ind w:firstLine="0"/>
            </w:pPr>
            <w:r>
              <w:rPr>
                <w:rFonts w:ascii="Times New Roman" w:hAnsi="Times New Roman" w:eastAsia="Times New Roman" w:cs="Times New Roman"/>
                <w:sz w:val="21"/>
              </w:rPr>
              <w:t>texto integral em XML</w:t>
            </w:r>
          </w:p>
        </w:tc>
      </w:tr>
      <w:tr w:rsidR="00F2445C" w14:paraId="2921CA91" w14:textId="77777777">
        <w:trPr>
          <w:cantSplit/>
          <w:jc w:val="center"/>
        </w:trPr>
        <w:tc>
          <w:tcPr>
            <w:tcW w:w="2551" w:type="dxa"/>
            <w:vAlign w:val="center"/>
          </w:tcPr>
          <w:p w14:paraId="4E391B02" w14:textId="77777777" w:rsidR="00F2445C" w:rsidRDefault="00AD7F6E">
            <w:pPr>
              <w:spacing w:after="20" w:line="259" w:lineRule="auto"/>
              <w:ind w:firstLine="0"/>
            </w:pPr>
            <w:r>
              <w:rPr>
                <w:rFonts w:ascii="Times New Roman" w:hAnsi="Times New Roman" w:eastAsia="Times New Roman" w:cs="Times New Roman"/>
                <w:sz w:val="21"/>
              </w:rPr>
              <w:t>R16 Ayala-Ortiz et al. (2025)</w:t>
            </w:r>
          </w:p>
        </w:tc>
        <w:tc>
          <w:tcPr>
            <w:tcW w:w="4195" w:type="dxa"/>
            <w:vAlign w:val="center"/>
          </w:tcPr>
          <w:p w14:paraId="7FCE04D9" w14:textId="77777777" w:rsidR="00F2445C" w:rsidRDefault="00AD7F6E">
            <w:pPr>
              <w:spacing w:after="20" w:line="259" w:lineRule="auto"/>
              <w:ind w:firstLine="0"/>
            </w:pPr>
            <w:r>
              <w:rPr>
                <w:rFonts w:ascii="Times New Roman" w:hAnsi="Times New Roman" w:eastAsia="Times New Roman" w:cs="Times New Roman"/>
                <w:sz w:val="21"/>
              </w:rPr>
              <w:t>Diversidade composição e monções</w:t>
            </w:r>
          </w:p>
        </w:tc>
        <w:tc>
          <w:tcPr>
            <w:tcW w:w="2324" w:type="dxa"/>
            <w:vAlign w:val="center"/>
          </w:tcPr>
          <w:p w14:paraId="1D9CF2F8" w14:textId="77777777" w:rsidR="00F2445C" w:rsidRDefault="00AD7F6E">
            <w:pPr>
              <w:spacing w:after="20" w:line="259" w:lineRule="auto"/>
              <w:ind w:firstLine="0"/>
            </w:pPr>
            <w:r>
              <w:rPr>
                <w:rFonts w:ascii="Times New Roman" w:hAnsi="Times New Roman" w:eastAsia="Times New Roman" w:cs="Times New Roman"/>
                <w:sz w:val="21"/>
              </w:rPr>
              <w:t>PDF integral</w:t>
            </w:r>
          </w:p>
        </w:tc>
      </w:tr>
      <w:tr w:rsidR="00F2445C" w14:paraId="4095A1A7" w14:textId="77777777">
        <w:trPr>
          <w:cantSplit/>
          <w:jc w:val="center"/>
        </w:trPr>
        <w:tc>
          <w:tcPr>
            <w:tcW w:w="2551" w:type="dxa"/>
            <w:vAlign w:val="center"/>
          </w:tcPr>
          <w:p w14:paraId="1064F88B" w14:textId="77777777" w:rsidR="00F2445C" w:rsidRDefault="00AD7F6E">
            <w:pPr>
              <w:spacing w:after="20" w:line="259" w:lineRule="auto"/>
              <w:ind w:firstLine="0"/>
            </w:pPr>
            <w:r>
              <w:rPr>
                <w:rFonts w:ascii="Times New Roman" w:hAnsi="Times New Roman" w:eastAsia="Times New Roman" w:cs="Times New Roman"/>
                <w:sz w:val="21"/>
              </w:rPr>
              <w:t>R17 Baethge et al. (2019)</w:t>
            </w:r>
          </w:p>
        </w:tc>
        <w:tc>
          <w:tcPr>
            <w:tcW w:w="4195" w:type="dxa"/>
            <w:vAlign w:val="center"/>
          </w:tcPr>
          <w:p w14:paraId="0C9F9423" w14:textId="77777777" w:rsidR="00F2445C" w:rsidRDefault="00AD7F6E">
            <w:pPr>
              <w:spacing w:after="20" w:line="259" w:lineRule="auto"/>
              <w:ind w:firstLine="0"/>
            </w:pPr>
            <w:r>
              <w:rPr>
                <w:rFonts w:ascii="Times New Roman" w:hAnsi="Times New Roman" w:eastAsia="Times New Roman" w:cs="Times New Roman"/>
                <w:sz w:val="21"/>
              </w:rPr>
              <w:t>Transparência de revisão narrativa</w:t>
            </w:r>
          </w:p>
        </w:tc>
        <w:tc>
          <w:tcPr>
            <w:tcW w:w="2324" w:type="dxa"/>
            <w:vAlign w:val="center"/>
          </w:tcPr>
          <w:p w14:paraId="6102B990" w14:textId="77777777" w:rsidR="00F2445C" w:rsidRDefault="00AD7F6E">
            <w:pPr>
              <w:spacing w:after="20" w:line="259" w:lineRule="auto"/>
              <w:ind w:firstLine="0"/>
            </w:pPr>
            <w:r>
              <w:rPr>
                <w:rFonts w:ascii="Times New Roman" w:hAnsi="Times New Roman" w:eastAsia="Times New Roman" w:cs="Times New Roman"/>
                <w:sz w:val="21"/>
              </w:rPr>
              <w:t>PDF integral</w:t>
            </w:r>
          </w:p>
        </w:tc>
      </w:tr>
    </w:tbl>
    <w:p w14:paraId="4767636D" w14:textId="77777777" w:rsidR="00F2445C" w:rsidRDefault="00F2445C">
      <w:pPr>
        <w:spacing w:after="60" w:line="60" w:lineRule="exact"/>
        <w:ind w:firstLine="0"/>
      </w:pPr>
    </w:p>
    <w:p w14:paraId="645E2BAE" w14:textId="77777777" w:rsidR="00F2445C" w:rsidRDefault="00AD7F6E">
      <w:pPr>
        <w:pStyle w:val="Ttulo1"/>
      </w:pPr>
      <w:r>
        <w:rPr>
          <w:rFonts w:ascii="Times New Roman" w:hAnsi="Times New Roman" w:eastAsia="Times New Roman" w:cs="Times New Roman"/>
        </w:rPr>
        <w:t>8. Conferência das referências e alcance da leitura</w:t>
      </w:r>
    </w:p>
    <w:p w14:paraId="0BBE9F4F" w14:textId="77777777" w:rsidR="00F2445C" w:rsidRDefault="00AD7F6E">
      <w:pPr>
        <w:jc w:val="both"/>
      </w:pPr>
      <w:r>
        <w:rPr>
          <w:rFonts w:ascii="Times New Roman" w:hAnsi="Times New Roman" w:eastAsia="Times New Roman" w:cs="Times New Roman"/>
        </w:rPr>
        <w:t xml:space="preserve">As 17 referências deste direcionamento tiveram DOI, título, autoria, ano, periódico e identificação editorial confrontados com o registro Crossref em 20/10/2026. Para 16 delas, o DOI também foi localizado no arquivo primário integral arquivado; R02 foi conferida por registro e resumo oficial da editora. Nenhuma referência desta lista depende apenas de uma </w:t>
      </w:r>
      <w:r>
        <w:rPr>
          <w:rFonts w:ascii="Times New Roman" w:hAnsi="Times New Roman" w:eastAsia="Times New Roman" w:cs="Times New Roman"/>
        </w:rPr>
        <w:lastRenderedPageBreak/>
        <w:t>citação gerada em resposta. Essa verificação bibliográfica confirma a existência e a correspondência do artigo, mas não certifica automaticamente todos os seus resultados.</w:t>
      </w:r>
    </w:p>
    <w:p w14:paraId="2AF25F29" w14:textId="77777777" w:rsidR="00F2445C" w:rsidRDefault="00AD7F6E">
      <w:pPr>
        <w:jc w:val="both"/>
      </w:pPr>
      <w:r>
        <w:rPr>
          <w:rFonts w:ascii="Times New Roman" w:hAnsi="Times New Roman" w:eastAsia="Times New Roman" w:cs="Times New Roman"/>
        </w:rPr>
        <w:t>A auditoria científica utilizou os trechos de métodos e resultados pertinentes às relações descritas. R13 foi incorporada principalmente pelo protocolo físico e pelas medidas conjuntas; R14, pelas relações químicas conferíveis da tabela 2. R10 é opinião conceitual, R08 é síntese com modelagem e R17 é referência metodológica. A íntegra recém-arquivada de um trabalho não amplia retrospectivamente o alcance da análise já registrada. As referências originais dos alunos que não aparecem abaixo ainda exigem conferência própria; não estão validadas em bloco.</w:t>
      </w:r>
    </w:p>
    <w:p w14:paraId="2F3969FC" w14:textId="77777777" w:rsidR="00F2445C" w:rsidRDefault="00AD7F6E">
      <w:pPr>
        <w:jc w:val="both"/>
      </w:pPr>
      <w:r>
        <w:rPr>
          <w:rFonts w:ascii="Times New Roman" w:hAnsi="Times New Roman" w:eastAsia="Times New Roman" w:cs="Times New Roman"/>
        </w:rPr>
        <w:t>As limitações que afetam a síntese precisam acompanhar a citação: possível dependência dos três artigos de Irauçuba; nomenclatura de fosfatase inconsistente em R06; descrição do quociente metabólico inconsistente em R14; e aparente incompatibilidade entre constante de decaimento e meia-vida no resumo de R01. Essas passagens não devem ser reutilizadas como evidência sem esclarecimento. A avaliação de autenticidade de uma referência e a avaliação da qualidade de um artigo são etapas distintas.</w:t>
      </w:r>
    </w:p>
    <w:p w14:paraId="48A3A3F7" w14:textId="77777777" w:rsidR="00F2445C" w:rsidRDefault="00AD7F6E">
      <w:pPr>
        <w:pStyle w:val="Ttulo2"/>
      </w:pPr>
      <w:r>
        <w:rPr>
          <w:rFonts w:ascii="Times New Roman" w:hAnsi="Times New Roman" w:eastAsia="Times New Roman" w:cs="Times New Roman"/>
        </w:rPr>
        <w:t>Referências verificadas</w:t>
      </w:r>
    </w:p>
    <w:p w14:paraId="48D61625" w14:textId="0C60B0B0" w:rsidR="00F2445C" w:rsidRDefault="00AD7F6E">
      <w:pPr>
        <w:keepLines/>
        <w:spacing w:after="160" w:line="264" w:lineRule="auto"/>
      </w:pPr>
      <w:r>
        <w:rPr>
          <w:rFonts w:ascii="Times New Roman" w:hAnsi="Times New Roman" w:eastAsia="Times New Roman" w:cs="Times New Roman"/>
          <w:sz w:val="21"/>
        </w:rPr>
        <w:t xml:space="preserve">R01  Souza, P. A. S., Fracetto, F. J. C., Oliveira, A. S., Ferreira, J. S., Ferrão, N. G. M., Menezes, R. S. C., Sampaio, E. V. S. B., Fernandes Júnior, P. I., &amp; Freitas, A. D. S. (2025). Microbial biomass, carbon and nitrogen stocks across land uses and soil types in the Brazilian tropical dry forest region. Journal of Arid Environments, 229, 105401. </w:t>
      </w:r>
      <w:hyperlink r:id="rId9">
        <w:r>
          <w:rPr>
            <w:rFonts w:ascii="Times New Roman" w:hAnsi="Times New Roman" w:eastAsia="Times New Roman" w:cs="Times New Roman"/>
            <w:sz w:val="21"/>
            <w:u w:val="single"/>
          </w:rPr>
          <w:t>https://doi.org/10.1016/j.jaridenv.2025.105401</w:t>
        </w:r>
      </w:hyperlink>
    </w:p>
    <w:p w14:paraId="581C53FE" w14:textId="2E11F5A8" w:rsidR="00F2445C" w:rsidRDefault="00AD7F6E">
      <w:pPr>
        <w:keepLines/>
        <w:spacing w:after="160" w:line="264" w:lineRule="auto"/>
      </w:pPr>
      <w:r>
        <w:rPr>
          <w:rFonts w:ascii="Times New Roman" w:hAnsi="Times New Roman" w:eastAsia="Times New Roman" w:cs="Times New Roman"/>
          <w:sz w:val="21"/>
        </w:rPr>
        <w:t xml:space="preserve">R02  Silva, D. F., Araujo, A. S. F., Lima, A. Y. V., Mota, J. C. A., Nascimento, Í. V., Queiroz, A. S., Medeiros, E. V., Costa, D. P., Melo, V. M. M., Cardoso, E. J. B. N., Verma, J. P., Smith, G. R., Mendes, L. W., &amp; Pereira, A. P. A. (2024). Enzymatic stoichiometry in degraded soils after two decades of restoration in a Brazilian semiarid region. CATENA, 236, 107768. </w:t>
      </w:r>
      <w:hyperlink r:id="rId10">
        <w:r>
          <w:rPr>
            <w:rFonts w:ascii="Times New Roman" w:hAnsi="Times New Roman" w:eastAsia="Times New Roman" w:cs="Times New Roman"/>
            <w:sz w:val="21"/>
            <w:u w:val="single"/>
          </w:rPr>
          <w:t>https://doi.org/10.1016/j.catena.2023.107768</w:t>
        </w:r>
      </w:hyperlink>
    </w:p>
    <w:p w14:paraId="51CF2D36" w14:textId="54169C1E" w:rsidR="00F2445C" w:rsidRDefault="00AD7F6E">
      <w:pPr>
        <w:keepLines/>
        <w:spacing w:after="160" w:line="264" w:lineRule="auto"/>
      </w:pPr>
      <w:r>
        <w:rPr>
          <w:rFonts w:ascii="Times New Roman" w:hAnsi="Times New Roman" w:eastAsia="Times New Roman" w:cs="Times New Roman"/>
          <w:sz w:val="21"/>
        </w:rPr>
        <w:t xml:space="preserve">R03  Primo, A. A., Lustosa Filho, J. F., Marota, H. B., Tonucci, R. G., Silva, I. R., &amp; Oliveira, T. S. (2024). Different composition of plant residues as a driver of microbial community structure and soil organic matter composition: A microcosm study. Pedobiologia, 106, 150985. </w:t>
      </w:r>
      <w:hyperlink r:id="rId11">
        <w:r>
          <w:rPr>
            <w:rFonts w:ascii="Times New Roman" w:hAnsi="Times New Roman" w:eastAsia="Times New Roman" w:cs="Times New Roman"/>
            <w:sz w:val="21"/>
            <w:u w:val="single"/>
          </w:rPr>
          <w:t>https://doi.org/10.1016/j.pedobi.2024.150985</w:t>
        </w:r>
      </w:hyperlink>
    </w:p>
    <w:p w14:paraId="140646B6" w14:textId="1E3931ED" w:rsidR="00F2445C" w:rsidRDefault="00AD7F6E">
      <w:pPr>
        <w:keepLines/>
        <w:spacing w:after="160" w:line="264" w:lineRule="auto"/>
      </w:pPr>
      <w:r>
        <w:rPr>
          <w:rFonts w:ascii="Times New Roman" w:hAnsi="Times New Roman" w:eastAsia="Times New Roman" w:cs="Times New Roman"/>
          <w:sz w:val="21"/>
        </w:rPr>
        <w:t xml:space="preserve">R04  Wanke, D. J., Nkebiwe, P. M., Günther, J., Reusser, J. E., Hartmann, T. E., Yang, H., Zhang, W., Chen, X., &amp; Müller, T. (2024). Identification and quantification of phosphate turnover indicators after long-term compost application – long-term and single season effects. Plant and Soil, 504, 289–306. </w:t>
      </w:r>
      <w:hyperlink r:id="rId12">
        <w:r>
          <w:rPr>
            <w:rFonts w:ascii="Times New Roman" w:hAnsi="Times New Roman" w:eastAsia="Times New Roman" w:cs="Times New Roman"/>
            <w:sz w:val="21"/>
            <w:u w:val="single"/>
          </w:rPr>
          <w:t>https://doi.org/10.1007/s11104-024-06620-y</w:t>
        </w:r>
      </w:hyperlink>
    </w:p>
    <w:p w14:paraId="4FD382A4" w14:textId="2652CAAD" w:rsidR="00F2445C" w:rsidRDefault="00AD7F6E">
      <w:pPr>
        <w:keepLines/>
        <w:spacing w:after="160" w:line="264" w:lineRule="auto"/>
      </w:pPr>
      <w:r>
        <w:rPr>
          <w:rFonts w:ascii="Times New Roman" w:hAnsi="Times New Roman" w:eastAsia="Times New Roman" w:cs="Times New Roman"/>
          <w:sz w:val="21"/>
        </w:rPr>
        <w:t xml:space="preserve">R05  Canarini, A., Fuchslueger, L., Schnecker, J., Metze, D., Nelson, D. B., Kahmen, A., Watzka, M., Pötsch, E. M., Schaumberger, A., Bahn, M., &amp; Richter, A. (2024). Soil fungi remain active and invest in storage compounds during drought independent of future climate conditions. Nature Communications, 15, 10410. </w:t>
      </w:r>
      <w:hyperlink r:id="rId13">
        <w:r>
          <w:rPr>
            <w:rFonts w:ascii="Times New Roman" w:hAnsi="Times New Roman" w:eastAsia="Times New Roman" w:cs="Times New Roman"/>
            <w:sz w:val="21"/>
            <w:u w:val="single"/>
          </w:rPr>
          <w:t>https://doi.org/10.1038/s41467-024-54537-y</w:t>
        </w:r>
      </w:hyperlink>
    </w:p>
    <w:p w14:paraId="0047B535" w14:textId="21572C91" w:rsidR="00F2445C" w:rsidRDefault="00AD7F6E">
      <w:pPr>
        <w:keepLines/>
        <w:spacing w:after="160" w:line="264" w:lineRule="auto"/>
      </w:pPr>
      <w:r>
        <w:rPr>
          <w:rFonts w:ascii="Times New Roman" w:hAnsi="Times New Roman" w:eastAsia="Times New Roman" w:cs="Times New Roman"/>
          <w:sz w:val="21"/>
        </w:rPr>
        <w:lastRenderedPageBreak/>
        <w:t xml:space="preserve">R06  Silva, D. F., Rodrigues, J. L. M., Erikson, C., Silva, A. M. M., Huang, L., Araujo, V. L. V. P., Matteoli, F. P., Mendes, L. W., Araujo, A. S. F., Pereira, A. P. A., Melo, V. M. M., &amp; Cardoso, E. J. B. N. (2024). Grazing exclusion-induced changes in soil fungal communities in a highly desertified Brazilian dryland. Microbiological Research, 285, 127763. </w:t>
      </w:r>
      <w:hyperlink r:id="rId14">
        <w:r>
          <w:rPr>
            <w:rFonts w:ascii="Times New Roman" w:hAnsi="Times New Roman" w:eastAsia="Times New Roman" w:cs="Times New Roman"/>
            <w:sz w:val="21"/>
            <w:u w:val="single"/>
          </w:rPr>
          <w:t>https://doi.org/10.1016/j.micres.2024.127763</w:t>
        </w:r>
      </w:hyperlink>
    </w:p>
    <w:p w14:paraId="59FF6DBF" w14:textId="71A21725" w:rsidR="00F2445C" w:rsidRDefault="00AD7F6E">
      <w:pPr>
        <w:keepLines/>
        <w:spacing w:after="160" w:line="264" w:lineRule="auto"/>
      </w:pPr>
      <w:r>
        <w:rPr>
          <w:rFonts w:ascii="Times New Roman" w:hAnsi="Times New Roman" w:eastAsia="Times New Roman" w:cs="Times New Roman"/>
          <w:sz w:val="21"/>
        </w:rPr>
        <w:t xml:space="preserve">R07  Silva, D. F., Cardoso, E. J. B. N., Huang, L., Erikson, C., Silva, A. M. M., Araujo, V. L. V. P., Silva, D. E. O., Melo, V. M. M., Araujo, A. S. F., Pereira, A. P. A., &amp; Rodrigues, J. L. M. (2024). Functional genes related to N and P cycling in degraded and restored areas from Brazilian drylands. Applied Soil Ecology, 196, 105316. </w:t>
      </w:r>
      <w:hyperlink r:id="rId15">
        <w:r>
          <w:rPr>
            <w:rFonts w:ascii="Times New Roman" w:hAnsi="Times New Roman" w:eastAsia="Times New Roman" w:cs="Times New Roman"/>
            <w:sz w:val="21"/>
            <w:u w:val="single"/>
          </w:rPr>
          <w:t>https://doi.org/10.1016/j.apsoil.2024.105316</w:t>
        </w:r>
      </w:hyperlink>
    </w:p>
    <w:p w14:paraId="37221AC5" w14:textId="3C9DE6E1" w:rsidR="00F2445C" w:rsidRDefault="00AD7F6E">
      <w:pPr>
        <w:keepLines/>
        <w:spacing w:after="160" w:line="264" w:lineRule="auto"/>
      </w:pPr>
      <w:r>
        <w:rPr>
          <w:rFonts w:ascii="Times New Roman" w:hAnsi="Times New Roman" w:eastAsia="Times New Roman" w:cs="Times New Roman"/>
          <w:sz w:val="21"/>
        </w:rPr>
        <w:t xml:space="preserve">R08  Tao, F., Huang, Y., Hungate, B. A., Manzoni, S., Frey, S. D., Schmidt, M. W. I., Reichstein, M., Carvalhais, N., Ciais, P., Jiang, L., Lehmann, J., Wang, Y.-P., Houlton, B. Z., Ahrens, B., Mishra, U., Hugelius, G., Hocking, T. D., Lu, X., Shi, Z., … Luo, Y. (2023). Microbial carbon use efficiency promotes global soil carbon storage. Nature, 618, 981–985. </w:t>
      </w:r>
      <w:hyperlink r:id="rId16">
        <w:r>
          <w:rPr>
            <w:rFonts w:ascii="Times New Roman" w:hAnsi="Times New Roman" w:eastAsia="Times New Roman" w:cs="Times New Roman"/>
            <w:sz w:val="21"/>
            <w:u w:val="single"/>
          </w:rPr>
          <w:t>https://doi.org/10.1038/s41586-023-06042-3</w:t>
        </w:r>
      </w:hyperlink>
    </w:p>
    <w:p w14:paraId="3269CC63" w14:textId="2A18F9E7" w:rsidR="00F2445C" w:rsidRDefault="00AD7F6E">
      <w:pPr>
        <w:keepLines/>
        <w:spacing w:after="160" w:line="264" w:lineRule="auto"/>
      </w:pPr>
      <w:r>
        <w:rPr>
          <w:rFonts w:ascii="Times New Roman" w:hAnsi="Times New Roman" w:eastAsia="Times New Roman" w:cs="Times New Roman"/>
          <w:sz w:val="21"/>
        </w:rPr>
        <w:t xml:space="preserve">R09  Jiang, M., Crous, K. Y., Carrillo, Y., Macdonald, C. A., Anderson, I. C., Boer, M. M., Farrell, M., Gherlenda, A. N., Castañeda-Gómez, L., Hasegawa, S., Jarosch, K., Milham, P. J., Ochoa-Hueso, R., Pathare, V., Pihlblad, J., Piñeiro, J., Powell, J. R., Power, S. A., Reich, P. B., … Ellsworth, D. S. (2024). Microbial competition for phosphorus limits the CO2 response of a mature forest. Nature, 630, 660–665. </w:t>
      </w:r>
      <w:hyperlink r:id="rId17">
        <w:r>
          <w:rPr>
            <w:rFonts w:ascii="Times New Roman" w:hAnsi="Times New Roman" w:eastAsia="Times New Roman" w:cs="Times New Roman"/>
            <w:sz w:val="21"/>
            <w:u w:val="single"/>
          </w:rPr>
          <w:t>https://doi.org/10.1038/s41586-024-07491-0</w:t>
        </w:r>
      </w:hyperlink>
    </w:p>
    <w:p w14:paraId="1FD2BD1F" w14:textId="4AED26DF" w:rsidR="00F2445C" w:rsidRDefault="00AD7F6E">
      <w:pPr>
        <w:keepLines/>
        <w:spacing w:after="160" w:line="264" w:lineRule="auto"/>
      </w:pPr>
      <w:r>
        <w:rPr>
          <w:rFonts w:ascii="Times New Roman" w:hAnsi="Times New Roman" w:eastAsia="Times New Roman" w:cs="Times New Roman"/>
          <w:sz w:val="21"/>
        </w:rPr>
        <w:t xml:space="preserve">R10  Lieberman, H. P., von Sperber, C., &amp; Kallenbach, C. M. (2025). Soil Phosphorus Dynamics are an Overlooked but Dominant Control on Mineral-Associated Organic Matter. Global Change Biology, 31, e70307. </w:t>
      </w:r>
      <w:hyperlink r:id="rId18">
        <w:r>
          <w:rPr>
            <w:rFonts w:ascii="Times New Roman" w:hAnsi="Times New Roman" w:eastAsia="Times New Roman" w:cs="Times New Roman"/>
            <w:sz w:val="21"/>
            <w:u w:val="single"/>
          </w:rPr>
          <w:t>https://doi.org/10.1111/gcb.70307</w:t>
        </w:r>
      </w:hyperlink>
    </w:p>
    <w:p w14:paraId="72AE08DA" w14:textId="1FA220D9" w:rsidR="00F2445C" w:rsidRDefault="00AD7F6E">
      <w:pPr>
        <w:keepLines/>
        <w:spacing w:after="160" w:line="264" w:lineRule="auto"/>
      </w:pPr>
      <w:r>
        <w:rPr>
          <w:rFonts w:ascii="Times New Roman" w:hAnsi="Times New Roman" w:eastAsia="Times New Roman" w:cs="Times New Roman"/>
          <w:sz w:val="21"/>
        </w:rPr>
        <w:t xml:space="preserve">R11  Souza, T. E. M. S., Souza, E. R., Montenegro, A. A. A., &amp; Bayabil, H. (2023). Could forage palm and stone barrier be as effective as native vegetation in controlling runoff and erosion in the Brazilian semiarid region? Agronomy, 13(12), 3026. </w:t>
      </w:r>
      <w:hyperlink r:id="rId19">
        <w:r>
          <w:rPr>
            <w:rFonts w:ascii="Times New Roman" w:hAnsi="Times New Roman" w:eastAsia="Times New Roman" w:cs="Times New Roman"/>
            <w:sz w:val="21"/>
            <w:u w:val="single"/>
          </w:rPr>
          <w:t>https://doi.org/10.3390/agronomy13123026</w:t>
        </w:r>
      </w:hyperlink>
    </w:p>
    <w:p w14:paraId="1996950C" w14:textId="1B170579" w:rsidR="00F2445C" w:rsidRDefault="00AD7F6E">
      <w:pPr>
        <w:keepLines/>
        <w:spacing w:after="160" w:line="264" w:lineRule="auto"/>
      </w:pPr>
      <w:r>
        <w:rPr>
          <w:rFonts w:ascii="Times New Roman" w:hAnsi="Times New Roman" w:eastAsia="Times New Roman" w:cs="Times New Roman"/>
          <w:sz w:val="21"/>
        </w:rPr>
        <w:t xml:space="preserve">R12  Medeiros, A. S., Gonzaga, G. B. M., Silva, T. S., Barreto, B. S., Santos, T. C., Melo, P. L. A., Gomes, T. C. A., &amp; Maia, S. M. F. (2023). Changes in soil organic carbon and soil aggregation due to deforestation for smallholder management in the Brazilian semi-arid region. Geoderma Regional, 33, e00647. </w:t>
      </w:r>
      <w:hyperlink r:id="rId20">
        <w:r>
          <w:rPr>
            <w:rFonts w:ascii="Times New Roman" w:hAnsi="Times New Roman" w:eastAsia="Times New Roman" w:cs="Times New Roman"/>
            <w:sz w:val="21"/>
            <w:u w:val="single"/>
          </w:rPr>
          <w:t>https://doi.org/10.1016/j.geodrs.2023.e00647</w:t>
        </w:r>
      </w:hyperlink>
    </w:p>
    <w:p w14:paraId="40E0BEF5" w14:textId="0B675752" w:rsidR="00F2445C" w:rsidRDefault="00AD7F6E">
      <w:pPr>
        <w:keepLines/>
        <w:spacing w:after="160" w:line="264" w:lineRule="auto"/>
      </w:pPr>
      <w:r>
        <w:rPr>
          <w:rFonts w:ascii="Times New Roman" w:hAnsi="Times New Roman" w:eastAsia="Times New Roman" w:cs="Times New Roman"/>
          <w:sz w:val="21"/>
        </w:rPr>
        <w:t xml:space="preserve">R13  Vasconcelos, G. X. de M., Portela, J. C., Gondim, J. E. F., Xavier, A. L. V. de S., Bandeira, D. J. da C., &amp; Gomes, D. V. de O. (2025). Organic fractions, microbial biomass carbon, and their interrelationships with structural attributes in different land uses. Engenharia Agrícola, 45(spe1), e20240189. </w:t>
      </w:r>
      <w:hyperlink r:id="rId21">
        <w:r>
          <w:rPr>
            <w:rFonts w:ascii="Times New Roman" w:hAnsi="Times New Roman" w:eastAsia="Times New Roman" w:cs="Times New Roman"/>
            <w:sz w:val="21"/>
            <w:u w:val="single"/>
          </w:rPr>
          <w:t>https://doi.org/10.1590/1809-4430-Eng.Agric.v45nespe120240189/2025</w:t>
        </w:r>
      </w:hyperlink>
    </w:p>
    <w:p w14:paraId="090A8F6E" w14:textId="543096AE" w:rsidR="00F2445C" w:rsidRDefault="00AD7F6E">
      <w:pPr>
        <w:keepLines/>
        <w:spacing w:after="160" w:line="264" w:lineRule="auto"/>
      </w:pPr>
      <w:r>
        <w:rPr>
          <w:rFonts w:ascii="Times New Roman" w:hAnsi="Times New Roman" w:eastAsia="Times New Roman" w:cs="Times New Roman"/>
          <w:sz w:val="21"/>
        </w:rPr>
        <w:t xml:space="preserve">R14  Macedo, R. S., Moro, L., Lambais, É. O., Lambais, G. R., &amp; de Bakker, A. P. (2023). Effects of degradation on soil attributes under Caatinga in the Brazilian semi-arid. Revista Árvore, 47, e4702. </w:t>
      </w:r>
      <w:hyperlink r:id="rId22">
        <w:r>
          <w:rPr>
            <w:rFonts w:ascii="Times New Roman" w:hAnsi="Times New Roman" w:eastAsia="Times New Roman" w:cs="Times New Roman"/>
            <w:sz w:val="21"/>
            <w:u w:val="single"/>
          </w:rPr>
          <w:t>https://doi.org/10.1590/1806-908820230000002</w:t>
        </w:r>
      </w:hyperlink>
    </w:p>
    <w:p w14:paraId="752D1AF1" w14:textId="2438CCE5" w:rsidR="00F2445C" w:rsidRDefault="00AD7F6E">
      <w:pPr>
        <w:keepLines/>
        <w:spacing w:after="160" w:line="264" w:lineRule="auto"/>
      </w:pPr>
      <w:r>
        <w:rPr>
          <w:rFonts w:ascii="Times New Roman" w:hAnsi="Times New Roman" w:eastAsia="Times New Roman" w:cs="Times New Roman"/>
          <w:sz w:val="21"/>
        </w:rPr>
        <w:t xml:space="preserve">R15  Chuckran, P. F., Estera-Molina, K., Nicolas, A. M., Sieradzki, E. T., Dijkstra, P., Firestone, M. K., Pett-Ridge, J., &amp; Blazewicz, S. J. (2025). Codon bias, nucleotide selection, and genome size predict in situ bacterial growth rate and transcription in rewetted soil. Proceedings of the National Academy of Sciences, 122(3), e2413032122. </w:t>
      </w:r>
      <w:hyperlink r:id="rId23">
        <w:r>
          <w:rPr>
            <w:rFonts w:ascii="Times New Roman" w:hAnsi="Times New Roman" w:eastAsia="Times New Roman" w:cs="Times New Roman"/>
            <w:sz w:val="21"/>
            <w:u w:val="single"/>
          </w:rPr>
          <w:t>https://doi.org/10.1073/pnas.2413032122</w:t>
        </w:r>
      </w:hyperlink>
    </w:p>
    <w:p w14:paraId="5E6F814A" w14:textId="0ABBFE24" w:rsidR="00F2445C" w:rsidRDefault="00AD7F6E">
      <w:pPr>
        <w:keepLines/>
        <w:spacing w:after="160" w:line="264" w:lineRule="auto"/>
      </w:pPr>
      <w:r>
        <w:rPr>
          <w:rFonts w:ascii="Times New Roman" w:hAnsi="Times New Roman" w:eastAsia="Times New Roman" w:cs="Times New Roman"/>
          <w:sz w:val="21"/>
        </w:rPr>
        <w:t xml:space="preserve">R16  Ayala-Ortiz, C., Freire-Zapata, V., &amp; Tfaily, M. M. (2025). Stochastic assembly and metabolic network reorganization drive microbial resilience in arid soils. Communications Earth &amp; Environment, 6, 647. </w:t>
      </w:r>
      <w:hyperlink r:id="rId24">
        <w:r>
          <w:rPr>
            <w:rFonts w:ascii="Times New Roman" w:hAnsi="Times New Roman" w:eastAsia="Times New Roman" w:cs="Times New Roman"/>
            <w:sz w:val="21"/>
            <w:u w:val="single"/>
          </w:rPr>
          <w:t>https://doi.org/10.1038/s43247-025-02637-y</w:t>
        </w:r>
      </w:hyperlink>
    </w:p>
    <w:p w14:paraId="76BFE9E4" w14:textId="587115C2" w:rsidR="00F2445C" w:rsidRDefault="00AD7F6E">
      <w:pPr>
        <w:keepLines/>
        <w:spacing w:after="160" w:line="264" w:lineRule="auto"/>
      </w:pPr>
      <w:r>
        <w:rPr>
          <w:rFonts w:ascii="Times New Roman" w:hAnsi="Times New Roman" w:eastAsia="Times New Roman" w:cs="Times New Roman"/>
          <w:sz w:val="21"/>
        </w:rPr>
        <w:t xml:space="preserve">R17  Baethge, C., Goldbeck-Wood, S., &amp; Mertens, S. (2019). SANRA—a scale for the quality assessment of narrative review articles. Research Integrity and Peer Review, 4, 5. </w:t>
      </w:r>
      <w:hyperlink r:id="rId25">
        <w:r>
          <w:rPr>
            <w:rFonts w:ascii="Times New Roman" w:hAnsi="Times New Roman" w:eastAsia="Times New Roman" w:cs="Times New Roman"/>
            <w:sz w:val="21"/>
            <w:u w:val="single"/>
          </w:rPr>
          <w:t>https://doi.org/10.1186/s41073-019-0064-8</w:t>
        </w:r>
      </w:hyperlink>
    </w:p>
    <w:sectPr w:rsidR="00F2445C" w:rsidSect="00034616">
      <w:footerReference w:type="default" r:id="rId26"/>
      <w:pgSz w:w="11906" w:h="16838"/>
      <w:pgMar w:top="1417" w:right="1417" w:bottom="1417" w:left="1417"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9BF9A" w14:textId="77777777" w:rsidR="00BF4657" w:rsidRDefault="00BF4657">
      <w:pPr>
        <w:spacing w:after="0" w:line="240" w:lineRule="auto"/>
      </w:pPr>
      <w:r>
        <w:rPr>
          <w:rFonts w:ascii="Times New Roman" w:hAnsi="Times New Roman" w:eastAsia="Times New Roman" w:cs="Times New Roman"/>
        </w:rPr>
        <w:separator/>
      </w:r>
    </w:p>
  </w:endnote>
  <w:endnote w:type="continuationSeparator" w:id="0">
    <w:p w14:paraId="60DA876A" w14:textId="77777777" w:rsidR="00BF4657" w:rsidRDefault="00BF4657">
      <w:pPr>
        <w:spacing w:after="0" w:line="240" w:lineRule="auto"/>
      </w:pPr>
      <w:r>
        <w:rPr>
          <w:rFonts w:ascii="Times New Roman" w:hAnsi="Times New Roman" w:eastAsia="Times New Roman"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207B3" w14:textId="77777777" w:rsidR="00F2445C" w:rsidRDefault="00AD7F6E">
    <w:pPr>
      <w:pStyle w:val="Rodap"/>
      <w:jc w:val="right"/>
    </w:pPr>
    <w:r>
      <w:rPr>
        <w:rFonts w:ascii="Times New Roman" w:hAnsi="Times New Roman" w:eastAsia="Times New Roman" w:cs="Times New Roman"/>
      </w:rPr>
      <w:fldChar w:fldCharType="begin"/>
    </w:r>
    <w:r>
      <w:rPr>
        <w:rFonts w:ascii="Times New Roman" w:hAnsi="Times New Roman" w:eastAsia="Times New Roman" w:cs="Times New Roman"/>
      </w:rPr>
      <w:instrText>PAGE</w:instrText>
    </w:r>
    <w:r>
      <w:rPr>
        <w:rFonts w:ascii="Times New Roman" w:hAnsi="Times New Roman" w:eastAsia="Times New Roman" w:cs="Times New Roman"/>
      </w:rPr>
      <w:fldChar w:fldCharType="separate"/>
    </w:r>
    <w:r>
      <w:rPr>
        <w:rFonts w:ascii="Times New Roman" w:hAnsi="Times New Roman" w:eastAsia="Times New Roman" w:cs="Times New Roman"/>
      </w:rPr>
      <w:t>1</w:t>
    </w:r>
    <w:r>
      <w:rPr>
        <w:rFonts w:ascii="Times New Roman" w:hAnsi="Times New Roman" w:eastAsia="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88258" w14:textId="77777777" w:rsidR="00BF4657" w:rsidRDefault="00BF4657">
      <w:pPr>
        <w:spacing w:after="0" w:line="240" w:lineRule="auto"/>
      </w:pPr>
      <w:r>
        <w:rPr>
          <w:rFonts w:ascii="Times New Roman" w:hAnsi="Times New Roman" w:eastAsia="Times New Roman" w:cs="Times New Roman"/>
        </w:rPr>
        <w:separator/>
      </w:r>
    </w:p>
  </w:footnote>
  <w:footnote w:type="continuationSeparator" w:id="0">
    <w:p w14:paraId="373A5C7C" w14:textId="77777777" w:rsidR="00BF4657" w:rsidRDefault="00BF4657">
      <w:pPr>
        <w:spacing w:after="0" w:line="240" w:lineRule="auto"/>
      </w:pPr>
      <w:r>
        <w:rPr>
          <w:rFonts w:ascii="Times New Roman" w:hAnsi="Times New Roman" w:eastAsia="Times New Roman" w:cs="Times New Roman"/>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Times New Roman" w:hAnsi="Times New Roman" w:eastAsia="Times New Roman" w:cs="Times New Roman"/>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Times New Roman" w:hAnsi="Times New Roman" w:eastAsia="Times New Roman" w:cs="Times New Roman"/>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Times New Roman" w:hAnsi="Times New Roman" w:eastAsia="Times New Roman" w:cs="Times New Roman"/>
      </w:rPr>
    </w:lvl>
  </w:abstractNum>
  <w:num w:numId="1" w16cid:durableId="44987738">
    <w:abstractNumId w:val="8"/>
  </w:num>
  <w:num w:numId="2" w16cid:durableId="1238588130">
    <w:abstractNumId w:val="6"/>
  </w:num>
  <w:num w:numId="3" w16cid:durableId="1553156906">
    <w:abstractNumId w:val="5"/>
  </w:num>
  <w:num w:numId="4" w16cid:durableId="1520313710">
    <w:abstractNumId w:val="4"/>
  </w:num>
  <w:num w:numId="5" w16cid:durableId="1000544073">
    <w:abstractNumId w:val="7"/>
  </w:num>
  <w:num w:numId="6" w16cid:durableId="1142310871">
    <w:abstractNumId w:val="3"/>
  </w:num>
  <w:num w:numId="7" w16cid:durableId="645203041">
    <w:abstractNumId w:val="2"/>
  </w:num>
  <w:num w:numId="8" w16cid:durableId="475532366">
    <w:abstractNumId w:val="1"/>
  </w:num>
  <w:num w:numId="9" w16cid:durableId="105317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4D07"/>
    <w:rsid w:val="00851AB3"/>
    <w:rsid w:val="009850B4"/>
    <w:rsid w:val="00AA1D8D"/>
    <w:rsid w:val="00AD7F6E"/>
    <w:rsid w:val="00B47730"/>
    <w:rsid w:val="00BF4657"/>
    <w:rsid w:val="00CB0664"/>
    <w:rsid w:val="00DD75C6"/>
    <w:rsid w:val="00F244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C5F02162-B467-4A78-B12E-C4C6D87B8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ind w:firstLine="709"/>
    </w:pPr>
    <w:rPr>
      <w:rFonts w:ascii="Times New Roman" w:hAnsi="Times New Roman" w:eastAsia="Times New Roman" w:cs="Times New Roman"/>
      <w:color w:val="000000"/>
      <w:sz w:val="24"/>
      <w:lang w:val="pt-BR"/>
    </w:rPr>
  </w:style>
  <w:style w:type="paragraph" w:styleId="Ttulo1">
    <w:name w:val="heading 1"/>
    <w:basedOn w:val="Normal"/>
    <w:next w:val="Normal"/>
    <w:link w:val="Ttulo1Char"/>
    <w:uiPriority w:val="9"/>
    <w:qFormat/>
    <w:rsid w:val="00FC693F"/>
    <w:pPr>
      <w:keepNext/>
      <w:keepLines/>
      <w:spacing w:before="300" w:after="140" w:line="276" w:lineRule="auto"/>
      <w:ind w:firstLine="0"/>
      <w:outlineLvl w:val="0"/>
    </w:pPr>
    <w:rPr>
      <w:b/>
      <w:bCs/>
      <w:sz w:val="28"/>
      <w:szCs w:val="28"/>
    </w:rPr>
  </w:style>
  <w:style w:type="paragraph" w:styleId="Ttulo2">
    <w:name w:val="heading 2"/>
    <w:basedOn w:val="Normal"/>
    <w:next w:val="Normal"/>
    <w:link w:val="Ttulo2Char"/>
    <w:uiPriority w:val="9"/>
    <w:unhideWhenUsed/>
    <w:qFormat/>
    <w:rsid w:val="00FC693F"/>
    <w:pPr>
      <w:keepNext/>
      <w:keepLines/>
      <w:spacing w:before="220" w:after="100" w:line="276" w:lineRule="auto"/>
      <w:ind w:firstLine="0"/>
      <w:outlineLvl w:val="1"/>
    </w:pPr>
    <w:rPr>
      <w:b/>
      <w:bCs/>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imes New Roman" w:hAnsi="Times New Roman" w:eastAsia="Times New Roman" w:cs="Times New Roman"/>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imes New Roman" w:hAnsi="Times New Roman" w:eastAsia="Times New Roman" w:cs="Times New Roman"/>
      <w:b/>
      <w:bCs/>
      <w:i/>
      <w:iCs/>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imes New Roman" w:hAnsi="Times New Roman" w:eastAsia="Times New Roman" w:cs="Times New Roman"/>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imes New Roman" w:hAnsi="Times New Roman" w:eastAsia="Times New Roman" w:cs="Times New Roman"/>
      <w:i/>
      <w:iCs/>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imes New Roman" w:hAnsi="Times New Roman" w:eastAsia="Times New Roman" w:cs="Times New Roman"/>
      <w:i/>
      <w:iCs/>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imes New Roman" w:hAnsi="Times New Roman" w:eastAsia="Times New Roman" w:cs="Times New Roman"/>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imes New Roman" w:hAnsi="Times New Roman" w:eastAsia="Times New Roman" w:cs="Times New Roman"/>
      <w:i/>
      <w:i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rPr>
      <w:color w:val="000000"/>
    </w:rPr>
  </w:style>
  <w:style w:type="paragraph" w:styleId="Rodap">
    <w:name w:val="footer"/>
    <w:basedOn w:val="Normal"/>
    <w:link w:val="RodapChar"/>
    <w:uiPriority w:val="99"/>
    <w:unhideWhenUsed/>
    <w:rsid w:val="00E618BF"/>
    <w:pPr>
      <w:keepLines/>
      <w:tabs>
        <w:tab w:val="center" w:pos="4680"/>
        <w:tab w:val="right" w:pos="9360"/>
      </w:tabs>
      <w:spacing w:after="0" w:line="276" w:lineRule="auto"/>
      <w:ind w:firstLine="0"/>
    </w:pPr>
    <w:rPr>
      <w:sz w:val="18"/>
    </w:rPr>
  </w:style>
  <w:style w:type="character" w:customStyle="1" w:styleId="RodapChar">
    <w:name w:val="Rodapé Char"/>
    <w:basedOn w:val="Fontepargpadro"/>
    <w:link w:val="Rodap"/>
    <w:uiPriority w:val="99"/>
    <w:rsid w:val="00E618BF"/>
    <w:rPr>
      <w:color w:val="000000"/>
    </w:rPr>
  </w:style>
  <w:style w:type="paragraph" w:styleId="SemEspaamento">
    <w:name w:val="No Spacing"/>
    <w:uiPriority w:val="1"/>
    <w:qFormat/>
    <w:rsid w:val="00FC693F"/>
    <w:pPr>
      <w:spacing w:after="0" w:line="240" w:lineRule="auto"/>
    </w:pPr>
    <w:rPr>
      <w:color w:val="000000"/>
    </w:rPr>
  </w:style>
  <w:style w:type="character" w:customStyle="1" w:styleId="Ttulo1Char">
    <w:name w:val="Título 1 Char"/>
    <w:basedOn w:val="Fontepargpadro"/>
    <w:link w:val="Ttulo1"/>
    <w:uiPriority w:val="9"/>
    <w:rsid w:val="00FC693F"/>
    <w:rPr>
      <w:rFonts w:ascii="Times New Roman" w:hAnsi="Times New Roman" w:eastAsia="Times New Roman" w:cs="Times New Roman"/>
      <w:b/>
      <w:bCs/>
      <w:color w:val="000000"/>
      <w:sz w:val="28"/>
      <w:szCs w:val="28"/>
    </w:rPr>
  </w:style>
  <w:style w:type="character" w:customStyle="1" w:styleId="Ttulo2Char">
    <w:name w:val="Título 2 Char"/>
    <w:basedOn w:val="Fontepargpadro"/>
    <w:link w:val="Ttulo2"/>
    <w:uiPriority w:val="9"/>
    <w:rsid w:val="00FC693F"/>
    <w:rPr>
      <w:rFonts w:ascii="Times New Roman" w:hAnsi="Times New Roman" w:eastAsia="Times New Roman" w:cs="Times New Roman"/>
      <w:b/>
      <w:bCs/>
      <w:color w:val="000000"/>
      <w:sz w:val="26"/>
      <w:szCs w:val="26"/>
    </w:rPr>
  </w:style>
  <w:style w:type="character" w:customStyle="1" w:styleId="Ttulo3Char">
    <w:name w:val="Título 3 Char"/>
    <w:basedOn w:val="Fontepargpadro"/>
    <w:link w:val="Ttulo3"/>
    <w:uiPriority w:val="9"/>
    <w:rsid w:val="00FC693F"/>
    <w:rPr>
      <w:rFonts w:ascii="Times New Roman" w:hAnsi="Times New Roman" w:eastAsia="Times New Roman" w:cs="Times New Roman"/>
      <w:b/>
      <w:bCs/>
      <w:color w:val="000000"/>
    </w:rPr>
  </w:style>
  <w:style w:type="paragraph" w:styleId="Ttulo">
    <w:name w:val="Title"/>
    <w:basedOn w:val="Normal"/>
    <w:next w:val="Normal"/>
    <w:link w:val="TtuloChar"/>
    <w:uiPriority w:val="10"/>
    <w:qFormat/>
    <w:rsid w:val="00FC693F"/>
    <w:pPr>
      <w:keepNext/>
      <w:keepLines/>
      <w:spacing w:after="200" w:line="276" w:lineRule="auto"/>
      <w:ind w:firstLine="0"/>
      <w:contextualSpacing/>
    </w:pPr>
    <w:rPr>
      <w:b/>
      <w:spacing w:val="5"/>
      <w:kern w:val="28"/>
      <w:sz w:val="36"/>
      <w:szCs w:val="52"/>
    </w:rPr>
  </w:style>
  <w:style w:type="character" w:customStyle="1" w:styleId="TtuloChar">
    <w:name w:val="Título Char"/>
    <w:basedOn w:val="Fontepargpadro"/>
    <w:link w:val="Ttulo"/>
    <w:uiPriority w:val="10"/>
    <w:rsid w:val="00FC693F"/>
    <w:rPr>
      <w:rFonts w:ascii="Times New Roman" w:hAnsi="Times New Roman" w:eastAsia="Times New Roman" w:cs="Times New Roman"/>
      <w:color w:val="000000"/>
      <w:spacing w:val="5"/>
      <w:kern w:val="28"/>
      <w:sz w:val="52"/>
      <w:szCs w:val="52"/>
    </w:rPr>
  </w:style>
  <w:style w:type="paragraph" w:styleId="Subttulo">
    <w:name w:val="Subtitle"/>
    <w:basedOn w:val="Normal"/>
    <w:next w:val="Normal"/>
    <w:link w:val="SubttuloChar"/>
    <w:uiPriority w:val="11"/>
    <w:qFormat/>
    <w:rsid w:val="00FC693F"/>
    <w:pPr>
      <w:keepNext/>
      <w:keepLines/>
      <w:numPr>
        <w:ilvl w:val="1"/>
      </w:numPr>
      <w:spacing w:after="180" w:line="276" w:lineRule="auto"/>
      <w:ind w:firstLine="709"/>
    </w:pPr>
    <w:rPr>
      <w:i/>
      <w:iCs/>
      <w:spacing w:val="15"/>
      <w:sz w:val="26"/>
      <w:szCs w:val="24"/>
    </w:rPr>
  </w:style>
  <w:style w:type="character" w:customStyle="1" w:styleId="SubttuloChar">
    <w:name w:val="Subtítulo Char"/>
    <w:basedOn w:val="Fontepargpadro"/>
    <w:link w:val="Subttulo"/>
    <w:uiPriority w:val="11"/>
    <w:rsid w:val="00FC693F"/>
    <w:rPr>
      <w:rFonts w:ascii="Times New Roman" w:hAnsi="Times New Roman" w:eastAsia="Times New Roman" w:cs="Times New Roman"/>
      <w:i/>
      <w:iCs/>
      <w:color w:val="000000"/>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rPr>
      <w:color w:val="000000"/>
    </w:rPr>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rPr>
      <w:color w:val="000000"/>
    </w:rPr>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color w:val="000000"/>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TextodemacroChar">
    <w:name w:val="Texto de macro Char"/>
    <w:basedOn w:val="Fontepargpadro"/>
    <w:link w:val="Textodemacro"/>
    <w:uiPriority w:val="99"/>
    <w:rsid w:val="0029639D"/>
    <w:rPr>
      <w:rFonts w:ascii="Times New Roman" w:hAnsi="Times New Roman" w:eastAsia="Times New Roman" w:cs="Times New Roman"/>
      <w:color w:val="000000"/>
      <w:sz w:val="20"/>
      <w:szCs w:val="20"/>
    </w:rPr>
  </w:style>
  <w:style w:type="paragraph" w:styleId="Citao">
    <w:name w:val="Quote"/>
    <w:basedOn w:val="Normal"/>
    <w:next w:val="Normal"/>
    <w:link w:val="CitaoChar"/>
    <w:uiPriority w:val="29"/>
    <w:qFormat/>
    <w:rsid w:val="00FC693F"/>
    <w:rPr>
      <w:i/>
      <w:iCs/>
    </w:rPr>
  </w:style>
  <w:style w:type="character" w:customStyle="1" w:styleId="CitaoChar">
    <w:name w:val="Citação Char"/>
    <w:basedOn w:val="Fontepargpadro"/>
    <w:link w:val="Citao"/>
    <w:uiPriority w:val="29"/>
    <w:rsid w:val="00FC693F"/>
    <w:rPr>
      <w:i/>
      <w:iCs/>
      <w:color w:val="000000"/>
    </w:rPr>
  </w:style>
  <w:style w:type="character" w:customStyle="1" w:styleId="Ttulo4Char">
    <w:name w:val="Título 4 Char"/>
    <w:basedOn w:val="Fontepargpadro"/>
    <w:link w:val="Ttulo4"/>
    <w:uiPriority w:val="9"/>
    <w:semiHidden/>
    <w:rsid w:val="00FC693F"/>
    <w:rPr>
      <w:rFonts w:ascii="Times New Roman" w:hAnsi="Times New Roman" w:eastAsia="Times New Roman" w:cs="Times New Roman"/>
      <w:b/>
      <w:bCs/>
      <w:i/>
      <w:iCs/>
      <w:color w:val="000000"/>
    </w:rPr>
  </w:style>
  <w:style w:type="character" w:customStyle="1" w:styleId="Ttulo5Char">
    <w:name w:val="Título 5 Char"/>
    <w:basedOn w:val="Fontepargpadro"/>
    <w:link w:val="Ttulo5"/>
    <w:uiPriority w:val="9"/>
    <w:semiHidden/>
    <w:rsid w:val="00FC693F"/>
    <w:rPr>
      <w:rFonts w:ascii="Times New Roman" w:hAnsi="Times New Roman" w:eastAsia="Times New Roman" w:cs="Times New Roman"/>
      <w:color w:val="000000"/>
    </w:rPr>
  </w:style>
  <w:style w:type="character" w:customStyle="1" w:styleId="Ttulo6Char">
    <w:name w:val="Título 6 Char"/>
    <w:basedOn w:val="Fontepargpadro"/>
    <w:link w:val="Ttulo6"/>
    <w:uiPriority w:val="9"/>
    <w:semiHidden/>
    <w:rsid w:val="00FC693F"/>
    <w:rPr>
      <w:rFonts w:ascii="Times New Roman" w:hAnsi="Times New Roman" w:eastAsia="Times New Roman" w:cs="Times New Roman"/>
      <w:i/>
      <w:iCs/>
      <w:color w:val="000000"/>
    </w:rPr>
  </w:style>
  <w:style w:type="character" w:customStyle="1" w:styleId="Ttulo7Char">
    <w:name w:val="Título 7 Char"/>
    <w:basedOn w:val="Fontepargpadro"/>
    <w:link w:val="Ttulo7"/>
    <w:uiPriority w:val="9"/>
    <w:semiHidden/>
    <w:rsid w:val="00FC693F"/>
    <w:rPr>
      <w:rFonts w:ascii="Times New Roman" w:hAnsi="Times New Roman" w:eastAsia="Times New Roman" w:cs="Times New Roman"/>
      <w:i/>
      <w:iCs/>
      <w:color w:val="000000"/>
    </w:rPr>
  </w:style>
  <w:style w:type="character" w:customStyle="1" w:styleId="Ttulo8Char">
    <w:name w:val="Título 8 Char"/>
    <w:basedOn w:val="Fontepargpadro"/>
    <w:link w:val="Ttulo8"/>
    <w:uiPriority w:val="9"/>
    <w:semiHidden/>
    <w:rsid w:val="00FC693F"/>
    <w:rPr>
      <w:rFonts w:ascii="Times New Roman" w:hAnsi="Times New Roman" w:eastAsia="Times New Roman" w:cs="Times New Roman"/>
      <w:color w:val="000000"/>
      <w:sz w:val="20"/>
      <w:szCs w:val="20"/>
    </w:rPr>
  </w:style>
  <w:style w:type="character" w:customStyle="1" w:styleId="Ttulo9Char">
    <w:name w:val="Título 9 Char"/>
    <w:basedOn w:val="Fontepargpadro"/>
    <w:link w:val="Ttulo9"/>
    <w:uiPriority w:val="9"/>
    <w:semiHidden/>
    <w:rsid w:val="00FC693F"/>
    <w:rPr>
      <w:rFonts w:ascii="Times New Roman" w:hAnsi="Times New Roman" w:eastAsia="Times New Roman" w:cs="Times New Roman"/>
      <w:i/>
      <w:iCs/>
      <w:color w:val="000000"/>
      <w:sz w:val="20"/>
      <w:szCs w:val="20"/>
    </w:rPr>
  </w:style>
  <w:style w:type="paragraph" w:styleId="Legenda">
    <w:name w:val="caption"/>
    <w:basedOn w:val="Normal"/>
    <w:next w:val="Normal"/>
    <w:uiPriority w:val="35"/>
    <w:semiHidden/>
    <w:unhideWhenUsed/>
    <w:qFormat/>
    <w:rsid w:val="00FC693F"/>
    <w:pPr>
      <w:spacing w:line="240" w:lineRule="auto"/>
    </w:pPr>
    <w:rPr>
      <w:b/>
      <w:bCs/>
      <w:sz w:val="18"/>
      <w:szCs w:val="18"/>
    </w:rPr>
  </w:style>
  <w:style w:type="character" w:styleId="Forte">
    <w:name w:val="Strong"/>
    <w:basedOn w:val="Fontepargpadro"/>
    <w:uiPriority w:val="22"/>
    <w:qFormat/>
    <w:rsid w:val="00FC693F"/>
    <w:rPr>
      <w:b/>
      <w:bCs/>
      <w:color w:val="000000"/>
    </w:rPr>
  </w:style>
  <w:style w:type="character" w:styleId="nfase">
    <w:name w:val="Emphasis"/>
    <w:basedOn w:val="Fontepargpadro"/>
    <w:uiPriority w:val="20"/>
    <w:qFormat/>
    <w:rsid w:val="00FC693F"/>
    <w:rPr>
      <w:i/>
      <w:iCs/>
      <w:color w:val="000000"/>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rPr>
  </w:style>
  <w:style w:type="character" w:customStyle="1" w:styleId="CitaoIntensaChar">
    <w:name w:val="Citação Intensa Char"/>
    <w:basedOn w:val="Fontepargpadro"/>
    <w:link w:val="CitaoIntensa"/>
    <w:uiPriority w:val="30"/>
    <w:rsid w:val="00FC693F"/>
    <w:rPr>
      <w:b/>
      <w:bCs/>
      <w:i/>
      <w:iCs/>
      <w:color w:val="000000"/>
    </w:rPr>
  </w:style>
  <w:style w:type="character" w:styleId="nfaseSutil">
    <w:name w:val="Subtle Emphasis"/>
    <w:basedOn w:val="Fontepargpadro"/>
    <w:uiPriority w:val="19"/>
    <w:qFormat/>
    <w:rsid w:val="00FC693F"/>
    <w:rPr>
      <w:i/>
      <w:iCs/>
      <w:color w:val="000000"/>
    </w:rPr>
  </w:style>
  <w:style w:type="character" w:styleId="nfaseIntensa">
    <w:name w:val="Intense Emphasis"/>
    <w:basedOn w:val="Fontepargpadro"/>
    <w:uiPriority w:val="21"/>
    <w:qFormat/>
    <w:rsid w:val="00FC693F"/>
    <w:rPr>
      <w:b/>
      <w:bCs/>
      <w:i/>
      <w:iCs/>
      <w:color w:val="000000"/>
    </w:rPr>
  </w:style>
  <w:style w:type="character" w:styleId="RefernciaSutil">
    <w:name w:val="Subtle Reference"/>
    <w:basedOn w:val="Fontepargpadro"/>
    <w:uiPriority w:val="31"/>
    <w:qFormat/>
    <w:rsid w:val="00FC693F"/>
    <w:rPr>
      <w:smallCaps/>
      <w:color w:val="000000"/>
      <w:u w:val="single"/>
    </w:rPr>
  </w:style>
  <w:style w:type="character" w:styleId="RefernciaIntensa">
    <w:name w:val="Intense Reference"/>
    <w:basedOn w:val="Fontepargpadro"/>
    <w:uiPriority w:val="32"/>
    <w:qFormat/>
    <w:rsid w:val="00FC693F"/>
    <w:rPr>
      <w:b/>
      <w:bCs/>
      <w:smallCaps/>
      <w:color w:val="000000"/>
      <w:spacing w:val="5"/>
      <w:u w:val="single"/>
    </w:rPr>
  </w:style>
  <w:style w:type="character" w:styleId="TtulodoLivro">
    <w:name w:val="Book Title"/>
    <w:basedOn w:val="Fontepargpadro"/>
    <w:uiPriority w:val="33"/>
    <w:qFormat/>
    <w:rsid w:val="00FC693F"/>
    <w:rPr>
      <w:b/>
      <w:bCs/>
      <w:smallCaps/>
      <w:color w:val="000000"/>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SombreamentoEscuro-nfase1">
    <w:name w:val="Colorful Shading Accent 1"/>
    <w:basedOn w:val="Tabe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SombreamentoColorido-nfase2">
    <w:name w:val="Colorful Shading Accent 2"/>
    <w:basedOn w:val="Tabe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SombreamentoColorido-nfase3">
    <w:name w:val="Colorful Shading Accent 3"/>
    <w:basedOn w:val="Tabela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SombreamentoColorido-nfase5">
    <w:name w:val="Colorful Shading Accent 5"/>
    <w:basedOn w:val="Tabela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SombreamentoColorido-nfase6">
    <w:name w:val="Colorful Shading Accent 6"/>
    <w:basedOn w:val="Tabela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ListaColorida">
    <w:name w:val="Colorful List"/>
    <w:basedOn w:val="Tabela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1">
    <w:name w:val="Hyperlink1"/>
    <w:rPr>
      <w:color w:val="000000"/>
    </w:rPr>
  </w:style>
  <w:style w:type="character" w:customStyle="1" w:styleId="HiperlinkVisitado1">
    <w:name w:val="HiperlinkVisitado1"/>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ogopaes1.github.io/aula-mos-ufape/" TargetMode="External"/><Relationship Id="rId13" Type="http://schemas.openxmlformats.org/officeDocument/2006/relationships/hyperlink" Target="https://doi.org/10.1038/s41467-024-54537-y" TargetMode="External"/><Relationship Id="rId18" Type="http://schemas.openxmlformats.org/officeDocument/2006/relationships/hyperlink" Target="https://doi.org/10.1111/gcb.70307"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oi.org/10.1590/1809-4430-Eng.Agric.v45nespe120240189/2025" TargetMode="External"/><Relationship Id="rId7" Type="http://schemas.openxmlformats.org/officeDocument/2006/relationships/endnotes" Target="endnotes.xml"/><Relationship Id="rId12" Type="http://schemas.openxmlformats.org/officeDocument/2006/relationships/hyperlink" Target="https://doi.org/10.1007/s11104-024-06620-y" TargetMode="External"/><Relationship Id="rId17" Type="http://schemas.openxmlformats.org/officeDocument/2006/relationships/hyperlink" Target="https://doi.org/10.1038/s41586-024-07491-0" TargetMode="External"/><Relationship Id="rId25" Type="http://schemas.openxmlformats.org/officeDocument/2006/relationships/hyperlink" Target="https://doi.org/10.1186/s41073-019-0064-8" TargetMode="External"/><Relationship Id="rId2" Type="http://schemas.openxmlformats.org/officeDocument/2006/relationships/numbering" Target="numbering.xml"/><Relationship Id="rId16" Type="http://schemas.openxmlformats.org/officeDocument/2006/relationships/hyperlink" Target="https://doi.org/10.1038/s41586-023-06042-3" TargetMode="External"/><Relationship Id="rId20" Type="http://schemas.openxmlformats.org/officeDocument/2006/relationships/hyperlink" Target="https://doi.org/10.1016/j.geodrs.2023.e0064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pedobi.2024.150985" TargetMode="External"/><Relationship Id="rId24" Type="http://schemas.openxmlformats.org/officeDocument/2006/relationships/hyperlink" Target="https://doi.org/10.1038/s43247-025-02637-y" TargetMode="External"/><Relationship Id="rId5" Type="http://schemas.openxmlformats.org/officeDocument/2006/relationships/webSettings" Target="webSettings.xml"/><Relationship Id="rId15" Type="http://schemas.openxmlformats.org/officeDocument/2006/relationships/hyperlink" Target="https://doi.org/10.1016/j.apsoil.2024.105316" TargetMode="External"/><Relationship Id="rId23" Type="http://schemas.openxmlformats.org/officeDocument/2006/relationships/hyperlink" Target="https://doi.org/10.1073/pnas.2413032122" TargetMode="External"/><Relationship Id="rId28" Type="http://schemas.openxmlformats.org/officeDocument/2006/relationships/theme" Target="theme/theme1.xml"/><Relationship Id="rId10" Type="http://schemas.openxmlformats.org/officeDocument/2006/relationships/hyperlink" Target="https://doi.org/10.1016/j.catena.2023.107768" TargetMode="External"/><Relationship Id="rId19" Type="http://schemas.openxmlformats.org/officeDocument/2006/relationships/hyperlink" Target="https://doi.org/10.3390/agronomy13123026" TargetMode="External"/><Relationship Id="rId4" Type="http://schemas.openxmlformats.org/officeDocument/2006/relationships/settings" Target="settings.xml"/><Relationship Id="rId9" Type="http://schemas.openxmlformats.org/officeDocument/2006/relationships/hyperlink" Target="https://doi.org/10.1016/j.jaridenv.2025.105401" TargetMode="External"/><Relationship Id="rId14" Type="http://schemas.openxmlformats.org/officeDocument/2006/relationships/hyperlink" Target="https://doi.org/10.1016/j.micres.2024.127763" TargetMode="External"/><Relationship Id="rId22" Type="http://schemas.openxmlformats.org/officeDocument/2006/relationships/hyperlink" Target="https://doi.org/10.1590/1806-908820230000002"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5707</Words>
  <Characters>33423</Characters>
  <Application>Microsoft Office Word</Application>
  <DocSecurity>0</DocSecurity>
  <Lines>562</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Quando o carbono indica recuperação funcional de solos da Caatinga</dc:title>
  <dc:subject>Direcionamento de escrita e metodologia da revisão crítica sobre solos da Caatinga</dc:subject>
  <dc:creator>UFAPE</dc:creator>
  <cp:keywords>Caatinga; carbono; biomassa microbiana; fosfatases; revisão narrativa</cp:keywords>
  <dc:description/>
  <cp:lastModifiedBy>Dell-G15</cp:lastModifiedBy>
  <cp:revision>3</cp:revision>
  <dcterms:created xsi:type="dcterms:W3CDTF">2013-12-23T23:15:00Z</dcterms:created>
  <dcterms:modified xsi:type="dcterms:W3CDTF">2026-10-20T22:02:00Z</dcterms:modified>
  <cp:category/>
</cp:coreProperties>
</file>