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E015" w14:textId="77777777">
      <w:pPr>
        <w:pStyle w:val="Ttulo"/>
        <w:spacing w:before="0" w:beforeAutospacing="0"/>
        <w:keepNext w:val="1"/>
      </w:pPr>
      <w:r>
        <w:rPr>
          <w:rFonts w:ascii="Times New Roman" w:hAnsi="Times New Roman" w:eastAsia="Times New Roman" w:cs="Times New Roman"/>
          <w:color w:val="000000"/>
        </w:rPr>
        <w:t>Quando o carbono indica recuperação funcional de solos da Caatinga</w:t>
      </w:r>
    </w:p>
    <w:p w14:paraId="77E350C7" w14:textId="77777777">
      <w:pPr>
        <w:pStyle w:val="Subttulo"/>
        <w:spacing w:before="0" w:beforeAutospacing="0"/>
        <w:keepNext w:val="1"/>
      </w:pPr>
      <w:r>
        <w:rPr>
          <w:rFonts w:ascii="Times New Roman" w:hAnsi="Times New Roman" w:eastAsia="Times New Roman" w:cs="Times New Roman"/>
          <w:color w:val="000000"/>
        </w:rPr>
        <w:t>Biomassa e fosfatases na avaliação da restauração com exclusão do pastejo</w:t>
      </w:r>
    </w:p>
    <w:p w14:paraId="669EE99D" w14:textId="77777777">
      <w:r>
        <w:rPr>
          <w:rFonts w:ascii="Times New Roman" w:hAnsi="Times New Roman" w:eastAsia="Times New Roman" w:cs="Times New Roman"/>
          <w:color w:val="000000"/>
          <w:sz w:val="21"/>
        </w:rPr>
        <w:t>UFAPE  |  Direcionamento atualizado em 20/10/2026 para a reunião de 21/10/2026</w:t>
      </w:r>
    </w:p>
    <w:p w14:paraId="797507AB" w14:textId="77777777">
      <w:pPr>
        <w:pStyle w:val="Ttulo1"/>
        <w:spacing w:before="360" w:beforeAutospacing="0"/>
        <w:keepNext/>
      </w:pPr>
      <w:r>
        <w:rPr>
          <w:rFonts w:ascii="Times New Roman" w:hAnsi="Times New Roman" w:eastAsia="Times New Roman" w:cs="Times New Roman"/>
          <w:color w:val="000000"/>
        </w:rPr>
        <w:t>1. Direção científica e pergunta central</w:t>
      </w:r>
    </w:p>
    <w:p w14:paraId="19B430F2" w14:textId="77777777">
      <w:pPr>
        <w:ind w:firstLine="709"/>
        <w:jc w:val="both"/>
      </w:pPr>
      <w:r>
        <w:rPr>
          <w:rFonts w:ascii="Times New Roman" w:hAnsi="Times New Roman" w:eastAsia="Times New Roman" w:cs="Times New Roman"/>
          <w:color w:val="000000"/>
        </w:rPr>
        <w:t>Vamos escrever uma revisão narrativa crítica sobre as condições em que o ganho de carbono acompanha a recuperação funcional dos solos da Caatinga. O núcleo regional será a restauração por exclusão do pastejo. Experimentos com resíduos e compostos, microcosmos e estudos de outros ambientes contribuirão para explicar mecanismos, sempre com contexto e limites explícitos. A contribuição científica proposta é uma matriz de convergências e discordâncias entre compartimentos de carbono, indicadores microbianos e aquisição de fósforo, condicionada pela água, pelo solo e pelo método de medição.</w:t>
      </w:r>
    </w:p>
    <w:p w14:paraId="30C67747" w14:textId="77777777">
      <w:pPr>
        <w:ind w:firstLine="709"/>
        <w:jc w:val="both"/>
      </w:pPr>
      <w:r>
        <w:rPr>
          <w:rFonts w:ascii="Times New Roman" w:hAnsi="Times New Roman" w:eastAsia="Times New Roman" w:cs="Times New Roman"/>
          <w:color w:val="000000"/>
        </w:rPr>
        <w:t>Pergunta central: Em quais condições o aumento do carbono do solo acompanha recuperação da biomassa microbiana e dos processos biológicos de transformação de resíduos e aquisição de fósforo na Caatinga, e quais diferenças de água, solo e método explicam respostas discordantes?</w:t>
      </w:r>
    </w:p>
    <w:p w14:paraId="48DA9D95" w14:textId="77777777">
      <w:pPr>
        <w:ind w:firstLine="709"/>
        <w:jc w:val="both"/>
      </w:pPr>
      <w:r>
        <w:rPr>
          <w:rFonts w:ascii="Times New Roman" w:hAnsi="Times New Roman" w:eastAsia="Times New Roman" w:cs="Times New Roman"/>
          <w:color w:val="000000"/>
        </w:rPr>
        <w:t>A hipótese de interpretação é que o aumento isolado de carbono, biomassa, atividade enzimática ou abundância de genes não basta para diagnosticar recuperação funcional. A revisão deverá identificar quais combinações de medidas sustentam esse diagnóstico, quais divergem e quais dados faltam. Essa formulação orienta a síntese; não representa uma hipótese experimental já testada pela turma.</w:t>
      </w:r>
    </w:p>
    <w:p w14:paraId="05DC3F37" w14:textId="77777777">
      <w:pPr>
        <w:ind w:firstLine="709"/>
        <w:jc w:val="both"/>
      </w:pPr>
      <w:r>
        <w:rPr>
          <w:rFonts w:ascii="Times New Roman" w:hAnsi="Times New Roman" w:eastAsia="Times New Roman" w:cs="Times New Roman"/>
          <w:color w:val="000000"/>
        </w:rPr>
        <w:t>O eixo de integração será carbono–biomassa–fósforo, com ênfase na microbiologia e na bioquímica. Composição bacteriana, diversidade e potencial funcional serão confrontados com CBM, enzimas e processos medidos. A química do solo participa por pH, acidez, bases e disponibilidade de nutrientes; a física participa por granulometria, agregação, porosidade, acesso à água e conservação. Esses condicionantes atravessam os cinco tópicos e ajudam a explicar as discordâncias, mantendo o título, a pergunta central e o núcleo de restauração por exclusão do pastejo.</w:t>
      </w:r>
    </w:p>
    <w:p w14:paraId="6D71CB8A" w14:textId="77777777">
      <w:pPr>
        <w:pStyle w:val="Ttulo1"/>
        <w:spacing w:before="360" w:beforeAutospacing="0"/>
        <w:keepNext/>
      </w:pPr>
      <w:r>
        <w:rPr>
          <w:rFonts w:ascii="Times New Roman" w:hAnsi="Times New Roman" w:eastAsia="Times New Roman" w:cs="Times New Roman"/>
          <w:color w:val="000000"/>
        </w:rPr>
        <w:lastRenderedPageBreak/>
        <w:t>2. Descobertas que mudam a interpretação dos indicadores</w:t>
      </w:r>
    </w:p>
    <w:p w14:paraId="419A4D91" w14:textId="77777777">
      <w:pPr>
        <w:pStyle w:val="Ttulo2"/>
        <w:spacing w:before="0" w:beforeAutospacing="0"/>
        <w:keepNext/>
      </w:pPr>
      <w:r>
        <w:rPr>
          <w:rFonts w:ascii="Times New Roman" w:hAnsi="Times New Roman" w:eastAsia="Times New Roman" w:cs="Times New Roman"/>
          <w:color w:val="000000"/>
        </w:rPr>
        <w:t>2.1. Biomassa carbono e respiração</w:t>
      </w:r>
    </w:p>
    <w:p w14:paraId="579E84D2" w14:textId="77777777">
      <w:pPr>
        <w:ind w:firstLine="709"/>
        <w:jc w:val="both"/>
      </w:pPr>
      <w:r>
        <w:rPr>
          <w:rFonts w:ascii="Times New Roman" w:hAnsi="Times New Roman" w:eastAsia="Times New Roman" w:cs="Times New Roman"/>
          <w:color w:val="000000"/>
        </w:rPr>
        <w:t>Souza et al. (2025; R01) oferecem um caso regional diretamente útil ao argumento: o carbono da biomassa microbiana (CBM) apresentou associações positivas modestas com o carbono orgânico e seu estoque, mas não se correlacionou com a respiração basal do solo (RBS) nessa amostra. Portanto, um reservatório de biomassa e um fluxo respiratório podem responder de formas diferentes. Os quocientes que compartilham componentes nas fórmulas devem ser interpretados com atenção à dependência matemática; o quociente metabólico não mede diretamente a eficiência de uso do carbono.</w:t>
      </w:r>
    </w:p>
    <w:p w14:paraId="579E84D2" w14:textId="77777777">
      <w:pPr>
        <w:ind w:firstLine="709"/>
        <w:jc w:val="both"/>
      </w:pPr>
      <w:r>
        <w:rPr>
          <w:rFonts w:ascii="Times New Roman" w:hAnsi="Times New Roman" w:eastAsia="Times New Roman" w:cs="Times New Roman"/>
          <w:color w:val="000000"/>
        </w:rPr>
        <w:t>Costa et al. (2022b; R19) acrescentam uma discordância regional entre quantidade de carbono, biomassa e diversidade. Em agosto de 2018, compararam floresta e duas pastagens em Brejão, Garanhuns e São João, em ambiente tropical subúmido. A pastagem mais produtiva (B) teve maior diversidade bacteriana que a menos produtiva (A), mas menor CBM: 27,14 contra 63,57 mg/kg. O COT foi menor nas duas pastagens (5,58 e 5,82 g/kg) que na floresta (10,44 g/kg), sem diferença detectada entre A e B. São comparações observacionais da tabela 1, não coeficientes de correlação CBM–COT. A inclusão conjunta de pH, COT e CBM no modelo de índice de vegetação por diferença normalizada (NDVI) também não demonstra associação pareada nem causalidade.</w:t>
      </w:r>
    </w:p>
    <w:p w14:paraId="775A61A0" w14:textId="77777777">
      <w:pPr>
        <w:pStyle w:val="Ttulo2"/>
        <w:spacing w:before="360" w:beforeAutospacing="0"/>
        <w:keepNext/>
      </w:pPr>
      <w:r>
        <w:rPr>
          <w:rFonts w:ascii="Times New Roman" w:hAnsi="Times New Roman" w:eastAsia="Times New Roman" w:cs="Times New Roman"/>
          <w:color w:val="000000"/>
        </w:rPr>
        <w:t>2.2. Fosfatases e aquisição de fósforo</w:t>
      </w:r>
    </w:p>
    <w:p w14:paraId="61602232" w14:textId="77777777">
      <w:pPr>
        <w:ind w:firstLine="709"/>
        <w:jc w:val="both"/>
      </w:pPr>
      <w:r>
        <w:rPr>
          <w:rFonts w:ascii="Times New Roman" w:hAnsi="Times New Roman" w:eastAsia="Times New Roman" w:cs="Times New Roman"/>
          <w:color w:val="000000"/>
        </w:rPr>
        <w:t xml:space="preserve">Os três trabalhos de Silva et al. (2024; R02, R06 e R07) aproximam carbono, biomassa, enzimas e informação molecular em Irauçuba. Eles serão identificados também pelo periódico para evitar troca de fontes. No estudo de comunidades fúngicas, o ensaio de fosfatase foi executado em pH 6,5; a designação ácida segue o método, apesar da nomenclatura inconsistente em parte da discussão (R06). No estudo de genes, a relação com </w:t>
      </w:r>
      <w:r>
        <w:rPr>
          <w:rFonts w:ascii="Times New Roman" w:hAnsi="Times New Roman" w:eastAsia="Times New Roman" w:cs="Times New Roman"/>
          <w:i/>
          <w:color w:val="000000"/>
        </w:rPr>
        <w:t>phoD</w:t>
      </w:r>
      <w:r>
        <w:rPr>
          <w:rFonts w:ascii="Times New Roman" w:hAnsi="Times New Roman" w:eastAsia="Times New Roman" w:cs="Times New Roman"/>
          <w:color w:val="000000"/>
        </w:rPr>
        <w:t xml:space="preserve"> se refere à fosfatase alcalina (R07). Abundância de genes no ácido desoxirribonucleico (DNA), atividade enzimática potencial e fósforo absorvido pela planta não são medidas intercambiáveis.</w:t>
      </w:r>
    </w:p>
    <w:p w14:paraId="400CC7BC" w14:textId="77777777">
      <w:pPr>
        <w:ind w:firstLine="709"/>
        <w:jc w:val="both"/>
      </w:pPr>
      <w:r>
        <w:rPr>
          <w:rFonts w:ascii="Times New Roman" w:hAnsi="Times New Roman" w:eastAsia="Times New Roman" w:cs="Times New Roman"/>
          <w:color w:val="000000"/>
        </w:rPr>
        <w:t>Wanke et al. (2024; R04) relacionam a aplicação prolongada de composto a diferentes indicadores de transformação de fósforo em um experimento alemão. Jiang et al. (2024; R09) mostram, em floresta australiana, que maior aporte de carbono abaixo do solo pode coexistir com competição microbiana por fósforo e resposta vegetal limitada. São mecanismos complementares; não validam uma dose de composto nem um diagnóstico de deficiência para a Caatinga. A fosfatase ácida também pode ter origem radicular, além da microbiana.</w:t>
      </w:r>
    </w:p>
    <w:p w14:paraId="400CC7BC" w14:textId="77777777">
      <w:pPr>
        <w:ind w:firstLine="709"/>
        <w:jc w:val="both"/>
      </w:pPr>
      <w:r>
        <w:rPr>
          <w:rFonts w:ascii="Times New Roman" w:hAnsi="Times New Roman" w:eastAsia="Times New Roman" w:cs="Times New Roman"/>
          <w:color w:val="000000"/>
        </w:rPr>
        <w:t>No mesmo conjunto de R19, a fosfatase alcalina foi maior na floresta que nas pastagens, enquanto a fosfatase ácida, a β-glicosidase e a urease não apresentaram diferença detectada entre coberturas. O artigo de dados companheiro (Costa et al., 2022a; R20) documenta os testes: p = 0,951, p = 0,412 e p = 0,810, respectivamente, para o efeito fixo de cobertura. Ausência de diferença detectada não prova equivalência funcional. O ensaio de fosfatase ácida em tampão pH 6,5 e o de alcalina em pH 11 precisam permanecer separados, assim como atividade potencial e fluxo de nutrientes em campo.</w:t>
      </w:r>
    </w:p>
    <w:p w14:paraId="45573C88" w14:textId="77777777">
      <w:pPr>
        <w:pStyle w:val="Ttulo2"/>
        <w:spacing w:before="360" w:beforeAutospacing="0"/>
        <w:keepNext/>
      </w:pPr>
      <w:r>
        <w:rPr>
          <w:rFonts w:ascii="Times New Roman" w:hAnsi="Times New Roman" w:eastAsia="Times New Roman" w:cs="Times New Roman"/>
          <w:color w:val="000000"/>
        </w:rPr>
        <w:t>2.3. Granulometria porosidade e bases</w:t>
      </w:r>
    </w:p>
    <w:p w14:paraId="3EBA00F4" w14:textId="77777777">
      <w:pPr>
        <w:ind w:firstLine="709"/>
        <w:jc w:val="both"/>
      </w:pPr>
      <w:r>
        <w:rPr>
          <w:rFonts w:ascii="Times New Roman" w:hAnsi="Times New Roman" w:eastAsia="Times New Roman" w:cs="Times New Roman"/>
          <w:color w:val="000000"/>
        </w:rPr>
        <w:t>Vasconcelos et al. (2025; R13) permitem integrar granulometria, porosidade, frações orgânicas e CBM. A microporosidade foi determinada a 6 kPa e o CBM por irradiação–extração. Os usos comparados também diferem em classe de solo; medidas conjuntas ou uma ordenação multivariada não isolam o efeito do manejo nem fornecem automaticamente correlação pareada. Granulometria condiciona a interpretação das frações e da água, mas não substitui informação mineralógica ou curva de retenção.</w:t>
      </w:r>
    </w:p>
    <w:p w14:paraId="00C3586D" w14:textId="77777777">
      <w:pPr>
        <w:ind w:firstLine="709"/>
        <w:jc w:val="both"/>
      </w:pPr>
      <w:r>
        <w:rPr>
          <w:rFonts w:ascii="Times New Roman" w:hAnsi="Times New Roman" w:eastAsia="Times New Roman" w:cs="Times New Roman"/>
          <w:color w:val="000000"/>
        </w:rPr>
        <w:lastRenderedPageBreak/>
        <w:t>Macedo et al. (2023; R14) acrescentam uma conexão química verificável: soma de bases e capacidade de troca de cátions (CTC) estão relacionadas por definição. A tabela 2 permite conferir CTC efetiva = soma de bases + alumínio trocável e CTC potencial = soma de bases + acidez potencial. A área degradada teve maior saturação por bases apesar de menor soma de bases, com maior participação de sódio. Essa diferença impede interpretar saturação elevada como sinônimo de melhor condição química. Foram utilizados o protocolo químico e a tabela 2; a descrição inconsistente do quociente metabólico não foi incorporada.</w:t>
      </w:r>
    </w:p>
    <w:p w14:paraId="00C3586D" w14:textId="77777777">
      <w:pPr>
        <w:ind w:firstLine="709"/>
        <w:jc w:val="both"/>
      </w:pPr>
      <w:r>
        <w:rPr>
          <w:rFonts w:ascii="Times New Roman" w:hAnsi="Times New Roman" w:eastAsia="Times New Roman" w:cs="Times New Roman"/>
          <w:color w:val="000000"/>
        </w:rPr>
        <w:t>O desenho de R19 acrescenta um gradiente físico relevante: os três municípios apresentavam 36%, 26% e 4% de argila, além de diferenças de clima e histórico. Textura, COT, CBM e enzimas foram avaliados no mesmo estudo; não se isolou um efeito causal da argila sobre cada indicador. Comparar os estudos exige registrar essas diferenças e os protocolos de CBM, que em R19/R20 utilizaram irradiação–extração. A conexão física será discutida como condicionante de proteção, acesso a substratos e água, confrontando R13; não será convertida em mecanismo experimental demonstrado por R19.</w:t>
      </w:r>
    </w:p>
    <w:p w14:paraId="61240185" w14:textId="77777777">
      <w:pPr>
        <w:pStyle w:val="Ttulo2"/>
        <w:spacing w:before="360" w:beforeAutospacing="0"/>
        <w:keepNext/>
      </w:pPr>
      <w:r>
        <w:rPr>
          <w:rFonts w:ascii="Times New Roman" w:hAnsi="Times New Roman" w:eastAsia="Times New Roman" w:cs="Times New Roman"/>
          <w:color w:val="000000"/>
        </w:rPr>
        <w:t>2.4. Diversidade expressão gênica e crescimento</w:t>
      </w:r>
    </w:p>
    <w:p w14:paraId="3D5B46CD" w14:textId="77777777">
      <w:pPr>
        <w:ind w:firstLine="709"/>
        <w:jc w:val="both"/>
      </w:pPr>
      <w:r>
        <w:rPr>
          <w:rFonts w:ascii="Times New Roman" w:hAnsi="Times New Roman" w:eastAsia="Times New Roman" w:cs="Times New Roman"/>
          <w:color w:val="000000"/>
        </w:rPr>
        <w:t>Chuckran et al. (2025; R15) combinaram metatranscriptômica de ácido ribonucleico (RNA) e medida de crescimento bacteriano após reumedecimento de solo da Califórnia. A expressão de proteínas ribossomais não apresentou relação forte com a taxa de crescimento, embora a sequência temporal das respostas trouxesse correspondências. Ayala-Ortiz et al. (2025; R16) observaram no Arizona queda temporária e recuperação da diversidade alfa com composição relativamente estável. Esses achados sustentam a distinção entre diversidade, composição, transcrição e processo; não são resultados de restauração da Caatinga.</w:t>
      </w:r>
    </w:p>
    <w:p w14:paraId="3D5B46CD" w14:textId="77777777">
      <w:pPr>
        <w:ind w:firstLine="709"/>
        <w:jc w:val="both"/>
      </w:pPr>
      <w:r>
        <w:rPr>
          <w:rFonts w:ascii="Times New Roman" w:hAnsi="Times New Roman" w:eastAsia="Times New Roman" w:cs="Times New Roman"/>
          <w:color w:val="000000"/>
        </w:rPr>
        <w:t>Costa et al. (2024; R18) ampliam a comparação para pastagens subúmidas do Agreste e da Zona da Mata de Pernambuco. A maior fertilidade acompanhou maior diversidade alfa bacteriana e diferenças de composição associadas a pH, cálcio, magnésio, saturação por bases e COT. As 48 amostras químicas originaram 36 bibliotecas; a comparação final reteve 15 amostras de alta e 10 de baixa fertilidade, após excluir o grupo intermediário. O sequenciamento de amplicons V3–V4 do gene 16S rRNA descreve a comunidade bacteriana; a predição FAPROTAX não mede expressão gênica. A checagem por sequenciamento shotgun em três amostras não autoriza equiparar predição taxonômica a atividade em campo. R18 não deve ser citado como fonte de medições novas de CBM ou de enzimas.</w:t>
      </w:r>
    </w:p>
    <w:p w14:paraId="71B7F299" w14:textId="77777777">
      <w:pPr>
        <w:pStyle w:val="Ttulo2"/>
        <w:spacing w:before="360" w:beforeAutospacing="0"/>
        <w:keepNext/>
      </w:pPr>
      <w:r>
        <w:rPr>
          <w:rFonts w:ascii="Times New Roman" w:hAnsi="Times New Roman" w:eastAsia="Times New Roman" w:cs="Times New Roman"/>
          <w:color w:val="000000"/>
        </w:rPr>
        <w:t>2.5. Agregação água e perda de solo</w:t>
      </w:r>
    </w:p>
    <w:p w14:paraId="38E2C667" w14:textId="77777777">
      <w:pPr>
        <w:ind w:firstLine="709"/>
        <w:jc w:val="both"/>
      </w:pPr>
      <w:r>
        <w:rPr>
          <w:rFonts w:ascii="Times New Roman" w:hAnsi="Times New Roman" w:eastAsia="Times New Roman" w:cs="Times New Roman"/>
          <w:color w:val="000000"/>
        </w:rPr>
        <w:t>Medeiros et al. (2023; R12) identificaram situações de maior agregação e menor estoque de carbono. O aumento de 5,4% apresentado em uma das comparações não foi estatisticamente significativo e não deve ser descrito como ganho comprovado. No estudo de Souza et al. (2023; R11), em Pesqueira, a vegetação nativa apresentou menor perda de solo que palma forrageira e barreiras de pedra. Os 35 eventos foram observados em 2009–2010, em declive de 9%; a publicação é de 2023. Eventos de chuva não equivalem a 35 réplicas espaciais independentes.</w:t>
      </w:r>
    </w:p>
    <w:p w14:paraId="6EE229C4" w14:textId="77777777">
      <w:pPr>
        <w:ind w:firstLine="709"/>
        <w:jc w:val="both"/>
      </w:pPr>
      <w:r>
        <w:rPr>
          <w:rFonts w:ascii="Times New Roman" w:hAnsi="Times New Roman" w:eastAsia="Times New Roman" w:cs="Times New Roman"/>
          <w:color w:val="000000"/>
        </w:rPr>
        <w:t>A ausência de diferença detectada em escoamento entre palma e Caatinga não comprovou proteção equivalente contra sedimentos. A perda de solo se associou ao escoamento e à concentração de sedimentos, mas não apresentou associação significativa com os atributos de chuva avaliados na tabela 5 (R11). Não há transitividade automática entre correlações. Esse estudo não mediu carbono, CBM ou fosfatases; sua ligação com o eixo do artigo será uma discussão de conservação, identificada como tal.</w:t>
      </w:r>
    </w:p>
    <w:p w14:paraId="6EE229C4" w14:textId="77777777">
      <w:pPr>
        <w:pStyle w:val="Ttulo2"/>
        <w:keepNext/>
        <w:spacing w:before="360"/>
        <w:jc w:val="both"/>
      </w:pPr>
      <w:r>
        <w:rPr>
          <w:rFonts w:ascii="Times New Roman" w:hAnsi="Times New Roman" w:eastAsia="Times New Roman" w:cs="Times New Roman"/>
          <w:color w:val="000000"/>
        </w:rPr>
        <w:t>2.6. Independência das fontes e limites das redes</w:t>
      </w:r>
    </w:p>
    <w:p w14:paraId="6EE229C4" w14:textId="77777777">
      <w:pPr>
        <w:keepNext w:val="0"/>
        <w:spacing w:before="0"/>
        <w:jc w:val="both"/>
      </w:pPr>
      <w:r>
        <w:rPr>
          <w:rFonts w:ascii="Times New Roman" w:hAnsi="Times New Roman" w:eastAsia="Times New Roman" w:cs="Times New Roman"/>
          <w:color w:val="000000"/>
          <w:sz w:val="21"/>
        </w:rPr>
        <w:t>R19 e R20 descrevem a mesma coleta, com 36 amostras químicas e bioquímicas de 0–10 cm e 27 bibliotecas 16S; o segundo texto amplia transparência e acesso aos dados, sem constituir uma replicação independente. O depósito Mendeley Data versão 4 (DOI 10.17632/483vh8mdrv.4) acompanha R20, e a planilha original de química e enzimas foi arquivada. R18 também cita o BioProject PRJNA753707, mas descreve outro recorte de locais e profundidade. A sobreposição exata exige confrontar BioSamples; não presumiremos independência nem identidade completa entre os estudos.</w:t>
      </w:r>
    </w:p>
    <w:p w14:paraId="6EE229C4" w14:textId="77777777">
      <w:pPr>
        <w:keepNext w:val="0"/>
        <w:spacing w:before="0"/>
        <w:ind w:firstLine="709"/>
        <w:jc w:val="both"/>
      </w:pPr>
      <w:r>
        <w:rPr>
          <w:rFonts w:ascii="Times New Roman" w:hAnsi="Times New Roman" w:eastAsia="Times New Roman" w:cs="Times New Roman"/>
          <w:color w:val="000000"/>
        </w:rPr>
        <w:t>A rede de palavras da plataforma e as redes de ASVs dos artigos representam objetos diferentes. Em R19, os percentuais de ligações positivas diferem entre o texto dos resultados e a tabela 2, e há inversões taxonômicas na discussão; a síntese deve priorizar resultados, tabelas de abundância e suas comparações. Em R18, o resumo sugere maior complexidade em alta fertilidade, mas os resultados apresentam maior razão arestas/nós em baixa fertilidade (22,6 contra 4,6), com outras métricas favorecendo alta fertilidade. O limiar SparCC também aparece como 0,06 e 0,6. Não reutilizar esses trechos para afirmar estabilidade, saúde ou recuperação por maior conectividade. Divergências internas serão registradas para esclarecimento, sem ocultar os achados consistentes.</w:t>
      </w:r>
    </w:p>
    <w:p w14:paraId="756947ED" w14:textId="77777777">
      <w:pPr>
        <w:pStyle w:val="Ttulo1"/>
        <w:spacing w:before="360" w:beforeAutospacing="0"/>
        <w:keepNext/>
      </w:pPr>
      <w:r>
        <w:rPr>
          <w:rFonts w:ascii="Times New Roman" w:hAnsi="Times New Roman" w:eastAsia="Times New Roman" w:cs="Times New Roman"/>
          <w:color w:val="000000"/>
        </w:rPr>
        <w:lastRenderedPageBreak/>
        <w:t>3. Cinco tópicos complementares para a redação</w:t>
      </w:r>
    </w:p>
    <w:p w14:paraId="62F93586" w14:textId="77777777">
      <w:pPr>
        <w:pStyle w:val="Ttulo2"/>
        <w:spacing w:before="0" w:beforeAutospacing="0"/>
        <w:keepNext/>
      </w:pPr>
      <w:r>
        <w:rPr>
          <w:rFonts w:ascii="Times New Roman" w:hAnsi="Times New Roman" w:eastAsia="Times New Roman" w:cs="Times New Roman"/>
          <w:color w:val="000000"/>
        </w:rPr>
        <w:t>3.1. Quantidade e proteção do carbono</w:t>
      </w:r>
    </w:p>
    <w:p w14:paraId="0D873B36" w14:textId="77777777">
      <w:pPr>
        <w:ind w:firstLine="709"/>
        <w:jc w:val="both"/>
      </w:pPr>
      <w:r>
        <w:rPr>
          <w:rFonts w:ascii="Times New Roman" w:hAnsi="Times New Roman" w:eastAsia="Times New Roman" w:cs="Times New Roman"/>
          <w:color w:val="000000"/>
        </w:rPr>
        <w:t>Responsáveis: Alaideane Santana Santos (T1); Lili (T2).</w:t>
      </w:r>
    </w:p>
    <w:p w14:paraId="17F73ED1" w14:textId="77777777">
      <w:pPr>
        <w:ind w:firstLine="709"/>
        <w:jc w:val="both"/>
      </w:pPr>
      <w:r>
        <w:rPr>
          <w:rFonts w:ascii="Times New Roman" w:hAnsi="Times New Roman" w:eastAsia="Times New Roman" w:cs="Times New Roman"/>
          <w:color w:val="000000"/>
        </w:rPr>
        <w:t>Pergunta da seção: O que aumentou de fato: concentração, estoque comparável ou uma fração operacional?</w:t>
      </w:r>
    </w:p>
    <w:p w14:paraId="0331943F" w14:textId="77777777">
      <w:pPr>
        <w:ind w:firstLine="709"/>
        <w:jc w:val="both"/>
      </w:pPr>
      <w:r>
        <w:rPr>
          <w:rFonts w:ascii="Times New Roman" w:hAnsi="Times New Roman" w:eastAsia="Times New Roman" w:cs="Times New Roman"/>
          <w:color w:val="000000"/>
        </w:rPr>
        <w:t>A seção estabelecerá a base de comparação do artigo. Distinguir concentração de carbono, estoque corrigido por profundidade e massa de solo e frações obtidas por um procedimento operacional. Apresentar entradas e transformação sem identificar toda matéria orgânica particulada com carbono lábil ou toda fração fina com permanência longa. Primo et al. (R03) ajudam a discutir resíduos e formação de frações; o microcosmo úmido não demonstra persistência em campo. Medeiros et al. (R12) fornecem a comparação regional entre estoque e agregação. Canarini et al. (R05), em ambiente austríaco, delimitam a extrapolação de respostas à seca. R19 acrescentará a comparação de COT entre floresta e pastagens como referência observacional: concentração não substitui estoque, e maior diversidade bacteriana não implica maior reserva de carbono.</w:t>
      </w:r>
    </w:p>
    <w:p w14:paraId="2010F0D5" w14:textId="77777777">
      <w:pPr>
        <w:ind w:firstLine="709"/>
        <w:jc w:val="both"/>
      </w:pPr>
      <w:r>
        <w:rPr>
          <w:rFonts w:ascii="Times New Roman" w:hAnsi="Times New Roman" w:eastAsia="Times New Roman" w:cs="Times New Roman"/>
          <w:color w:val="000000"/>
        </w:rPr>
        <w:t>Produto esperado: Quadro de estoques e frações com método, profundidade e limite da inferência de persistência. Definir frações e bases de cálculo aqui. A seção seguinte utilizará essas definições para discutir interfaces minerais e fósforo.</w:t>
      </w:r>
    </w:p>
    <w:p w14:paraId="44F3DAD8" w14:textId="77777777">
      <w:pPr>
        <w:pStyle w:val="Ttulo2"/>
        <w:spacing w:before="360" w:beforeAutospacing="0"/>
        <w:keepNext/>
      </w:pPr>
      <w:r>
        <w:rPr>
          <w:rFonts w:ascii="Times New Roman" w:hAnsi="Times New Roman" w:eastAsia="Times New Roman" w:cs="Times New Roman"/>
          <w:color w:val="000000"/>
        </w:rPr>
        <w:t>3.2. Interfaces minerais e acesso ao fósforo</w:t>
      </w:r>
    </w:p>
    <w:p w14:paraId="5A1F7B8A" w14:textId="77777777">
      <w:pPr>
        <w:ind w:firstLine="709"/>
        <w:jc w:val="both"/>
      </w:pPr>
      <w:r>
        <w:rPr>
          <w:rFonts w:ascii="Times New Roman" w:hAnsi="Times New Roman" w:eastAsia="Times New Roman" w:cs="Times New Roman"/>
          <w:color w:val="000000"/>
        </w:rPr>
        <w:t>Responsáveis: Luana Gabryella (T3); Teteu (T4).</w:t>
      </w:r>
    </w:p>
    <w:p w14:paraId="04D34CA1" w14:textId="77777777">
      <w:pPr>
        <w:ind w:firstLine="709"/>
        <w:jc w:val="both"/>
      </w:pPr>
      <w:r>
        <w:rPr>
          <w:rFonts w:ascii="Times New Roman" w:hAnsi="Times New Roman" w:eastAsia="Times New Roman" w:cs="Times New Roman"/>
          <w:color w:val="000000"/>
        </w:rPr>
        <w:t>Pergunta da seção: Quando o carbono se associa a condições químicas favoráveis, e quando persistem restrições à aquisição de fósforo?</w:t>
      </w:r>
    </w:p>
    <w:p w14:paraId="392F7AC1" w14:textId="77777777">
      <w:pPr>
        <w:ind w:firstLine="709"/>
        <w:jc w:val="both"/>
      </w:pPr>
      <w:r>
        <w:rPr>
          <w:rFonts w:ascii="Times New Roman" w:hAnsi="Times New Roman" w:eastAsia="Times New Roman" w:cs="Times New Roman"/>
          <w:color w:val="000000"/>
        </w:rPr>
        <w:t>Concentrar grupos funcionais, superfícies, cargas, pH, alumínio e bases nas condições que aproximam proteção do carbono e acesso ao fósforo. A proposição de Lieberman et al. (R10) será identificada como opinião conceitual, confrontada com estudos primários. Macedo et al. (R14) oferecem um exemplo químico regional; Jiang et al. (R09) e Wanke et al. (R04) contribuem com processos externos. Separar CTC, condutividade elétrica, saturação por bases e disponibilidade de nutrientes. R18/R19 entrarão para relacionar o ambiente químico à seleção bacteriana, incluindo sinais diferentes entre táxons; saturação por bases não será confundida com soma de bases.</w:t>
      </w:r>
    </w:p>
    <w:p w14:paraId="6D8515C7" w14:textId="77777777">
      <w:pPr>
        <w:ind w:firstLine="709"/>
        <w:jc w:val="both"/>
      </w:pPr>
      <w:r>
        <w:rPr>
          <w:rFonts w:ascii="Times New Roman" w:hAnsi="Times New Roman" w:eastAsia="Times New Roman" w:cs="Times New Roman"/>
          <w:color w:val="000000"/>
        </w:rPr>
        <w:t>Produto esperado: Quadro mecanismo–medida–explicação alternativa, considerando pH, cargas, insumo e formas de fósforo. Explicar condicionantes químicos sem repetir as frações do subtópico 3.1 nem antecipar toda a discussão dos ensaios enzimáticos do subtópico 3.4.</w:t>
      </w:r>
    </w:p>
    <w:p w14:paraId="25A16111" w14:textId="77777777">
      <w:pPr>
        <w:pStyle w:val="Ttulo2"/>
        <w:spacing w:before="360" w:beforeAutospacing="0"/>
        <w:keepNext/>
      </w:pPr>
      <w:r>
        <w:rPr>
          <w:rFonts w:ascii="Times New Roman" w:hAnsi="Times New Roman" w:eastAsia="Times New Roman" w:cs="Times New Roman"/>
          <w:color w:val="000000"/>
        </w:rPr>
        <w:t>3.3. Pulsos hídricos, agregação e conservação do solo</w:t>
      </w:r>
    </w:p>
    <w:p w14:paraId="3B1580B3" w14:textId="77777777">
      <w:pPr>
        <w:ind w:firstLine="709"/>
        <w:jc w:val="both"/>
      </w:pPr>
      <w:r>
        <w:rPr>
          <w:rFonts w:ascii="Times New Roman" w:hAnsi="Times New Roman" w:eastAsia="Times New Roman" w:cs="Times New Roman"/>
          <w:color w:val="000000"/>
        </w:rPr>
        <w:t>Responsáveis: Maria Alice Vitalino de Moraes (T5).</w:t>
      </w:r>
    </w:p>
    <w:p w14:paraId="42F71D5B" w14:textId="77777777">
      <w:pPr>
        <w:ind w:firstLine="709"/>
        <w:jc w:val="both"/>
      </w:pPr>
      <w:r>
        <w:rPr>
          <w:rFonts w:ascii="Times New Roman" w:hAnsi="Times New Roman" w:eastAsia="Times New Roman" w:cs="Times New Roman"/>
          <w:color w:val="000000"/>
        </w:rPr>
        <w:lastRenderedPageBreak/>
        <w:t>Pergunta da seção: Proteção do carbono, água explorável e retenção de sedimentos respondem da mesma forma ao manejo e à chuva?</w:t>
      </w:r>
    </w:p>
    <w:p w14:paraId="1D2E0D18" w14:textId="77777777">
      <w:pPr>
        <w:ind w:firstLine="709"/>
        <w:jc w:val="both"/>
      </w:pPr>
      <w:r>
        <w:rPr>
          <w:rFonts w:ascii="Times New Roman" w:hAnsi="Times New Roman" w:eastAsia="Times New Roman" w:cs="Times New Roman"/>
          <w:color w:val="000000"/>
        </w:rPr>
        <w:t>Organizar a síntese por seca, retorno da chuva e fase úmida. Relacionar cobertura, agregação, distribuição de poros, retenção de água, escoamento e exportação de sedimentos. Comparar R11, R12 e R13 respeitando sítio, classe de solo, profundidade, período e unidade experimental. Distinguir água retida de água explorável pelas plantas; a microporosidade isolada não quantifica água disponível. A textura contrastante dos municípios de R19 ajudará a discutir confusão entre solo, clima e manejo e a exigir bases físicas comparáveis antes de interpretar resposta microbiana.</w:t>
      </w:r>
    </w:p>
    <w:p w14:paraId="0AB90DD1" w14:textId="77777777">
      <w:pPr>
        <w:ind w:firstLine="709"/>
        <w:jc w:val="both"/>
      </w:pPr>
      <w:r>
        <w:rPr>
          <w:rFonts w:ascii="Times New Roman" w:hAnsi="Times New Roman" w:eastAsia="Times New Roman" w:cs="Times New Roman"/>
          <w:color w:val="000000"/>
        </w:rPr>
        <w:t>Produto esperado: Síntese por seca, retorno da chuva e fase úmida, com um caso de perda de solo e os limites de comparação. Localizar aqui a definição de perda de solo e suas unidades. Usar a sazonalidade como ligação com as respostas biológicas do subtópico 3.4.</w:t>
      </w:r>
    </w:p>
    <w:p w14:paraId="7853B1F6" w14:textId="77777777">
      <w:pPr>
        <w:pStyle w:val="Ttulo2"/>
        <w:spacing w:before="360" w:beforeAutospacing="0"/>
        <w:keepNext/>
      </w:pPr>
      <w:r>
        <w:rPr>
          <w:rFonts w:ascii="Times New Roman" w:hAnsi="Times New Roman" w:eastAsia="Times New Roman" w:cs="Times New Roman"/>
          <w:color w:val="000000"/>
        </w:rPr>
        <w:t>3.4. Biomassa, enzimas e genes do potencial ao processo</w:t>
      </w:r>
    </w:p>
    <w:p w14:paraId="3DDF1C8F" w14:textId="77777777">
      <w:pPr>
        <w:ind w:firstLine="709"/>
        <w:jc w:val="both"/>
      </w:pPr>
      <w:r>
        <w:rPr>
          <w:rFonts w:ascii="Times New Roman" w:hAnsi="Times New Roman" w:eastAsia="Times New Roman" w:cs="Times New Roman"/>
          <w:color w:val="000000"/>
        </w:rPr>
        <w:t>Responsáveis: Vinicius Cordeiro Dos Santos (T6); DIOGO PAES DA COSTA (T7); DIOGO PAES DA COSTA (T8).</w:t>
      </w:r>
    </w:p>
    <w:p w14:paraId="33576CE5" w14:textId="77777777">
      <w:pPr>
        <w:ind w:firstLine="709"/>
        <w:jc w:val="both"/>
      </w:pPr>
      <w:r>
        <w:rPr>
          <w:rFonts w:ascii="Times New Roman" w:hAnsi="Times New Roman" w:eastAsia="Times New Roman" w:cs="Times New Roman"/>
          <w:color w:val="000000"/>
        </w:rPr>
        <w:t>Pergunta da seção: Quando os indicadores biológicos convergem, e quando suas discordâncias revelam regulação ou limitações do método?</w:t>
      </w:r>
    </w:p>
    <w:p w14:paraId="3BF969F4" w14:textId="77777777">
      <w:pPr>
        <w:ind w:firstLine="709"/>
        <w:jc w:val="both"/>
      </w:pPr>
      <w:r>
        <w:rPr>
          <w:rFonts w:ascii="Times New Roman" w:hAnsi="Times New Roman" w:eastAsia="Times New Roman" w:cs="Times New Roman"/>
          <w:color w:val="000000"/>
        </w:rPr>
        <w:t>Integrar os temas biológicos em uma única sequência de evidências. Carbono da biomassa é um reservatório; respiração e crescimento são fluxos distintos; atividade enzimática potencial depende do ensaio; DNA informa potencial e RNA informa transcrição. Comparar o caso regional de discordância CBM–RBS (R01), os estudos de enzimas e genes de Irauçuba (R02, R06 e R07) e as contribuições externas de R05, R08, R15 e R16. R08 oferece síntese global e modelagem, sem demonstrar causalidade local. R18–R20 fornecerão a sequência regional entre amplicons 16S, composição, diversidade, biomassa e enzimas. O contraste diversidade maior–CBM menor em R19 e os resultados nulos das enzimas em R20 serão casos centrais; FAPROTAX permanecerá identificado como predição.</w:t>
      </w:r>
    </w:p>
    <w:p w14:paraId="6A628A88" w14:textId="77777777">
      <w:pPr>
        <w:ind w:firstLine="709"/>
        <w:jc w:val="both"/>
      </w:pPr>
      <w:r>
        <w:rPr>
          <w:rFonts w:ascii="Times New Roman" w:hAnsi="Times New Roman" w:eastAsia="Times New Roman" w:cs="Times New Roman"/>
          <w:color w:val="000000"/>
        </w:rPr>
        <w:t>Produto esperado: Quadro do alcance de carbono da biomassa microbiana, respiração, fosfatases, genes e fluxos; um caso convergente e outro discordante. Apresentar um caso de convergência com suporte explícito e um de discordância ou relação ainda não demonstrada. Não repetir três introduções independentes sobre microbiologia.</w:t>
      </w:r>
    </w:p>
    <w:p w14:paraId="61697BE4" w14:textId="77777777">
      <w:pPr>
        <w:pStyle w:val="Ttulo2"/>
        <w:spacing w:before="360" w:beforeAutospacing="0"/>
        <w:keepNext/>
      </w:pPr>
      <w:r>
        <w:rPr>
          <w:rFonts w:ascii="Times New Roman" w:hAnsi="Times New Roman" w:eastAsia="Times New Roman" w:cs="Times New Roman"/>
          <w:color w:val="000000"/>
        </w:rPr>
        <w:t>3.5. Discordâncias e decisões condicionadas de manejo</w:t>
      </w:r>
    </w:p>
    <w:p w14:paraId="26C2B6AB" w14:textId="77777777">
      <w:pPr>
        <w:ind w:firstLine="709"/>
        <w:jc w:val="both"/>
      </w:pPr>
      <w:r>
        <w:rPr>
          <w:rFonts w:ascii="Times New Roman" w:hAnsi="Times New Roman" w:eastAsia="Times New Roman" w:cs="Times New Roman"/>
          <w:color w:val="000000"/>
        </w:rPr>
        <w:t>Responsáveis: Vanessa Rodrigues (T9); Raylla Ramos (T10).</w:t>
      </w:r>
    </w:p>
    <w:p w14:paraId="16E6739F" w14:textId="77777777">
      <w:pPr>
        <w:ind w:firstLine="709"/>
        <w:jc w:val="both"/>
      </w:pPr>
      <w:r>
        <w:rPr>
          <w:rFonts w:ascii="Times New Roman" w:hAnsi="Times New Roman" w:eastAsia="Times New Roman" w:cs="Times New Roman"/>
          <w:color w:val="000000"/>
        </w:rPr>
        <w:t>Pergunta da seção: Que combinação de material, época, água e solo explica ganho de carbono com ou sem recuperação funcional correspondente?</w:t>
      </w:r>
    </w:p>
    <w:p w14:paraId="21EE68C4" w14:textId="77777777">
      <w:pPr>
        <w:ind w:firstLine="709"/>
        <w:jc w:val="both"/>
      </w:pPr>
      <w:r>
        <w:rPr>
          <w:rFonts w:ascii="Times New Roman" w:hAnsi="Times New Roman" w:eastAsia="Times New Roman" w:cs="Times New Roman"/>
          <w:color w:val="000000"/>
        </w:rPr>
        <w:t>Reunir as conclusões em cenários de interpretação e manejo, sem recontar as definições anteriores. Cada cenário combinará material orgânico, condição hídrica, solo, tempo e restrição de fósforo, com evidência disponível e medida que falta. Distinguir recuperação de estoque, atividade transitória e recuperação funcional sustentada. Usar R01, R04, R09, R11 e R12 para construir a matriz, preservando os limites de extrapolação. Acrescentar o cenário de pastagem com maior diversidade que outra pastagem, mas sem recuperação correspondente de COT ou CBM (R19/R20). Contrastar esse cenário com restauração por exclusão do pastejo, sem tratar conversão floresta–pastagem e restauração como a mesma intervenção.</w:t>
      </w:r>
    </w:p>
    <w:p w14:paraId="5235DE0D" w14:textId="77777777">
      <w:pPr>
        <w:ind w:firstLine="709"/>
        <w:jc w:val="both"/>
      </w:pPr>
      <w:r>
        <w:rPr>
          <w:rFonts w:ascii="Times New Roman" w:hAnsi="Times New Roman" w:eastAsia="Times New Roman" w:cs="Times New Roman"/>
          <w:color w:val="000000"/>
        </w:rPr>
        <w:t>Produto esperado: Matriz de cenários com evidência disponível, restrição ainda presente e dado necessário para uma recomendação. Relação carbono/nitrogênio não define sozinha mineralização ou dose. Evitar percentuais universais de retirada de resíduos, calendário fixo de decomposição ou recomendação regional baseada em um experimento externo.</w:t>
      </w:r>
    </w:p>
    <w:p w14:paraId="7794710F" w14:textId="77777777">
      <w:pPr>
        <w:pStyle w:val="Ttulo1"/>
        <w:spacing w:before="360" w:beforeAutospacing="0"/>
        <w:keepNext/>
      </w:pPr>
      <w:r>
        <w:rPr>
          <w:rFonts w:ascii="Times New Roman" w:hAnsi="Times New Roman" w:eastAsia="Times New Roman" w:cs="Times New Roman"/>
          <w:color w:val="000000"/>
        </w:rPr>
        <w:t>4. Metodologia da plataforma e da síntese</w:t>
      </w:r>
    </w:p>
    <w:p w14:paraId="14C25293" w14:textId="77777777">
      <w:pPr>
        <w:ind w:firstLine="709"/>
        <w:jc w:val="both"/>
      </w:pPr>
      <w:r>
        <w:rPr>
          <w:rFonts w:ascii="Times New Roman" w:hAnsi="Times New Roman" w:eastAsia="Times New Roman" w:cs="Times New Roman"/>
          <w:color w:val="000000"/>
        </w:rPr>
        <w:t>Os parágrafos desta seção descrevem procedimentos já executados e podem formar a base da metodologia do manuscrito. As etapas adicionais da seção 5 deverão ser relatadas no passado apenas depois de realizadas e registradas.</w:t>
      </w:r>
    </w:p>
    <w:p w14:paraId="7DE68A45" w14:textId="77777777">
      <w:pPr>
        <w:pStyle w:val="Ttulo2"/>
        <w:spacing w:before="360" w:beforeAutospacing="0"/>
        <w:keepNext/>
      </w:pPr>
      <w:r>
        <w:rPr>
          <w:rFonts w:ascii="Times New Roman" w:hAnsi="Times New Roman" w:eastAsia="Times New Roman" w:cs="Times New Roman"/>
          <w:color w:val="000000"/>
        </w:rPr>
        <w:t>4.1. Delineamento e formulação prévia das perguntas</w:t>
      </w:r>
    </w:p>
    <w:p w14:paraId="1053741A" w14:textId="77777777">
      <w:pPr>
        <w:ind w:firstLine="709"/>
        <w:jc w:val="both"/>
      </w:pPr>
      <w:r>
        <w:rPr>
          <w:rFonts w:ascii="Times New Roman" w:hAnsi="Times New Roman" w:eastAsia="Times New Roman" w:cs="Times New Roman"/>
          <w:color w:val="000000"/>
        </w:rPr>
        <w:t>A investigação bibliográfica foi organizada como revisão narrativa crítica orientada por perguntas, com apoio de uma plataforma colaborativa desenvolvida para coordenar contribuições e auditar sobreposições. Foram formulados previamente dez temas sobre matéria orgânica do solo, cada um com seis perguntas específicas, totalizando 60 perguntas. Nove participantes assumiram as dez fichas; um participante ficou responsável por dois temas. Assim, a unidade inicial de distribuição foi o tema, com seis perguntas por tema, e não necessariamente seis por colaborador.</w:t>
      </w:r>
    </w:p>
    <w:p w14:paraId="6C99C6CF" w14:textId="77777777">
      <w:pPr>
        <w:ind w:firstLine="709"/>
        <w:jc w:val="both"/>
      </w:pPr>
      <w:r>
        <w:rPr>
          <w:rFonts w:ascii="Times New Roman" w:hAnsi="Times New Roman" w:eastAsia="Times New Roman" w:cs="Times New Roman"/>
          <w:color w:val="000000"/>
        </w:rPr>
        <w:t>As perguntas abrangeram entradas e fracionamento do carbono, interfaces químicas, estrutura e água, processos microbianos, enzimas, informação molecular, qualidade dos resíduos e manejo. Elas orientaram o aprofundamento e a comparação posterior das contribuições. A síntese editorial convergiu para uma pergunta central e cinco seções complementares. Essa organização procura reduzir repetição expositiva, preservando resultados independentes que confirmem ou contrariem uma interpretação; replicação científica não foi tratada como redundância a eliminar.</w:t>
      </w:r>
    </w:p>
    <w:p w14:paraId="626CEA55" w14:textId="77777777">
      <w:pPr>
        <w:pStyle w:val="Ttulo2"/>
        <w:spacing w:before="360" w:beforeAutospacing="0"/>
        <w:keepNext/>
      </w:pPr>
      <w:r>
        <w:rPr>
          <w:rFonts w:ascii="Times New Roman" w:hAnsi="Times New Roman" w:eastAsia="Times New Roman" w:cs="Times New Roman"/>
          <w:color w:val="000000"/>
        </w:rPr>
        <w:t>4.2. Desenvolvimento aplicação e preservação dos registros</w:t>
      </w:r>
    </w:p>
    <w:p w14:paraId="0766B7E4" w14:textId="120CA505">
      <w:pPr>
        <w:ind w:firstLine="709"/>
        <w:jc w:val="both"/>
      </w:pPr>
      <w:r>
        <w:rPr>
          <w:rFonts w:ascii="Times New Roman" w:hAnsi="Times New Roman" w:eastAsia="Times New Roman" w:cs="Times New Roman"/>
          <w:color w:val="000000"/>
        </w:rPr>
        <w:t xml:space="preserve">Foi desenvolvida e aplicada a plataforma A expedição do carbono, da Universidade Federal do Agreste de Pernambuco (UFAPE), disponível em </w:t>
      </w:r>
      <w:hyperlink r:id="rId8">
        <w:r>
          <w:rPr>
            <w:rFonts w:ascii="Times New Roman" w:hAnsi="Times New Roman" w:eastAsia="Times New Roman" w:cs="Times New Roman"/>
            <w:u w:val="single"/>
          </w:rPr>
          <w:t>https://diogopaes1.github.io/aula-mos-ufape/</w:t>
        </w:r>
      </w:hyperlink>
      <w:r>
        <w:rPr>
          <w:rFonts w:ascii="Times New Roman" w:hAnsi="Times New Roman" w:eastAsia="Times New Roman" w:cs="Times New Roman"/>
          <w:color w:val="000000"/>
        </w:rPr>
        <w:t xml:space="preserve">. O sistema reúne seis respostas livres por tema e </w:t>
      </w:r>
      <w:r>
        <w:rPr>
          <w:rFonts w:ascii="Times New Roman" w:hAnsi="Times New Roman" w:eastAsia="Times New Roman" w:cs="Times New Roman"/>
          <w:color w:val="000000"/>
        </w:rPr>
        <w:lastRenderedPageBreak/>
        <w:t>campos para referências, esquemas e conexões, com autoria de edição, versões e consulta coletiva conforme as permissões da sala. Uma conta pode manter fichas independentes para mais de um tema. A plataforma foi construída para apoiar coordenação, rastreabilidade e identificação de lacunas, sem que sua eficácia comparativa tenha sido medida neste estudo.</w:t>
      </w:r>
    </w:p>
    <w:p w14:paraId="0AA966B8" w14:textId="77777777">
      <w:pPr>
        <w:ind w:firstLine="709"/>
        <w:jc w:val="both"/>
      </w:pPr>
      <w:r>
        <w:rPr>
          <w:rFonts w:ascii="Times New Roman" w:hAnsi="Times New Roman" w:eastAsia="Times New Roman" w:cs="Times New Roman"/>
          <w:color w:val="000000"/>
        </w:rPr>
        <w:t>Em 20 de outubro de 2026, foi preservada uma exportação administrativa e realizada a leitura integral das 60 respostas e dos 30 campos complementares. O corte documental não encerrou a participação da turma. A auditoria identificou referências incompletas, continuação de resposta em campo inadequado e problemas de reconhecimento de termos. Os campos foram ampliados para 15.000 caracteres por resposta e por bibliografia, 20.000 no esquema e 10.000 nas conexões, com espaços incluídos e contadores individuais.</w:t>
      </w:r>
    </w:p>
    <w:p w14:paraId="1FD65FDC" w14:textId="77777777">
      <w:pPr>
        <w:ind w:firstLine="709"/>
        <w:jc w:val="both"/>
      </w:pPr>
      <w:r>
        <w:rPr>
          <w:rFonts w:ascii="Times New Roman" w:hAnsi="Times New Roman" w:eastAsia="Times New Roman" w:cs="Times New Roman"/>
          <w:color w:val="000000"/>
        </w:rPr>
        <w:t>Complementos docentes bibliográficos e conceituais foram acrescentados sem apagar os textos anteriores, com marcação explícita de origem. A primeira auditoria acrescentou notas em 32 dos 60 campos de resposta e nas dez bibliografias. A atualização de R18–R20 acrescentou conteúdo em sete campos de sete fichas (T1, T4, T5, T6, T7, T8 e T10), com conferência de versões e preservação dos prefixos anteriores. As marcações permitem selecionar texto estudantil, docente ou ambos na análise lexical. A conclusão prévia de uma ficha não atesta revisão dos acréscimos posteriores pelo estudante.</w:t>
      </w:r>
    </w:p>
    <w:p w14:paraId="7E284B8B" w14:textId="77777777">
      <w:pPr>
        <w:pStyle w:val="Ttulo2"/>
        <w:spacing w:before="360" w:beforeAutospacing="0"/>
        <w:keepNext/>
      </w:pPr>
      <w:r>
        <w:rPr>
          <w:rFonts w:ascii="Times New Roman" w:hAnsi="Times New Roman" w:eastAsia="Times New Roman" w:cs="Times New Roman"/>
          <w:color w:val="000000"/>
        </w:rPr>
        <w:t>4.3. Extração lexical e construção da rede</w:t>
      </w:r>
    </w:p>
    <w:p w14:paraId="6AE6FE6B" w14:textId="77777777">
      <w:pPr>
        <w:ind w:firstLine="709"/>
        <w:jc w:val="both"/>
      </w:pPr>
      <w:r>
        <w:rPr>
          <w:rFonts w:ascii="Times New Roman" w:hAnsi="Times New Roman" w:eastAsia="Times New Roman" w:cs="Times New Roman"/>
          <w:color w:val="000000"/>
        </w:rPr>
        <w:t>A extração reconhece conceitos técnicos, siglas e expressões nominais por vocabulário e regras locais em português. Foram analisados respostas, esquemas e conexões; perguntas, caixa de referências, citações autor–ano e endereços eletrônicos foram excluídos da extração lexical. Duas expressões formam um par quando aparecem na mesma frase ou linha, a no máximo 200 caracteres. O peso lexical conta unidades textuais distintas, com uma ocorrência de cada par por unidade. A segmentação preserva números decimais.</w:t>
      </w:r>
    </w:p>
    <w:p w14:paraId="3ABB3081" w14:textId="77777777">
      <w:pPr>
        <w:ind w:firstLine="709"/>
        <w:jc w:val="both"/>
      </w:pPr>
      <w:r>
        <w:rPr>
          <w:rFonts w:ascii="Times New Roman" w:hAnsi="Times New Roman" w:eastAsia="Times New Roman" w:cs="Times New Roman"/>
          <w:color w:val="000000"/>
        </w:rPr>
        <w:t>A seleção visual combina frequência de menção, distribuição entre autores e prioridade de expressões técnicas. Uma pessoa com duas fichas conta como uma autoria nesse cálculo. Variáveis reconhecidas são preservadas além do corte de ranking. Quando um nó selecionado ficaria isolado somente pelo corte visual, pode ser conservado um vizinho real já existente, respeitando os filtros e o limiar. A área dos nós acompanha o número de vizinhos distintos entre as arestas exibidas; não representa importância científica.</w:t>
      </w:r>
    </w:p>
    <w:p w14:paraId="3A40926A" w14:textId="77777777">
      <w:pPr>
        <w:ind w:firstLine="709"/>
        <w:jc w:val="both"/>
      </w:pPr>
      <w:r>
        <w:rPr>
          <w:rFonts w:ascii="Times New Roman" w:hAnsi="Times New Roman" w:eastAsia="Times New Roman" w:cs="Times New Roman"/>
          <w:color w:val="000000"/>
        </w:rPr>
        <w:t xml:space="preserve">A disposição ForceAtlas2 e o agrupamento Louvain, além das alternativas oferecidas pela interface, auxiliam a inspeção. Distâncias visuais e comunidades dependem dos filtros e não possuem escala de efeito ou significado causal. Presença e similaridade medem a </w:t>
      </w:r>
      <w:r>
        <w:rPr>
          <w:rFonts w:ascii="Times New Roman" w:hAnsi="Times New Roman" w:eastAsia="Times New Roman" w:cs="Times New Roman"/>
          <w:color w:val="000000"/>
        </w:rPr>
        <w:lastRenderedPageBreak/>
        <w:t>distribuição e a proximidade do vocabulário da origem textual selecionada. Não foram interpretadas como correlações entre resultados experimentais. As regras e versões das bibliotecas estão documentadas em Métodos da rede no site da plataforma.</w:t>
      </w:r>
    </w:p>
    <w:p w14:paraId="5A3DC645" w14:textId="77777777">
      <w:pPr>
        <w:pStyle w:val="Ttulo2"/>
        <w:spacing w:before="360" w:beforeAutospacing="0"/>
        <w:keepNext/>
      </w:pPr>
      <w:r>
        <w:rPr>
          <w:rFonts w:ascii="Times New Roman" w:hAnsi="Times New Roman" w:eastAsia="Times New Roman" w:cs="Times New Roman"/>
          <w:color w:val="000000"/>
        </w:rPr>
        <w:t>4.4. Curadoria bibliográfica e tipos de ligação</w:t>
      </w:r>
    </w:p>
    <w:p w14:paraId="0EEC3623" w14:textId="77777777">
      <w:pPr>
        <w:ind w:firstLine="709"/>
        <w:jc w:val="both"/>
      </w:pPr>
      <w:r>
        <w:rPr>
          <w:rFonts w:ascii="Times New Roman" w:hAnsi="Times New Roman" w:eastAsia="Times New Roman" w:cs="Times New Roman"/>
          <w:color w:val="000000"/>
        </w:rPr>
        <w:t>A auditoria dos termos pouco conectados verificou primeiro os trechos de origem, as variantes nominais e o efeito dos filtros. A expressão genérica carbono microbiano deixou de ser tomada como sinônimo automático de CBM. Foram examinados também fosfatase ácida, perda de solo, granulometria, soma de bases, diversidade microbiana, expressão gênica e microporosidade. A busca complementar dirigida recorreu a editoras e repositórios, seguida de conferência de identificador digital de objeto (DOI), metadados e métodos ou resultados pertinentes.</w:t>
      </w:r>
    </w:p>
    <w:p w14:paraId="16E593DD" w14:textId="77777777">
      <w:pPr>
        <w:ind w:firstLine="709"/>
        <w:jc w:val="both"/>
      </w:pPr>
      <w:r>
        <w:rPr>
          <w:rFonts w:ascii="Times New Roman" w:hAnsi="Times New Roman" w:eastAsia="Times New Roman" w:cs="Times New Roman"/>
          <w:color w:val="000000"/>
        </w:rPr>
        <w:t>A matriz ampliada da curadoria da rede reuniu 19 registros bibliográficos e 98 relações tipificadas. Cada registro contém fonte, DOI, natureza da evidência, explicação, alcance da leitura e limite. Foram diferenciados associação, ausência de associação ou diferença detectada, medidas conjuntas, comparação, resultado multivariado, método, dependência de fórmula, balanço, discordância e proposição conceitual. Uma ligação entre medidas conjuntas não foi convertida em correlação pareada. A curadoria é manual e verificável. Esses 19 registros da rede não constituem o corpus final do manuscrito: a coleção contém também a referência metodológica R17, e as bibliografias estudantis continuam abertas à complementação e à seleção crítica.</w:t>
      </w:r>
    </w:p>
    <w:p w14:paraId="00665324" w14:textId="77777777">
      <w:pPr>
        <w:ind w:firstLine="709"/>
        <w:jc w:val="both"/>
      </w:pPr>
      <w:r>
        <w:rPr>
          <w:rFonts w:ascii="Times New Roman" w:hAnsi="Times New Roman" w:eastAsia="Times New Roman" w:cs="Times New Roman"/>
          <w:color w:val="000000"/>
        </w:rPr>
        <w:t>Cada DOI contribui uma vez por par, mesmo quando citado em várias fichas. Os 19 registros da rede foram organizados conservadoramente em 15 grupos possíveis de dados; esses grupos não equivalem a 15 experimentos. Os trabalhos de Irauçuba mantiveram a indicação de possível compartilhamento amostral. R19/R20 compartilham a coleta; R18 foi incluído no mesmo grupo provisório pelo BioProject comum, até conferência de BioSamples. Sínteses, modelos e opinião conceitual permanecem identificados. R02 continua restrita ao resumo e aos destaques oficiais, sem alegação de acesso ao integral.</w:t>
      </w:r>
    </w:p>
    <w:p w14:paraId="709034FD" w14:textId="77777777">
      <w:pPr>
        <w:ind w:firstLine="709"/>
        <w:jc w:val="both"/>
      </w:pPr>
      <w:r>
        <w:rPr>
          <w:rFonts w:ascii="Times New Roman" w:hAnsi="Times New Roman" w:eastAsia="Times New Roman" w:cs="Times New Roman"/>
          <w:color w:val="000000"/>
        </w:rPr>
        <w:t>A interface separa as camadas lexical, bibliográfica verificada e integrada. A contagem de unidades textuais e a de DOI distintos por par permanecem separadas. Na vista integrada, o máximo dessas contagens serve apenas ao limiar e à disposição, sem constituir soma de evidências ou tamanho de efeito. O filtro de origem textual atua na camada lexical; a bibliográfica segue os DOI citados nas fichas do recorte. Trechos, tipos de ligação e limites podem ser inspecionados e exportados.</w:t>
      </w:r>
    </w:p>
    <w:p w14:paraId="674DAE7E" w14:textId="77777777">
      <w:pPr>
        <w:pStyle w:val="Ttulo2"/>
        <w:spacing w:before="360" w:beforeAutospacing="0"/>
        <w:keepNext/>
      </w:pPr>
      <w:r>
        <w:rPr>
          <w:rFonts w:ascii="Times New Roman" w:hAnsi="Times New Roman" w:eastAsia="Times New Roman" w:cs="Times New Roman"/>
          <w:color w:val="000000"/>
        </w:rPr>
        <w:lastRenderedPageBreak/>
        <w:t>4.5. Convergência editorial e limites da inferência</w:t>
      </w:r>
    </w:p>
    <w:p w14:paraId="2A2C053F" w14:textId="77777777">
      <w:pPr>
        <w:ind w:firstLine="709"/>
        <w:jc w:val="both"/>
      </w:pPr>
      <w:r>
        <w:rPr>
          <w:rFonts w:ascii="Times New Roman" w:hAnsi="Times New Roman"/>
          <w:color w:val="000000"/>
        </w:rPr>
        <w:t>Na auditoria desta atualização, a vista integrada padrão apresentou 98 nós e 443 arestas em uma componente; a camada bibliográfica apresentou 56 nós e 90 pares em uma componente. Os números correspondem à cópia de conferência dos textos e filtros desta auditoria; podem mudar com novas contribuições. O corpus original preserva seus próprios componentes e isolados textuais. Conectividade não demonstra validade científica nem cobertura completa da literatura. Relações nulas e discordantes foram mantidas; nenhum vínculo foi criado apenas para unir componentes.</w:t>
      </w:r>
    </w:p>
    <w:p w14:paraId="75D203D2" w14:textId="77777777">
      <w:pPr>
        <w:ind w:firstLine="709"/>
        <w:jc w:val="both"/>
      </w:pPr>
      <w:r>
        <w:rPr>
          <w:rFonts w:ascii="Times New Roman" w:hAnsi="Times New Roman" w:eastAsia="Times New Roman" w:cs="Times New Roman"/>
          <w:color w:val="000000"/>
        </w:rPr>
        <w:t>A decisão pelas cinco seções combinou leitura das contribuições, inspeção das fontes e delimitação editorial. Cada definição recebeu uma localização principal, cada estudo um registro único e cada seção uma pergunta própria. A plataforma documenta esse fluxo e suas correções, mas não foram medidos tempo economizado, retrabalho evitado ou desempenho diante de um método convencional. As dimensões de transparência da escala SANRA podem auxiliar a redação da revisão narrativa, reconhecendo sua origem em contexto médico e sem alegar validação deste estudo em ciência do solo (Baethge et al., 2019; R17).</w:t>
      </w:r>
    </w:p>
    <w:p w14:paraId="14E98980" w14:textId="77777777">
      <w:pPr>
        <w:pStyle w:val="Ttulo1"/>
        <w:spacing w:before="360" w:beforeAutospacing="0"/>
        <w:keepNext/>
      </w:pPr>
      <w:r>
        <w:rPr>
          <w:rFonts w:ascii="Times New Roman" w:hAnsi="Times New Roman" w:eastAsia="Times New Roman" w:cs="Times New Roman"/>
          <w:color w:val="000000"/>
        </w:rPr>
        <w:t>5. Consolidação necessária antes da submissão</w:t>
      </w:r>
    </w:p>
    <w:p w14:paraId="5E4CB0DD" w14:textId="77777777">
      <w:pPr>
        <w:ind w:firstLine="709"/>
        <w:jc w:val="both"/>
      </w:pPr>
      <w:r>
        <w:rPr>
          <w:rFonts w:ascii="Times New Roman" w:hAnsi="Times New Roman" w:eastAsia="Times New Roman" w:cs="Times New Roman"/>
          <w:color w:val="000000"/>
        </w:rPr>
        <w:t>Manter a denominação revisão narrativa crítica com busca complementar registrada. O uso de várias perguntas e da plataforma não dispensa critérios de seleção, mas também não torna o estudo automaticamente sistemático. O corpus didático reuniu referências de diferentes anos; não há base para afirmar que ele já foi limitado aos últimos cinco anos. Uma revisão sistemática exigiria protocolo e busca compatíveis efetivamente executados.</w:t>
      </w:r>
    </w:p>
    <w:p w14:paraId="3F2A056C" w14:textId="77777777">
      <w:pPr>
        <w:ind w:firstLine="709"/>
        <w:jc w:val="both"/>
      </w:pPr>
      <w:r>
        <w:rPr>
          <w:rFonts w:ascii="Times New Roman" w:hAnsi="Times New Roman" w:eastAsia="Times New Roman" w:cs="Times New Roman"/>
          <w:color w:val="000000"/>
        </w:rPr>
        <w:t>Para a atualização bibliográfica final, propõe-se um núcleo recente publicado entre 20/10/2021 e 20/10/2026, com fundamentos metodológicos anteriores identificados separadamente. Essa janela ainda deve ser aplicada e registrada; não é um critério retroativo das respostas já coletadas. Anotar separadamente ano de publicação e período de observação: R11 é de 2023, mas os eventos ocorreram em 2009–2010. Estudos antigos ou intervenções longas podem ser necessários à interpretação e deverão ter justificativa explícita.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701"/>
        <w:gridCol w:w="7370"/>
      </w:tblGrid>
      <w:tr w14:paraId="2B464382" w14:textId="77777777">
        <w:trPr>
          <w:cantSplit/>
          <w:tblHeader/>
          <w:jc w:val="center"/>
        </w:trPr>
        <w:tc>
          <w:tcPr>
            <w:tcW w:w="1701" w:type="dxa"/>
            <w:shd w:val="clear" w:color="auto" w:fill="E7E6E6"/>
            <w:vAlign w:val="center"/>
          </w:tcPr>
          <w:p w14:paraId="4A1ED2BB" w14:textId="77777777">
            <w:pPr>
              <w:keepNext/>
              <w:spacing w:after="20" w:line="259" w:lineRule="auto"/>
              <w:ind w:firstLine="0"/>
            </w:pPr>
            <w:r>
              <w:rPr>
                <w:rFonts w:ascii="Times New Roman" w:hAnsi="Times New Roman" w:eastAsia="Times New Roman" w:cs="Times New Roman"/>
                <w:b/>
                <w:color w:val="000000"/>
                <w:sz w:val="21"/>
              </w:rPr>
              <w:t>Etapa</w:t>
            </w:r>
          </w:p>
        </w:tc>
        <w:tc>
          <w:tcPr>
            <w:tcW w:w="7370" w:type="dxa"/>
            <w:shd w:val="clear" w:color="auto" w:fill="E7E6E6"/>
            <w:vAlign w:val="center"/>
          </w:tcPr>
          <w:p w14:paraId="1B872940" w14:textId="77777777">
            <w:pPr>
              <w:keepNext/>
              <w:spacing w:after="20" w:line="259" w:lineRule="auto"/>
              <w:ind w:firstLine="0"/>
            </w:pPr>
            <w:r>
              <w:rPr>
                <w:rFonts w:ascii="Times New Roman" w:hAnsi="Times New Roman" w:eastAsia="Times New Roman" w:cs="Times New Roman"/>
                <w:b/>
                <w:color w:val="000000"/>
                <w:sz w:val="21"/>
              </w:rPr>
              <w:t>Procedimento e registro exigido</w:t>
            </w:r>
          </w:p>
        </w:tc>
      </w:tr>
      <w:tr w14:paraId="78D62FC3" w14:textId="77777777">
        <w:trPr>
          <w:cantSplit/>
          <w:jc w:val="center"/>
        </w:trPr>
        <w:tc>
          <w:tcPr>
            <w:tcW w:w="1701" w:type="dxa"/>
            <w:vAlign w:val="center"/>
          </w:tcPr>
          <w:p w14:paraId="4198A21A" w14:textId="77777777">
            <w:pPr>
              <w:spacing w:after="20" w:line="259" w:lineRule="auto"/>
              <w:ind w:firstLine="0"/>
            </w:pPr>
            <w:r>
              <w:rPr>
                <w:rFonts w:ascii="Times New Roman" w:hAnsi="Times New Roman" w:eastAsia="Times New Roman" w:cs="Times New Roman"/>
                <w:color w:val="000000"/>
                <w:sz w:val="21"/>
              </w:rPr>
              <w:t>Busca complementar</w:t>
            </w:r>
          </w:p>
        </w:tc>
        <w:tc>
          <w:tcPr>
            <w:tcW w:w="7370" w:type="dxa"/>
            <w:vAlign w:val="center"/>
          </w:tcPr>
          <w:p w14:paraId="178F8B0D" w14:textId="77777777">
            <w:pPr>
              <w:spacing w:after="20" w:line="259" w:lineRule="auto"/>
              <w:ind w:firstLine="0"/>
            </w:pPr>
            <w:r>
              <w:rPr>
                <w:rFonts w:ascii="Times New Roman" w:hAnsi="Times New Roman" w:eastAsia="Times New Roman" w:cs="Times New Roman"/>
                <w:color w:val="000000"/>
                <w:sz w:val="21"/>
              </w:rPr>
              <w:t>Registrar base ou repositório, data, expressão exata, filtros e resultados recuperados. Usar termos em português e inglês, inclusive microbial biomass carbon, acid phosphatase, grazing exclusion, Caatinga, soil loss, texture, microporosity e gene expression.</w:t>
            </w:r>
          </w:p>
        </w:tc>
      </w:tr>
      <w:tr w14:paraId="5D7FDA0E" w14:textId="77777777">
        <w:trPr>
          <w:cantSplit/>
          <w:jc w:val="center"/>
        </w:trPr>
        <w:tc>
          <w:tcPr>
            <w:tcW w:w="1701" w:type="dxa"/>
            <w:vAlign w:val="center"/>
          </w:tcPr>
          <w:p w14:paraId="4BF334F7" w14:textId="77777777">
            <w:pPr>
              <w:spacing w:after="20" w:line="259" w:lineRule="auto"/>
              <w:ind w:firstLine="0"/>
            </w:pPr>
            <w:r>
              <w:rPr>
                <w:rFonts w:ascii="Times New Roman" w:hAnsi="Times New Roman" w:eastAsia="Times New Roman" w:cs="Times New Roman"/>
                <w:color w:val="000000"/>
                <w:sz w:val="21"/>
              </w:rPr>
              <w:lastRenderedPageBreak/>
              <w:t>Seleção</w:t>
            </w:r>
          </w:p>
        </w:tc>
        <w:tc>
          <w:tcPr>
            <w:tcW w:w="7370" w:type="dxa"/>
            <w:vAlign w:val="center"/>
          </w:tcPr>
          <w:p w14:paraId="4C43BB93" w14:textId="77777777">
            <w:pPr>
              <w:spacing w:after="20" w:line="259" w:lineRule="auto"/>
              <w:ind w:firstLine="0"/>
            </w:pPr>
            <w:r>
              <w:rPr>
                <w:rFonts w:ascii="Times New Roman" w:hAnsi="Times New Roman" w:eastAsia="Times New Roman" w:cs="Times New Roman"/>
                <w:color w:val="000000"/>
                <w:sz w:val="21"/>
              </w:rPr>
              <w:t>Separar estudos regionais de restauração, outros manejos regionais e mecanismos externos. Registrar inclusão e exclusão por aderência à pergunta, medidas, contexto e acesso. Prestígio do periódico não substitui avaliação do método.</w:t>
            </w:r>
          </w:p>
        </w:tc>
      </w:tr>
      <w:tr w14:paraId="3F83C760" w14:textId="77777777">
        <w:trPr>
          <w:cantSplit/>
          <w:jc w:val="center"/>
        </w:trPr>
        <w:tc>
          <w:tcPr>
            <w:tcW w:w="1701" w:type="dxa"/>
            <w:vAlign w:val="center"/>
          </w:tcPr>
          <w:p w14:paraId="0CDD3B42" w14:textId="77777777">
            <w:pPr>
              <w:spacing w:after="20" w:line="259" w:lineRule="auto"/>
              <w:ind w:firstLine="0"/>
            </w:pPr>
            <w:r>
              <w:rPr>
                <w:rFonts w:ascii="Times New Roman" w:hAnsi="Times New Roman" w:eastAsia="Times New Roman" w:cs="Times New Roman"/>
                <w:color w:val="000000"/>
                <w:sz w:val="21"/>
              </w:rPr>
              <w:t>Extração</w:t>
            </w:r>
          </w:p>
        </w:tc>
        <w:tc>
          <w:tcPr>
            <w:tcW w:w="7370" w:type="dxa"/>
            <w:vAlign w:val="center"/>
          </w:tcPr>
          <w:p w14:paraId="1E37033C" w14:textId="77777777">
            <w:pPr>
              <w:spacing w:after="20" w:line="259" w:lineRule="auto"/>
              <w:ind w:firstLine="0"/>
            </w:pPr>
            <w:r>
              <w:rPr>
                <w:rFonts w:ascii="Times New Roman" w:hAnsi="Times New Roman" w:eastAsia="Times New Roman" w:cs="Times New Roman"/>
                <w:color w:val="000000"/>
                <w:sz w:val="21"/>
              </w:rPr>
              <w:t>Uma linha por estudo ou conjunto de dados: DOI, sítio, solo, manejo, duração, estação, profundidade, método, unidade experimental, tamanho amostral, resultado, incerteza e página ou tabela. Dado ausente recebe “não relatado”.</w:t>
            </w:r>
          </w:p>
        </w:tc>
      </w:tr>
      <w:tr w14:paraId="3A551289" w14:textId="77777777">
        <w:trPr>
          <w:cantSplit/>
          <w:jc w:val="center"/>
        </w:trPr>
        <w:tc>
          <w:tcPr>
            <w:tcW w:w="1701" w:type="dxa"/>
            <w:vAlign w:val="center"/>
          </w:tcPr>
          <w:p w14:paraId="3D8478A7" w14:textId="77777777">
            <w:pPr>
              <w:spacing w:after="20" w:line="259" w:lineRule="auto"/>
              <w:ind w:firstLine="0"/>
            </w:pPr>
            <w:r>
              <w:rPr>
                <w:rFonts w:ascii="Times New Roman" w:hAnsi="Times New Roman" w:eastAsia="Times New Roman" w:cs="Times New Roman"/>
                <w:color w:val="000000"/>
                <w:sz w:val="21"/>
              </w:rPr>
              <w:t>Avaliação crítica</w:t>
            </w:r>
          </w:p>
        </w:tc>
        <w:tc>
          <w:tcPr>
            <w:tcW w:w="7370" w:type="dxa"/>
            <w:vAlign w:val="center"/>
          </w:tcPr>
          <w:p w14:paraId="1E158326" w14:textId="77777777">
            <w:pPr>
              <w:spacing w:after="20" w:line="259" w:lineRule="auto"/>
              <w:ind w:firstLine="0"/>
            </w:pPr>
            <w:r>
              <w:rPr>
                <w:rFonts w:ascii="Times New Roman" w:hAnsi="Times New Roman" w:eastAsia="Times New Roman" w:cs="Times New Roman"/>
                <w:color w:val="000000"/>
                <w:sz w:val="21"/>
              </w:rPr>
              <w:t>Conferir comparação válida, confusão entre solo e manejo, réplica espacial, comparabilidade de estoque, ensaios, significância e amostras compartilhadas. Não excluir um resultado apenas por ser discordante.</w:t>
            </w:r>
          </w:p>
        </w:tc>
      </w:tr>
      <w:tr w14:paraId="01CF7562" w14:textId="77777777">
        <w:trPr>
          <w:cantSplit/>
          <w:jc w:val="center"/>
        </w:trPr>
        <w:tc>
          <w:tcPr>
            <w:tcW w:w="1701" w:type="dxa"/>
            <w:vAlign w:val="center"/>
          </w:tcPr>
          <w:p w14:paraId="6CB4E16A" w14:textId="77777777">
            <w:pPr>
              <w:spacing w:after="20" w:line="259" w:lineRule="auto"/>
              <w:ind w:firstLine="0"/>
            </w:pPr>
            <w:r>
              <w:rPr>
                <w:rFonts w:ascii="Times New Roman" w:hAnsi="Times New Roman" w:eastAsia="Times New Roman" w:cs="Times New Roman"/>
                <w:color w:val="000000"/>
                <w:sz w:val="21"/>
              </w:rPr>
              <w:t>Conferência em dupla</w:t>
            </w:r>
          </w:p>
        </w:tc>
        <w:tc>
          <w:tcPr>
            <w:tcW w:w="7370" w:type="dxa"/>
            <w:vAlign w:val="center"/>
          </w:tcPr>
          <w:p w14:paraId="7238A2EE" w14:textId="77777777">
            <w:pPr>
              <w:spacing w:after="20" w:line="259" w:lineRule="auto"/>
              <w:ind w:firstLine="0"/>
            </w:pPr>
            <w:r>
              <w:rPr>
                <w:rFonts w:ascii="Times New Roman" w:hAnsi="Times New Roman" w:eastAsia="Times New Roman" w:cs="Times New Roman"/>
                <w:color w:val="000000"/>
                <w:sz w:val="21"/>
              </w:rPr>
              <w:t>Responsável e revisor cruzado verificam as relações centrais no texto primário e registram acordo ou pendência. Não declarar concordância medida antes de realizar a avaliação.</w:t>
            </w:r>
          </w:p>
        </w:tc>
      </w:tr>
      <w:tr w14:paraId="1C743A74" w14:textId="77777777">
        <w:trPr>
          <w:cantSplit/>
          <w:jc w:val="center"/>
        </w:trPr>
        <w:tc>
          <w:tcPr>
            <w:tcW w:w="1701" w:type="dxa"/>
            <w:vAlign w:val="center"/>
          </w:tcPr>
          <w:p w14:paraId="0ED6D9E4" w14:textId="77777777">
            <w:pPr>
              <w:spacing w:after="20" w:line="259" w:lineRule="auto"/>
              <w:ind w:firstLine="0"/>
            </w:pPr>
            <w:r>
              <w:rPr>
                <w:rFonts w:ascii="Times New Roman" w:hAnsi="Times New Roman" w:eastAsia="Times New Roman" w:cs="Times New Roman"/>
                <w:color w:val="000000"/>
                <w:sz w:val="21"/>
              </w:rPr>
              <w:t>Síntese</w:t>
            </w:r>
          </w:p>
        </w:tc>
        <w:tc>
          <w:tcPr>
            <w:tcW w:w="7370" w:type="dxa"/>
            <w:vAlign w:val="center"/>
          </w:tcPr>
          <w:p w14:paraId="6371B687" w14:textId="77777777">
            <w:pPr>
              <w:spacing w:after="20" w:line="259" w:lineRule="auto"/>
              <w:ind w:firstLine="0"/>
            </w:pPr>
            <w:r>
              <w:rPr>
                <w:rFonts w:ascii="Times New Roman" w:hAnsi="Times New Roman" w:eastAsia="Times New Roman" w:cs="Times New Roman"/>
                <w:color w:val="000000"/>
                <w:sz w:val="21"/>
              </w:rPr>
              <w:t>Organizar convergência, discordância e lacuna por cenário. Não combinar numericamente efeitos incompatíveis. Ajustar resumo e conclusões ao conjunto final realmente selecionado.</w:t>
            </w:r>
          </w:p>
        </w:tc>
      </w:tr>
    </w:tbl>
    <w:p w14:paraId="31F32CB6" w14:textId="77777777">
      <w:pPr>
        <w:spacing w:after="60" w:line="60" w:lineRule="exact"/>
        <w:ind w:firstLine="0"/>
      </w:pPr>
    </w:p>
    <w:p w14:paraId="59072146" w14:textId="77777777">
      <w:pPr>
        <w:pStyle w:val="Ttulo1"/>
        <w:spacing w:before="360" w:beforeAutospacing="0"/>
        <w:keepNext/>
      </w:pPr>
      <w:r>
        <w:rPr>
          <w:rFonts w:ascii="Times New Roman" w:hAnsi="Times New Roman" w:eastAsia="Times New Roman" w:cs="Times New Roman"/>
          <w:color w:val="000000"/>
        </w:rPr>
        <w:t>6. Tarefas individuais para 21 de outubro de 2026</w:t>
      </w:r>
    </w:p>
    <w:p w14:paraId="01946E7F" w14:textId="77777777">
      <w:pPr>
        <w:ind w:firstLine="709"/>
        <w:jc w:val="both"/>
      </w:pPr>
      <w:r>
        <w:rPr>
          <w:rFonts w:ascii="Times New Roman" w:hAnsi="Times New Roman" w:eastAsia="Times New Roman" w:cs="Times New Roman"/>
          <w:color w:val="000000"/>
        </w:rPr>
        <w:t>Cada responsável deverá usar a coleção local indicada na seção 7 e as perguntas de sua ficha para construir a seção científica correspondente. Os nomes abaixo seguem a cópia das atribuições de 20/10/2026. Mantêm-se os dez temas distribuídos entre nove participantes; Diogo reúne T7 e T8. As tarefas incluem conferir os complementos docentes e incorporá-los somente após leitura crítica.</w:t>
      </w:r>
    </w:p>
    <w:p w14:paraId="365FBF7A" w14:textId="77777777">
      <w:pPr>
        <w:pStyle w:val="Ttulo2"/>
        <w:spacing w:before="360" w:beforeAutospacing="0"/>
        <w:keepNext/>
      </w:pPr>
      <w:r>
        <w:rPr>
          <w:rFonts w:ascii="Times New Roman" w:hAnsi="Times New Roman" w:eastAsia="Times New Roman" w:cs="Times New Roman"/>
          <w:color w:val="000000"/>
        </w:rPr>
        <w:t>6.1. Alaideane Santana Santos</w:t>
      </w:r>
    </w:p>
    <w:p w14:paraId="12416DC9" w14:textId="77777777">
      <w:pPr>
        <w:ind w:firstLine="709"/>
        <w:jc w:val="both"/>
      </w:pPr>
      <w:r>
        <w:rPr>
          <w:rFonts w:ascii="Times New Roman" w:hAnsi="Times New Roman" w:eastAsia="Times New Roman" w:cs="Times New Roman"/>
          <w:color w:val="000000"/>
        </w:rPr>
        <w:t>T1 integra o subtópico 3.1. Leituras prioritárias: R03, R05 e R12. Integrar entradas, transformação e proteção. Conferir as bases do valor de 46% e separar matéria orgânica de carbono nas frações. Usar Primo para discutir rotas de formação e Canarini como limite de extrapolação da resposta à seca. Usar R19 para distinguir concentração de COT e estoque, e remeter a interpretação de CBM à seção microbiológica.</w:t>
      </w:r>
    </w:p>
    <w:p w14:paraId="731D7B61" w14:textId="77777777">
      <w:pPr>
        <w:ind w:firstLine="709"/>
        <w:jc w:val="both"/>
      </w:pPr>
      <w:r>
        <w:rPr>
          <w:rFonts w:ascii="Times New Roman" w:hAnsi="Times New Roman" w:eastAsia="Times New Roman" w:cs="Times New Roman"/>
          <w:color w:val="000000"/>
        </w:rPr>
        <w:t>Entrega: Um argumento sobre destino do carbono e um quadro concentração–estoque–fração. Conferência cruzada: T2, Lili.</w:t>
      </w:r>
    </w:p>
    <w:p w14:paraId="4D131D64" w14:textId="77777777">
      <w:pPr>
        <w:pStyle w:val="Ttulo2"/>
        <w:spacing w:before="360" w:beforeAutospacing="0"/>
        <w:keepNext/>
      </w:pPr>
      <w:r>
        <w:rPr>
          <w:rFonts w:ascii="Times New Roman" w:hAnsi="Times New Roman" w:eastAsia="Times New Roman" w:cs="Times New Roman"/>
          <w:color w:val="000000"/>
        </w:rPr>
        <w:t>6.2. Lili</w:t>
      </w:r>
    </w:p>
    <w:p w14:paraId="715B678E" w14:textId="77777777">
      <w:pPr>
        <w:ind w:firstLine="709"/>
        <w:jc w:val="both"/>
      </w:pPr>
      <w:r>
        <w:rPr>
          <w:rFonts w:ascii="Times New Roman" w:hAnsi="Times New Roman" w:eastAsia="Times New Roman" w:cs="Times New Roman"/>
          <w:color w:val="000000"/>
        </w:rPr>
        <w:t>T2 integra o subtópico 3.1. Leituras prioritárias: R03, R10 e R12. Conferir dispersão, tamanho, densidade e recuperação de carbono. Explicar por que a fração menor que 53 micrômetros não comprova sozinha ligação mineral ou longa permanência. Retirar equivalências universais entre fração particulada e carbono lábil. Conferir se profundidades e classes texturais de R19 permitem comparar as frações de outros trabalhos, sem atribuir frações não medidas a esse estudo.</w:t>
      </w:r>
    </w:p>
    <w:p w14:paraId="5AA0B7CF" w14:textId="77777777">
      <w:pPr>
        <w:ind w:firstLine="709"/>
        <w:jc w:val="both"/>
      </w:pPr>
      <w:r>
        <w:rPr>
          <w:rFonts w:ascii="Times New Roman" w:hAnsi="Times New Roman" w:eastAsia="Times New Roman" w:cs="Times New Roman"/>
          <w:color w:val="000000"/>
        </w:rPr>
        <w:lastRenderedPageBreak/>
        <w:t>Entrega: Tabela comparativa de métodos de fracionamento e conclusões permitidas. Conferência cruzada: T1, Alaideane Santana Santos.</w:t>
      </w:r>
    </w:p>
    <w:p w14:paraId="62B8588A" w14:textId="77777777">
      <w:pPr>
        <w:pStyle w:val="Ttulo2"/>
        <w:spacing w:before="360" w:beforeAutospacing="0"/>
        <w:keepNext/>
      </w:pPr>
      <w:r>
        <w:rPr>
          <w:rFonts w:ascii="Times New Roman" w:hAnsi="Times New Roman" w:eastAsia="Times New Roman" w:cs="Times New Roman"/>
          <w:color w:val="000000"/>
        </w:rPr>
        <w:t>6.3. Luana Gabryella</w:t>
      </w:r>
    </w:p>
    <w:p w14:paraId="552985E4" w14:textId="77777777">
      <w:pPr>
        <w:ind w:firstLine="709"/>
        <w:jc w:val="both"/>
      </w:pPr>
      <w:r>
        <w:rPr>
          <w:rFonts w:ascii="Times New Roman" w:hAnsi="Times New Roman" w:eastAsia="Times New Roman" w:cs="Times New Roman"/>
          <w:color w:val="000000"/>
        </w:rPr>
        <w:t>T3 integra o subtópico 3.2. Leituras prioritárias: R04, R09 e R10. Condensar grupos funcionais e superfícies no mecanismo relevante para carbono e fósforo. Confrontar a proposição de Lieberman com dados experimentais, distinguindo hipótese conceitual e resultado observado. Articular as interfaces químicas com as respostas microbianas de R18/R19; não inferir sorção de fósforo sem medida pertinente.</w:t>
      </w:r>
    </w:p>
    <w:p w14:paraId="35025AEA" w14:textId="77777777">
      <w:pPr>
        <w:ind w:firstLine="709"/>
        <w:jc w:val="both"/>
      </w:pPr>
      <w:r>
        <w:rPr>
          <w:rFonts w:ascii="Times New Roman" w:hAnsi="Times New Roman" w:eastAsia="Times New Roman" w:cs="Times New Roman"/>
          <w:color w:val="000000"/>
        </w:rPr>
        <w:t>Entrega: Esquema de interfaces minerais e fósforo com fonte e limite em cada relação. Conferência cruzada: T4, Teteu.</w:t>
      </w:r>
    </w:p>
    <w:p w14:paraId="366689BE" w14:textId="77777777">
      <w:pPr>
        <w:pStyle w:val="Ttulo2"/>
        <w:spacing w:before="360" w:beforeAutospacing="0"/>
        <w:keepNext/>
      </w:pPr>
      <w:r>
        <w:rPr>
          <w:rFonts w:ascii="Times New Roman" w:hAnsi="Times New Roman" w:eastAsia="Times New Roman" w:cs="Times New Roman"/>
          <w:color w:val="000000"/>
        </w:rPr>
        <w:t>6.4. Teteu</w:t>
      </w:r>
    </w:p>
    <w:p w14:paraId="16BF037C" w14:textId="77777777">
      <w:pPr>
        <w:ind w:firstLine="709"/>
        <w:jc w:val="both"/>
      </w:pPr>
      <w:r>
        <w:rPr>
          <w:rFonts w:ascii="Times New Roman" w:hAnsi="Times New Roman" w:eastAsia="Times New Roman" w:cs="Times New Roman"/>
          <w:color w:val="000000"/>
        </w:rPr>
        <w:t>T4 integra o subtópico 3.2. Leituras prioritárias: R14, R04 e R09. Rever a interpretação de solos com o mesmo pH. Separar capacidade de troca de cátions, condutividade elétrica e atividade do alumínio. Reunir a continuação da resposta 6 e identificar quais dados faltam ao diagnóstico local. Usar Macedo para distinguir soma e saturação por bases e conferir as fórmulas de capacidade de troca. Incorporar R18/R19: distinguir pH, saturação e soma de bases na interpretação da composição bacteriana; registrar associação, não causa isolada.</w:t>
      </w:r>
    </w:p>
    <w:p w14:paraId="38F56E22" w14:textId="77777777">
      <w:pPr>
        <w:ind w:firstLine="709"/>
        <w:jc w:val="both"/>
      </w:pPr>
      <w:r>
        <w:rPr>
          <w:rFonts w:ascii="Times New Roman" w:hAnsi="Times New Roman" w:eastAsia="Times New Roman" w:cs="Times New Roman"/>
          <w:color w:val="000000"/>
        </w:rPr>
        <w:t>Entrega: Quadro de restrições químicas e explicações alternativas, sem percentuais universais. Conferência cruzada: T3, Luana Gabryella.</w:t>
      </w:r>
    </w:p>
    <w:p w14:paraId="3A8EF022" w14:textId="77777777">
      <w:pPr>
        <w:ind w:firstLine="709"/>
        <w:jc w:val="both"/>
      </w:pPr>
      <w:r>
        <w:rPr>
          <w:rFonts w:ascii="Times New Roman" w:hAnsi="Times New Roman" w:eastAsia="Times New Roman" w:cs="Times New Roman"/>
          <w:color w:val="000000"/>
        </w:rPr>
        <w:t>Reunir a continuação da resposta 6 atualmente distribuída nos complementos, mantendo uma cópia do original. A ampliação dos campos permite reorganizar a apresentação sem perder informação.</w:t>
      </w:r>
    </w:p>
    <w:p w14:paraId="189F23C4" w14:textId="77777777">
      <w:pPr>
        <w:pStyle w:val="Ttulo2"/>
        <w:spacing w:before="360" w:beforeAutospacing="0"/>
        <w:keepNext/>
      </w:pPr>
      <w:r>
        <w:rPr>
          <w:rFonts w:ascii="Times New Roman" w:hAnsi="Times New Roman" w:eastAsia="Times New Roman" w:cs="Times New Roman"/>
          <w:color w:val="000000"/>
        </w:rPr>
        <w:t>6.5. Maria Alice Vitalino de Moraes</w:t>
      </w:r>
    </w:p>
    <w:p w14:paraId="2C2BE0C2" w14:textId="77777777">
      <w:pPr>
        <w:ind w:firstLine="709"/>
        <w:jc w:val="both"/>
      </w:pPr>
      <w:r>
        <w:rPr>
          <w:rFonts w:ascii="Times New Roman" w:hAnsi="Times New Roman" w:eastAsia="Times New Roman" w:cs="Times New Roman"/>
          <w:color w:val="000000"/>
        </w:rPr>
        <w:t>T5 integra o subtópico 3.3. Leituras prioritárias: R11, R12 e R13. Integrar cobertura, agregação, água disponível, escoamento e perda de solo. Usar o estudo de Pesqueira com sua data de observação, declive e limite de replicação. Confrontar com o caso de maior agregação e menor estoque de carbono de Medeiros; conferir granulometria e microporosidade com o protocolo de Vasconcelos. Incorporar R19: registrar a variação de 4–36% de argila entre municípios e discutir limites de comparar respostas microbianas sem controlar solo e água.</w:t>
      </w:r>
    </w:p>
    <w:p w14:paraId="2A5A420D" w14:textId="77777777">
      <w:pPr>
        <w:ind w:firstLine="709"/>
        <w:jc w:val="both"/>
      </w:pPr>
      <w:r>
        <w:rPr>
          <w:rFonts w:ascii="Times New Roman" w:hAnsi="Times New Roman" w:eastAsia="Times New Roman" w:cs="Times New Roman"/>
          <w:color w:val="000000"/>
        </w:rPr>
        <w:t>Entrega: Comparação de respostas hídricas e erosivas, com condições do estudo e incerteza. Conferência cruzada: T10, Raylla Ramos.</w:t>
      </w:r>
    </w:p>
    <w:p w14:paraId="63A4C2D0" w14:textId="77777777">
      <w:pPr>
        <w:pStyle w:val="Ttulo2"/>
        <w:spacing w:before="360" w:beforeAutospacing="0"/>
        <w:keepNext/>
      </w:pPr>
      <w:r>
        <w:rPr>
          <w:rFonts w:ascii="Times New Roman" w:hAnsi="Times New Roman" w:eastAsia="Times New Roman" w:cs="Times New Roman"/>
          <w:color w:val="000000"/>
        </w:rPr>
        <w:t>6.6. Vinicius Cordeiro Dos Santos</w:t>
      </w:r>
    </w:p>
    <w:p w14:paraId="42D29A73" w14:textId="77777777">
      <w:pPr>
        <w:ind w:firstLine="709"/>
        <w:jc w:val="both"/>
      </w:pPr>
      <w:r>
        <w:rPr>
          <w:rFonts w:ascii="Times New Roman" w:hAnsi="Times New Roman" w:eastAsia="Times New Roman" w:cs="Times New Roman"/>
          <w:color w:val="000000"/>
        </w:rPr>
        <w:t>T6 integra o subtópico 3.4. Leituras prioritárias: R01, R05 e R08. Distinguir biomassa viva, necromassa, respiração e eficiência de uso do carbono. Explorar o resultado de Souza em que CBM e respiração basal não se correlacionaram. Não calcular eficiência de uso do carbono diretamente a partir do quociente metabólico. Priorizar também R19/R20 e montar o contraste CBM–COT–diversidade com a tabela 1 de R19. O modelo conjunto de NDVI não fornece coeficiente pareado CBM–COT.</w:t>
      </w:r>
    </w:p>
    <w:p w14:paraId="247C1568" w14:textId="77777777">
      <w:pPr>
        <w:ind w:firstLine="709"/>
        <w:jc w:val="both"/>
      </w:pPr>
      <w:r>
        <w:rPr>
          <w:rFonts w:ascii="Times New Roman" w:hAnsi="Times New Roman" w:eastAsia="Times New Roman" w:cs="Times New Roman"/>
          <w:color w:val="000000"/>
        </w:rPr>
        <w:t>Entrega: Quadro compartimento–fluxo–eficiência e um exemplo regional de discordância. Conferência cruzada: T7, DIOGO PAES DA COSTA.</w:t>
      </w:r>
    </w:p>
    <w:p w14:paraId="474DF246" w14:textId="77777777">
      <w:pPr>
        <w:pStyle w:val="Ttulo2"/>
        <w:spacing w:before="360" w:beforeAutospacing="0"/>
        <w:keepNext/>
      </w:pPr>
      <w:r>
        <w:rPr>
          <w:rFonts w:ascii="Times New Roman" w:hAnsi="Times New Roman" w:eastAsia="Times New Roman" w:cs="Times New Roman"/>
          <w:color w:val="000000"/>
        </w:rPr>
        <w:t>6.7. DIOGO PAES DA COSTA</w:t>
      </w:r>
    </w:p>
    <w:p w14:paraId="145449D0" w14:textId="77777777">
      <w:pPr>
        <w:ind w:firstLine="709"/>
        <w:jc w:val="both"/>
      </w:pPr>
      <w:r>
        <w:rPr>
          <w:rFonts w:ascii="Times New Roman" w:hAnsi="Times New Roman" w:eastAsia="Times New Roman" w:cs="Times New Roman"/>
          <w:color w:val="000000"/>
        </w:rPr>
        <w:t>T7 integra o subtópico 3.4. Leituras prioritárias: R02, R04 e R06. Integrar fosfatase ácida, fósforo disponível, biomassa e condições hídricas. Separar atividade potencial de fluxo e demanda por fósforo de nutrição suficiente. Usar o método para resolver a nomenclatura da fosfatase no artigo de comunidades fúngicas. Priorizar também R19/R20: conferir pH dos ensaios e preservar os resultados sem diferença para fosfatase ácida, β-glicosidase e urease.</w:t>
      </w:r>
    </w:p>
    <w:p w14:paraId="00A07700" w14:textId="77777777">
      <w:pPr>
        <w:ind w:firstLine="709"/>
        <w:jc w:val="both"/>
      </w:pPr>
      <w:r>
        <w:rPr>
          <w:rFonts w:ascii="Times New Roman" w:hAnsi="Times New Roman" w:eastAsia="Times New Roman" w:cs="Times New Roman"/>
          <w:color w:val="000000"/>
        </w:rPr>
        <w:t>Entrega: Tabela de ensaios, indicadores complementares e limites das relações com fósforo. Conferência cruzada: T6, Vinicius Cordeiro Dos Santos.</w:t>
      </w:r>
    </w:p>
    <w:p w14:paraId="2701E496" w14:textId="77777777">
      <w:pPr>
        <w:ind w:firstLine="709"/>
        <w:jc w:val="both"/>
      </w:pPr>
      <w:r>
        <w:rPr>
          <w:rFonts w:ascii="Times New Roman" w:hAnsi="Times New Roman" w:eastAsia="Times New Roman" w:cs="Times New Roman"/>
          <w:color w:val="000000"/>
        </w:rPr>
        <w:t>T8 integra o subtópico 3.4. Leituras prioritárias: R07, R15 e R16. Ligar potencial genético à evidência bioquímica sem equiparar DNA, expressão e fluxo. Usar a relação phoD–fosfatase alcalina; explicar por que ela não identifica diretamente fosfatase ácida. Conferir proporções de sequências e quantificação absoluta. Usar Chuckran para a discordância entre transcritos e crescimento e Ayala-Ortiz para distinguir diversidade alfa, composição e expressão. Priorizar também R18–R20: distinguir amplicons 16S, FAPROTAX, shotgun, transcrição e fluxo. Conferir dependência pelo BioProject antes de contar estudos independentes e registrar divergências entre texto e métricas de rede.</w:t>
      </w:r>
    </w:p>
    <w:p w14:paraId="0EAB2111" w14:textId="77777777">
      <w:pPr>
        <w:ind w:firstLine="709"/>
        <w:jc w:val="both"/>
      </w:pPr>
      <w:r>
        <w:rPr>
          <w:rFonts w:ascii="Times New Roman" w:hAnsi="Times New Roman" w:eastAsia="Times New Roman" w:cs="Times New Roman"/>
          <w:color w:val="000000"/>
        </w:rPr>
        <w:t>Entrega: Escada de evidências com um caso convergente e um discordante ou ainda não demonstrado. Conferência cruzada: T9, Vanessa Rodrigues.</w:t>
      </w:r>
    </w:p>
    <w:p w14:paraId="56204E99" w14:textId="77777777">
      <w:pPr>
        <w:pStyle w:val="Ttulo2"/>
        <w:spacing w:before="360" w:beforeAutospacing="0"/>
        <w:keepNext/>
      </w:pPr>
      <w:r>
        <w:rPr>
          <w:rFonts w:ascii="Times New Roman" w:hAnsi="Times New Roman" w:eastAsia="Times New Roman" w:cs="Times New Roman"/>
          <w:color w:val="000000"/>
        </w:rPr>
        <w:t>6.8. Vanessa Rodrigues</w:t>
      </w:r>
    </w:p>
    <w:p w14:paraId="3074155E" w14:textId="77777777">
      <w:pPr>
        <w:ind w:firstLine="709"/>
        <w:jc w:val="both"/>
      </w:pPr>
      <w:r>
        <w:rPr>
          <w:rFonts w:ascii="Times New Roman" w:hAnsi="Times New Roman" w:eastAsia="Times New Roman" w:cs="Times New Roman"/>
          <w:color w:val="000000"/>
        </w:rPr>
        <w:t>T9 integra o subtópico 3.5. Leituras prioritárias: R03 e R04. Preservar o cálculo da mistura por massas de carbono e nitrogênio, retirando limiares universais de mineralização. Integrar qualidade, maturidade, sais e janela hídrica. O estudo de composto e fósforo complementa o diagnóstico, sem validar uma dose para a Caatinga. Ao integrar manejo, distinguir os cenários de conversão floresta–pastagem de R19 e de restauração; aumento de produtividade não valida dose ou insumo.</w:t>
      </w:r>
    </w:p>
    <w:p w14:paraId="706487C5" w14:textId="77777777">
      <w:pPr>
        <w:ind w:firstLine="709"/>
        <w:jc w:val="both"/>
      </w:pPr>
      <w:r>
        <w:rPr>
          <w:rFonts w:ascii="Times New Roman" w:hAnsi="Times New Roman" w:eastAsia="Times New Roman" w:cs="Times New Roman"/>
          <w:color w:val="000000"/>
        </w:rPr>
        <w:t>Entrega: Quadro de escolha condicionada de materiais e sincronismo com a demanda da cultura. Conferência cruzada: T8, DIOGO PAES DA COSTA.</w:t>
      </w:r>
    </w:p>
    <w:p w14:paraId="5BB97B7D" w14:textId="77777777">
      <w:pPr>
        <w:ind w:firstLine="709"/>
        <w:jc w:val="both"/>
      </w:pPr>
      <w:r>
        <w:rPr>
          <w:rFonts w:ascii="Times New Roman" w:hAnsi="Times New Roman" w:eastAsia="Times New Roman" w:cs="Times New Roman"/>
          <w:color w:val="000000"/>
        </w:rPr>
        <w:t>Na mistura de materiais, conservar o cálculo que usa massas de carbono e nitrogênio e resulta em C/N = 23,52, conferindo os dados de entrada. Esse valor calculado não prediz sozinho mineralização líquida, maturidade ou segurança agronômica.</w:t>
      </w:r>
    </w:p>
    <w:p w14:paraId="75C34C0A" w14:textId="77777777">
      <w:pPr>
        <w:pStyle w:val="Ttulo2"/>
        <w:spacing w:before="360" w:beforeAutospacing="0"/>
        <w:keepNext/>
      </w:pPr>
      <w:r>
        <w:rPr>
          <w:rFonts w:ascii="Times New Roman" w:hAnsi="Times New Roman" w:eastAsia="Times New Roman" w:cs="Times New Roman"/>
          <w:color w:val="000000"/>
        </w:rPr>
        <w:t>6.9. Raylla Ramos</w:t>
      </w:r>
    </w:p>
    <w:p w14:paraId="60490F78" w14:textId="77777777">
      <w:pPr>
        <w:ind w:firstLine="709"/>
        <w:jc w:val="both"/>
      </w:pPr>
      <w:r>
        <w:rPr>
          <w:rFonts w:ascii="Times New Roman" w:hAnsi="Times New Roman" w:eastAsia="Times New Roman" w:cs="Times New Roman"/>
          <w:color w:val="000000"/>
        </w:rPr>
        <w:t>T10 integra o subtópico 3.5. Leituras prioritárias: R01, R11 e R12. Construir a matriz final de convergências e discordâncias. Corrigir a interpretação do aumento não significativo de 5,4% e do caso com agregação maior e carbono menor. Distinguir três anos de exclusão do pastejo de recuperação já demonstrada. Incorporar R18/R19 à matriz final: diversidade, COT, CBM, enzimas e conectividade podem divergir. Registrar contexto subúmido e dependência de R19/R20.</w:t>
      </w:r>
    </w:p>
    <w:p w14:paraId="6DE367E6" w14:textId="77777777">
      <w:pPr>
        <w:ind w:firstLine="709"/>
        <w:jc w:val="both"/>
      </w:pPr>
      <w:r>
        <w:rPr>
          <w:rFonts w:ascii="Times New Roman" w:hAnsi="Times New Roman" w:eastAsia="Times New Roman" w:cs="Times New Roman"/>
          <w:color w:val="000000"/>
        </w:rPr>
        <w:t>Entrega: Síntese por cenário de manejo, com evidência, limitação e decisão que permanece aberta. Conferência cruzada: T5, Maria Alice Vitalino de Moraes.</w:t>
      </w:r>
    </w:p>
    <w:p w14:paraId="4815E5AE" w14:textId="77777777">
      <w:pPr>
        <w:ind w:firstLine="709"/>
        <w:jc w:val="both"/>
      </w:pPr>
      <w:r>
        <w:rPr>
          <w:rFonts w:ascii="Times New Roman" w:hAnsi="Times New Roman" w:eastAsia="Times New Roman" w:cs="Times New Roman"/>
          <w:color w:val="000000"/>
        </w:rPr>
        <w:t>Produto comum para a reunião: uma afirmação principal delimitada; uma tabela de evidências primárias com os campos da seção 5; um caso de convergência; uma discordância ou limite demonstrado; e um parágrafo de ligação à seção seguinte. Como orientação de trabalho, preparar 500–800 palavras por ficha, sem repetir definições já atribuídas a outra seção. Diogo poderá entregar uma síntese única de T7–T8 com as duas trilhas de evidência identificadas.</w:t>
      </w:r>
    </w:p>
    <w:p w14:paraId="0B191942" w14:textId="77777777">
      <w:pPr>
        <w:ind w:firstLine="709"/>
        <w:jc w:val="both"/>
      </w:pPr>
      <w:r>
        <w:rPr>
          <w:rFonts w:ascii="Times New Roman" w:hAnsi="Times New Roman" w:eastAsia="Times New Roman" w:cs="Times New Roman"/>
          <w:color w:val="000000"/>
        </w:rPr>
        <w:t>Na reunião, cada participante apresentará a afirmação, o estudo que a sustenta e a limitação que altera sua interpretação. O revisor cruzado verificará uma relação central e uma referência. A coordenação consolidará a matriz de cenários, registrará divergências ainda abertas e definirá a próxima versão do manuscrito. Resultados que contrariem a expectativa de recuperação devem permanecer na discussão.</w:t>
      </w:r>
    </w:p>
    <w:p w14:paraId="5CEAB2AB" w14:textId="77777777">
      <w:pPr>
        <w:pStyle w:val="Ttulo1"/>
        <w:spacing w:before="360" w:beforeAutospacing="0"/>
        <w:keepNext/>
      </w:pPr>
      <w:r>
        <w:rPr>
          <w:rFonts w:ascii="Times New Roman" w:hAnsi="Times New Roman" w:eastAsia="Times New Roman" w:cs="Times New Roman"/>
          <w:color w:val="000000"/>
        </w:rPr>
        <w:t>7. Uso obrigatório da coleção de artigos na escrita definitiva</w:t>
      </w:r>
    </w:p>
    <w:p w14:paraId="32D54514" w14:textId="77777777">
      <w:pPr>
        <w:ind w:firstLine="709"/>
        <w:jc w:val="both"/>
      </w:pPr>
      <w:r>
        <w:rPr>
          <w:rFonts w:ascii="Times New Roman" w:hAnsi="Times New Roman" w:eastAsia="Times New Roman" w:cs="Times New Roman"/>
          <w:color w:val="000000"/>
        </w:rPr>
        <w:t>A redação definitiva dos cinco tópicos deverá partir da coleção reunida para este estudo, identificando os artigos pelos códigos R01–R20 abaixo. O DOCX atualizado e o ZIP da coleção estão disponíveis na aba Construir o artigo da plataforma. Na pasta extraída, INDICE_FONTES.csv relaciona código, referência, DOI, arquivo, situação local e alcance da leitura auditada. Cada aluno deve completar também as referências já utilizadas em sua ficha: os campos ampliados suportam 15.000 caracteres por resposta e bibliografia, com contadores; esquema e conexões comportam 20.000 e 10.000, respectivamente.</w:t>
      </w:r>
    </w:p>
    <w:p w14:paraId="3AC7ECE1" w14:textId="77777777">
      <w:pPr>
        <w:ind w:firstLine="709"/>
        <w:jc w:val="both"/>
      </w:pPr>
      <w:r>
        <w:rPr>
          <w:rFonts w:ascii="Times New Roman" w:hAnsi="Times New Roman" w:eastAsia="Times New Roman" w:cs="Times New Roman"/>
          <w:color w:val="000000"/>
        </w:rPr>
        <w:t>A coleção ampliada contém 15 PDFs e quatro textos integrais em XML, além da ficha de acesso a R02, cujo integral continua pendente. R19 é o PDF completo fornecido pelo professor; R18/R20 são textos integrais obtidos em repositório primário. A apresentação com figuras de R18/R20 pode ser consultada pelos links do índice. A planilha original de química e enzimas da versão 4 do depósito de R20 acompanha a coleção, com atribuição e licença; sequências brutas e imagens grandes permanecem no repositório. Arquivo disponível e leitura crítica concluída são condições diferentes. Ler métodos, resultados, tabelas e suplementos pertinentes ao argumento e registrar localização; uma nota docente ou a rede não substitui essa leitura.</w:t>
      </w:r>
    </w:p>
    <w:p w14:paraId="22D73AB3" w14:textId="77777777">
      <w:pPr>
        <w:ind w:firstLine="709"/>
        <w:jc w:val="both"/>
      </w:pPr>
      <w:r>
        <w:rPr>
          <w:rFonts w:ascii="Times New Roman" w:hAnsi="Times New Roman" w:eastAsia="Times New Roman" w:cs="Times New Roman"/>
          <w:color w:val="000000"/>
        </w:rPr>
        <w:t xml:space="preserve">Toda afirmação quantitativa deve ser conferida na fonte primária, com comparação, unidade, período e incerteza. Trabalhos citados dentro de um artigo não devem ser incluídos como fontes consultadas sem acesso e verificação próprios. Novas referências poderão </w:t>
      </w:r>
      <w:r>
        <w:rPr>
          <w:rFonts w:ascii="Times New Roman" w:hAnsi="Times New Roman" w:eastAsia="Times New Roman" w:cs="Times New Roman"/>
          <w:color w:val="000000"/>
        </w:rPr>
        <w:lastRenderedPageBreak/>
        <w:t>ampliar a coleção quando responderem a uma lacuna identificada e tiverem existência e conteúdo conferidos. Conservar os originais e registrar atualizações no índice.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2551"/>
        <w:gridCol w:w="4195"/>
        <w:gridCol w:w="2324"/>
      </w:tblGrid>
      <w:tr w14:paraId="087D2F8B" w14:textId="77777777">
        <w:trPr>
          <w:cantSplit/>
          <w:tblHeader/>
          <w:jc w:val="center"/>
        </w:trPr>
        <w:tc>
          <w:tcPr>
            <w:tcW w:w="2551" w:type="dxa"/>
            <w:shd w:val="clear" w:color="auto" w:fill="E7E6E6"/>
            <w:vAlign w:val="center"/>
          </w:tcPr>
          <w:p w14:paraId="35F39907" w14:textId="77777777">
            <w:pPr>
              <w:keepNext/>
              <w:spacing w:after="20" w:line="259" w:lineRule="auto"/>
              <w:ind w:firstLine="0"/>
            </w:pPr>
            <w:r>
              <w:rPr>
                <w:rFonts w:ascii="Times New Roman" w:hAnsi="Times New Roman" w:eastAsia="Times New Roman" w:cs="Times New Roman"/>
                <w:b/>
                <w:color w:val="000000"/>
                <w:sz w:val="21"/>
              </w:rPr>
              <w:t>Código e fonte</w:t>
            </w:r>
          </w:p>
        </w:tc>
        <w:tc>
          <w:tcPr>
            <w:tcW w:w="4195" w:type="dxa"/>
            <w:shd w:val="clear" w:color="auto" w:fill="E7E6E6"/>
            <w:vAlign w:val="center"/>
          </w:tcPr>
          <w:p w14:paraId="5D427DA1" w14:textId="77777777">
            <w:pPr>
              <w:keepNext/>
              <w:spacing w:after="20" w:line="259" w:lineRule="auto"/>
              <w:ind w:firstLine="0"/>
            </w:pPr>
            <w:r>
              <w:rPr>
                <w:rFonts w:ascii="Times New Roman" w:hAnsi="Times New Roman" w:eastAsia="Times New Roman" w:cs="Times New Roman"/>
                <w:b/>
                <w:color w:val="000000"/>
                <w:sz w:val="21"/>
              </w:rPr>
              <w:t>Função na redação</w:t>
            </w:r>
          </w:p>
        </w:tc>
        <w:tc>
          <w:tcPr>
            <w:tcW w:w="2324" w:type="dxa"/>
            <w:shd w:val="clear" w:color="auto" w:fill="E7E6E6"/>
            <w:vAlign w:val="center"/>
          </w:tcPr>
          <w:p w14:paraId="5ADA6C64" w14:textId="77777777">
            <w:pPr>
              <w:keepNext/>
              <w:spacing w:after="20" w:line="259" w:lineRule="auto"/>
              <w:ind w:firstLine="0"/>
            </w:pPr>
            <w:r>
              <w:rPr>
                <w:rFonts w:ascii="Times New Roman" w:hAnsi="Times New Roman" w:eastAsia="Times New Roman" w:cs="Times New Roman"/>
                <w:b/>
                <w:color w:val="000000"/>
                <w:sz w:val="21"/>
              </w:rPr>
              <w:t>Arquivo disponível</w:t>
            </w:r>
          </w:p>
        </w:tc>
      </w:tr>
      <w:tr w14:paraId="69E93973" w14:textId="77777777">
        <w:trPr>
          <w:cantSplit/>
          <w:jc w:val="center"/>
        </w:trPr>
        <w:tc>
          <w:tcPr>
            <w:tcW w:w="2551" w:type="dxa"/>
            <w:vAlign w:val="center"/>
          </w:tcPr>
          <w:p w14:paraId="45959A99" w14:textId="77777777">
            <w:pPr>
              <w:spacing w:after="20" w:line="259" w:lineRule="auto"/>
              <w:ind w:firstLine="0"/>
            </w:pPr>
            <w:r>
              <w:rPr>
                <w:rFonts w:ascii="Times New Roman" w:hAnsi="Times New Roman" w:eastAsia="Times New Roman" w:cs="Times New Roman"/>
                <w:color w:val="000000"/>
                <w:sz w:val="21"/>
              </w:rPr>
              <w:t>R01 Souza et al. (2025)</w:t>
            </w:r>
          </w:p>
        </w:tc>
        <w:tc>
          <w:tcPr>
            <w:tcW w:w="4195" w:type="dxa"/>
            <w:vAlign w:val="center"/>
          </w:tcPr>
          <w:p w14:paraId="1758B4C7" w14:textId="77777777">
            <w:pPr>
              <w:spacing w:after="20" w:line="259" w:lineRule="auto"/>
              <w:ind w:firstLine="0"/>
            </w:pPr>
            <w:r>
              <w:rPr>
                <w:rFonts w:ascii="Times New Roman" w:hAnsi="Times New Roman" w:eastAsia="Times New Roman" w:cs="Times New Roman"/>
                <w:color w:val="000000"/>
                <w:sz w:val="21"/>
              </w:rPr>
              <w:t>CBM carbono e respiração na Caatinga</w:t>
            </w:r>
          </w:p>
        </w:tc>
        <w:tc>
          <w:tcPr>
            <w:tcW w:w="2324" w:type="dxa"/>
            <w:vAlign w:val="center"/>
          </w:tcPr>
          <w:p w14:paraId="411BFDED" w14:textId="77777777">
            <w:pPr>
              <w:spacing w:after="20" w:line="259" w:lineRule="auto"/>
              <w:ind w:firstLine="0"/>
            </w:pPr>
            <w:r>
              <w:rPr>
                <w:rFonts w:ascii="Times New Roman" w:hAnsi="Times New Roman" w:eastAsia="Times New Roman" w:cs="Times New Roman"/>
                <w:color w:val="000000"/>
                <w:sz w:val="21"/>
              </w:rPr>
              <w:t>PDF integral</w:t>
            </w:r>
          </w:p>
        </w:tc>
      </w:tr>
      <w:tr w14:paraId="203A5A38" w14:textId="77777777">
        <w:trPr>
          <w:cantSplit/>
          <w:jc w:val="center"/>
        </w:trPr>
        <w:tc>
          <w:tcPr>
            <w:tcW w:w="2551" w:type="dxa"/>
            <w:vAlign w:val="center"/>
          </w:tcPr>
          <w:p w14:paraId="334DCE24" w14:textId="77777777">
            <w:pPr>
              <w:spacing w:after="20" w:line="259" w:lineRule="auto"/>
              <w:ind w:firstLine="0"/>
            </w:pPr>
            <w:r>
              <w:rPr>
                <w:rFonts w:ascii="Times New Roman" w:hAnsi="Times New Roman" w:eastAsia="Times New Roman" w:cs="Times New Roman"/>
                <w:color w:val="000000"/>
                <w:sz w:val="21"/>
              </w:rPr>
              <w:t>R02 Silva et al. (2024; CATENA)</w:t>
            </w:r>
          </w:p>
        </w:tc>
        <w:tc>
          <w:tcPr>
            <w:tcW w:w="4195" w:type="dxa"/>
            <w:vAlign w:val="center"/>
          </w:tcPr>
          <w:p w14:paraId="4AE9FAFE" w14:textId="77777777">
            <w:pPr>
              <w:spacing w:after="20" w:line="259" w:lineRule="auto"/>
              <w:ind w:firstLine="0"/>
            </w:pPr>
            <w:r>
              <w:rPr>
                <w:rFonts w:ascii="Times New Roman" w:hAnsi="Times New Roman" w:eastAsia="Times New Roman" w:cs="Times New Roman"/>
                <w:color w:val="000000"/>
                <w:sz w:val="21"/>
              </w:rPr>
              <w:t>Estequiometria enzimática em restauração</w:t>
            </w:r>
          </w:p>
        </w:tc>
        <w:tc>
          <w:tcPr>
            <w:tcW w:w="2324" w:type="dxa"/>
            <w:vAlign w:val="center"/>
          </w:tcPr>
          <w:p w14:paraId="0D4EB9CB" w14:textId="77777777">
            <w:pPr>
              <w:spacing w:after="20" w:line="259" w:lineRule="auto"/>
              <w:ind w:firstLine="0"/>
            </w:pPr>
            <w:r>
              <w:rPr>
                <w:rFonts w:ascii="Times New Roman" w:hAnsi="Times New Roman" w:eastAsia="Times New Roman" w:cs="Times New Roman"/>
                <w:color w:val="000000"/>
                <w:sz w:val="21"/>
              </w:rPr>
              <w:t>link; integral pendente</w:t>
            </w:r>
          </w:p>
        </w:tc>
      </w:tr>
      <w:tr w14:paraId="75BC2D9F" w14:textId="77777777">
        <w:trPr>
          <w:cantSplit/>
          <w:jc w:val="center"/>
        </w:trPr>
        <w:tc>
          <w:tcPr>
            <w:tcW w:w="2551" w:type="dxa"/>
            <w:vAlign w:val="center"/>
          </w:tcPr>
          <w:p w14:paraId="79A3D608" w14:textId="77777777">
            <w:pPr>
              <w:spacing w:after="20" w:line="259" w:lineRule="auto"/>
              <w:ind w:firstLine="0"/>
            </w:pPr>
            <w:r>
              <w:rPr>
                <w:rFonts w:ascii="Times New Roman" w:hAnsi="Times New Roman" w:eastAsia="Times New Roman" w:cs="Times New Roman"/>
                <w:color w:val="000000"/>
                <w:sz w:val="21"/>
              </w:rPr>
              <w:t>R03 Primo et al. (2024)</w:t>
            </w:r>
          </w:p>
        </w:tc>
        <w:tc>
          <w:tcPr>
            <w:tcW w:w="4195" w:type="dxa"/>
            <w:vAlign w:val="center"/>
          </w:tcPr>
          <w:p w14:paraId="1D56D9E2" w14:textId="77777777">
            <w:pPr>
              <w:spacing w:after="20" w:line="259" w:lineRule="auto"/>
              <w:ind w:firstLine="0"/>
            </w:pPr>
            <w:r>
              <w:rPr>
                <w:rFonts w:ascii="Times New Roman" w:hAnsi="Times New Roman" w:eastAsia="Times New Roman" w:cs="Times New Roman"/>
                <w:color w:val="000000"/>
                <w:sz w:val="21"/>
              </w:rPr>
              <w:t>Resíduos e frações em microcosmo</w:t>
            </w:r>
          </w:p>
        </w:tc>
        <w:tc>
          <w:tcPr>
            <w:tcW w:w="2324" w:type="dxa"/>
            <w:vAlign w:val="center"/>
          </w:tcPr>
          <w:p w14:paraId="27F17903" w14:textId="77777777">
            <w:pPr>
              <w:spacing w:after="20" w:line="259" w:lineRule="auto"/>
              <w:ind w:firstLine="0"/>
            </w:pPr>
            <w:r>
              <w:rPr>
                <w:rFonts w:ascii="Times New Roman" w:hAnsi="Times New Roman" w:eastAsia="Times New Roman" w:cs="Times New Roman"/>
                <w:color w:val="000000"/>
                <w:sz w:val="21"/>
              </w:rPr>
              <w:t>PDF integral</w:t>
            </w:r>
          </w:p>
        </w:tc>
      </w:tr>
      <w:tr w14:paraId="6C4F50E5" w14:textId="77777777">
        <w:trPr>
          <w:cantSplit/>
          <w:jc w:val="center"/>
        </w:trPr>
        <w:tc>
          <w:tcPr>
            <w:tcW w:w="2551" w:type="dxa"/>
            <w:vAlign w:val="center"/>
          </w:tcPr>
          <w:p w14:paraId="4F2F1C2E" w14:textId="77777777">
            <w:pPr>
              <w:spacing w:after="20" w:line="259" w:lineRule="auto"/>
              <w:ind w:firstLine="0"/>
            </w:pPr>
            <w:r>
              <w:rPr>
                <w:rFonts w:ascii="Times New Roman" w:hAnsi="Times New Roman" w:eastAsia="Times New Roman" w:cs="Times New Roman"/>
                <w:color w:val="000000"/>
                <w:sz w:val="21"/>
              </w:rPr>
              <w:t>R04 Wanke et al. (2024)</w:t>
            </w:r>
          </w:p>
        </w:tc>
        <w:tc>
          <w:tcPr>
            <w:tcW w:w="4195" w:type="dxa"/>
            <w:vAlign w:val="center"/>
          </w:tcPr>
          <w:p w14:paraId="5D58EE72" w14:textId="77777777">
            <w:pPr>
              <w:spacing w:after="20" w:line="259" w:lineRule="auto"/>
              <w:ind w:firstLine="0"/>
            </w:pPr>
            <w:r>
              <w:rPr>
                <w:rFonts w:ascii="Times New Roman" w:hAnsi="Times New Roman" w:eastAsia="Times New Roman" w:cs="Times New Roman"/>
                <w:color w:val="000000"/>
                <w:sz w:val="21"/>
              </w:rPr>
              <w:t>Composto e indicadores de fósforo</w:t>
            </w:r>
          </w:p>
        </w:tc>
        <w:tc>
          <w:tcPr>
            <w:tcW w:w="2324" w:type="dxa"/>
            <w:vAlign w:val="center"/>
          </w:tcPr>
          <w:p w14:paraId="37C06E2C" w14:textId="77777777">
            <w:pPr>
              <w:spacing w:after="20" w:line="259" w:lineRule="auto"/>
              <w:ind w:firstLine="0"/>
            </w:pPr>
            <w:r>
              <w:rPr>
                <w:rFonts w:ascii="Times New Roman" w:hAnsi="Times New Roman" w:eastAsia="Times New Roman" w:cs="Times New Roman"/>
                <w:color w:val="000000"/>
                <w:sz w:val="21"/>
              </w:rPr>
              <w:t>PDF integral</w:t>
            </w:r>
          </w:p>
        </w:tc>
      </w:tr>
      <w:tr w14:paraId="3F8C880C" w14:textId="77777777">
        <w:trPr>
          <w:cantSplit/>
          <w:jc w:val="center"/>
        </w:trPr>
        <w:tc>
          <w:tcPr>
            <w:tcW w:w="2551" w:type="dxa"/>
            <w:vAlign w:val="center"/>
          </w:tcPr>
          <w:p w14:paraId="39DF42E6" w14:textId="77777777">
            <w:pPr>
              <w:spacing w:after="20" w:line="259" w:lineRule="auto"/>
              <w:ind w:firstLine="0"/>
            </w:pPr>
            <w:r>
              <w:rPr>
                <w:rFonts w:ascii="Times New Roman" w:hAnsi="Times New Roman" w:eastAsia="Times New Roman" w:cs="Times New Roman"/>
                <w:color w:val="000000"/>
                <w:sz w:val="21"/>
              </w:rPr>
              <w:t>R05 Canarini et al. (2024)</w:t>
            </w:r>
          </w:p>
        </w:tc>
        <w:tc>
          <w:tcPr>
            <w:tcW w:w="4195" w:type="dxa"/>
            <w:vAlign w:val="center"/>
          </w:tcPr>
          <w:p w14:paraId="45164600" w14:textId="77777777">
            <w:pPr>
              <w:spacing w:after="20" w:line="259" w:lineRule="auto"/>
              <w:ind w:firstLine="0"/>
            </w:pPr>
            <w:r>
              <w:rPr>
                <w:rFonts w:ascii="Times New Roman" w:hAnsi="Times New Roman" w:eastAsia="Times New Roman" w:cs="Times New Roman"/>
                <w:color w:val="000000"/>
                <w:sz w:val="21"/>
              </w:rPr>
              <w:t>Seca crescimento e eficiência microbiana</w:t>
            </w:r>
          </w:p>
        </w:tc>
        <w:tc>
          <w:tcPr>
            <w:tcW w:w="2324" w:type="dxa"/>
            <w:vAlign w:val="center"/>
          </w:tcPr>
          <w:p w14:paraId="02883CAE" w14:textId="77777777">
            <w:pPr>
              <w:spacing w:after="20" w:line="259" w:lineRule="auto"/>
              <w:ind w:firstLine="0"/>
            </w:pPr>
            <w:r>
              <w:rPr>
                <w:rFonts w:ascii="Times New Roman" w:hAnsi="Times New Roman" w:eastAsia="Times New Roman" w:cs="Times New Roman"/>
                <w:color w:val="000000"/>
                <w:sz w:val="21"/>
              </w:rPr>
              <w:t>PDF integral</w:t>
            </w:r>
          </w:p>
        </w:tc>
      </w:tr>
      <w:tr w14:paraId="5056666C" w14:textId="77777777">
        <w:trPr>
          <w:cantSplit/>
          <w:jc w:val="center"/>
        </w:trPr>
        <w:tc>
          <w:tcPr>
            <w:tcW w:w="2551" w:type="dxa"/>
            <w:vAlign w:val="center"/>
          </w:tcPr>
          <w:p w14:paraId="0D4C0DFB" w14:textId="77777777">
            <w:pPr>
              <w:spacing w:after="20" w:line="259" w:lineRule="auto"/>
              <w:ind w:firstLine="0"/>
            </w:pPr>
            <w:r>
              <w:rPr>
                <w:rFonts w:ascii="Times New Roman" w:hAnsi="Times New Roman" w:eastAsia="Times New Roman" w:cs="Times New Roman"/>
                <w:color w:val="000000"/>
                <w:sz w:val="21"/>
              </w:rPr>
              <w:t>R06 Silva et al. (2024; Microbiological Research)</w:t>
            </w:r>
          </w:p>
        </w:tc>
        <w:tc>
          <w:tcPr>
            <w:tcW w:w="4195" w:type="dxa"/>
            <w:vAlign w:val="center"/>
          </w:tcPr>
          <w:p w14:paraId="39C10397" w14:textId="77777777">
            <w:pPr>
              <w:spacing w:after="20" w:line="259" w:lineRule="auto"/>
              <w:ind w:firstLine="0"/>
            </w:pPr>
            <w:r>
              <w:rPr>
                <w:rFonts w:ascii="Times New Roman" w:hAnsi="Times New Roman" w:eastAsia="Times New Roman" w:cs="Times New Roman"/>
                <w:color w:val="000000"/>
                <w:sz w:val="21"/>
              </w:rPr>
              <w:t>Fungos biomassa e fosfatase ácida</w:t>
            </w:r>
          </w:p>
        </w:tc>
        <w:tc>
          <w:tcPr>
            <w:tcW w:w="2324" w:type="dxa"/>
            <w:vAlign w:val="center"/>
          </w:tcPr>
          <w:p w14:paraId="3CB3948B" w14:textId="77777777">
            <w:pPr>
              <w:spacing w:after="20" w:line="259" w:lineRule="auto"/>
              <w:ind w:firstLine="0"/>
            </w:pPr>
            <w:r>
              <w:rPr>
                <w:rFonts w:ascii="Times New Roman" w:hAnsi="Times New Roman" w:eastAsia="Times New Roman" w:cs="Times New Roman"/>
                <w:color w:val="000000"/>
                <w:sz w:val="21"/>
              </w:rPr>
              <w:t>PDF integral</w:t>
            </w:r>
          </w:p>
        </w:tc>
      </w:tr>
      <w:tr w14:paraId="66C27D3D" w14:textId="77777777">
        <w:trPr>
          <w:cantSplit/>
          <w:jc w:val="center"/>
        </w:trPr>
        <w:tc>
          <w:tcPr>
            <w:tcW w:w="2551" w:type="dxa"/>
            <w:vAlign w:val="center"/>
          </w:tcPr>
          <w:p w14:paraId="1DA4137B" w14:textId="77777777">
            <w:pPr>
              <w:spacing w:after="20" w:line="259" w:lineRule="auto"/>
              <w:ind w:firstLine="0"/>
            </w:pPr>
            <w:r>
              <w:rPr>
                <w:rFonts w:ascii="Times New Roman" w:hAnsi="Times New Roman" w:eastAsia="Times New Roman" w:cs="Times New Roman"/>
                <w:color w:val="000000"/>
                <w:sz w:val="21"/>
              </w:rPr>
              <w:t>R07 Silva et al. (2024; Applied Soil Ecology)</w:t>
            </w:r>
          </w:p>
        </w:tc>
        <w:tc>
          <w:tcPr>
            <w:tcW w:w="4195" w:type="dxa"/>
            <w:vAlign w:val="center"/>
          </w:tcPr>
          <w:p w14:paraId="3A8C0BC8" w14:textId="77777777">
            <w:pPr>
              <w:spacing w:after="20" w:line="259" w:lineRule="auto"/>
              <w:ind w:firstLine="0"/>
            </w:pPr>
            <w:r>
              <w:rPr>
                <w:rFonts w:ascii="Times New Roman" w:hAnsi="Times New Roman" w:eastAsia="Times New Roman" w:cs="Times New Roman"/>
                <w:color w:val="000000"/>
                <w:sz w:val="21"/>
              </w:rPr>
              <w:t>Genes do ciclo de N e P e fosfatase alcalina</w:t>
            </w:r>
          </w:p>
        </w:tc>
        <w:tc>
          <w:tcPr>
            <w:tcW w:w="2324" w:type="dxa"/>
            <w:vAlign w:val="center"/>
          </w:tcPr>
          <w:p w14:paraId="29ACD70B" w14:textId="77777777">
            <w:pPr>
              <w:spacing w:after="20" w:line="259" w:lineRule="auto"/>
              <w:ind w:firstLine="0"/>
            </w:pPr>
            <w:r>
              <w:rPr>
                <w:rFonts w:ascii="Times New Roman" w:hAnsi="Times New Roman" w:eastAsia="Times New Roman" w:cs="Times New Roman"/>
                <w:color w:val="000000"/>
                <w:sz w:val="21"/>
              </w:rPr>
              <w:t>PDF integral</w:t>
            </w:r>
          </w:p>
        </w:tc>
      </w:tr>
      <w:tr w14:paraId="6D1482A7" w14:textId="77777777">
        <w:trPr>
          <w:cantSplit/>
          <w:jc w:val="center"/>
        </w:trPr>
        <w:tc>
          <w:tcPr>
            <w:tcW w:w="2551" w:type="dxa"/>
            <w:vAlign w:val="center"/>
          </w:tcPr>
          <w:p w14:paraId="4E4B687F" w14:textId="77777777">
            <w:pPr>
              <w:spacing w:after="20" w:line="259" w:lineRule="auto"/>
              <w:ind w:firstLine="0"/>
            </w:pPr>
            <w:r>
              <w:rPr>
                <w:rFonts w:ascii="Times New Roman" w:hAnsi="Times New Roman" w:eastAsia="Times New Roman" w:cs="Times New Roman"/>
                <w:color w:val="000000"/>
                <w:sz w:val="21"/>
              </w:rPr>
              <w:t>R08 Tao et al. (2023)</w:t>
            </w:r>
          </w:p>
        </w:tc>
        <w:tc>
          <w:tcPr>
            <w:tcW w:w="4195" w:type="dxa"/>
            <w:vAlign w:val="center"/>
          </w:tcPr>
          <w:p w14:paraId="3DF4BA16" w14:textId="77777777">
            <w:pPr>
              <w:spacing w:after="20" w:line="259" w:lineRule="auto"/>
              <w:ind w:firstLine="0"/>
            </w:pPr>
            <w:r>
              <w:rPr>
                <w:rFonts w:ascii="Times New Roman" w:hAnsi="Times New Roman" w:eastAsia="Times New Roman" w:cs="Times New Roman"/>
                <w:color w:val="000000"/>
                <w:sz w:val="21"/>
              </w:rPr>
              <w:t>Síntese global de eficiência e carbono</w:t>
            </w:r>
          </w:p>
        </w:tc>
        <w:tc>
          <w:tcPr>
            <w:tcW w:w="2324" w:type="dxa"/>
            <w:vAlign w:val="center"/>
          </w:tcPr>
          <w:p w14:paraId="7093B1AF" w14:textId="77777777">
            <w:pPr>
              <w:spacing w:after="20" w:line="259" w:lineRule="auto"/>
              <w:ind w:firstLine="0"/>
            </w:pPr>
            <w:r>
              <w:rPr>
                <w:rFonts w:ascii="Times New Roman" w:hAnsi="Times New Roman" w:eastAsia="Times New Roman" w:cs="Times New Roman"/>
                <w:color w:val="000000"/>
                <w:sz w:val="21"/>
              </w:rPr>
              <w:t>PDF integral</w:t>
            </w:r>
          </w:p>
        </w:tc>
      </w:tr>
      <w:tr w14:paraId="56688CC2" w14:textId="77777777">
        <w:trPr>
          <w:cantSplit/>
          <w:jc w:val="center"/>
        </w:trPr>
        <w:tc>
          <w:tcPr>
            <w:tcW w:w="2551" w:type="dxa"/>
            <w:vAlign w:val="center"/>
          </w:tcPr>
          <w:p w14:paraId="46E53914" w14:textId="77777777">
            <w:pPr>
              <w:spacing w:after="20" w:line="259" w:lineRule="auto"/>
              <w:ind w:firstLine="0"/>
            </w:pPr>
            <w:r>
              <w:rPr>
                <w:rFonts w:ascii="Times New Roman" w:hAnsi="Times New Roman" w:eastAsia="Times New Roman" w:cs="Times New Roman"/>
                <w:color w:val="000000"/>
                <w:sz w:val="21"/>
              </w:rPr>
              <w:t>R09 Jiang et al. (2024)</w:t>
            </w:r>
          </w:p>
        </w:tc>
        <w:tc>
          <w:tcPr>
            <w:tcW w:w="4195" w:type="dxa"/>
            <w:vAlign w:val="center"/>
          </w:tcPr>
          <w:p w14:paraId="62CB8A35" w14:textId="77777777">
            <w:pPr>
              <w:spacing w:after="20" w:line="259" w:lineRule="auto"/>
              <w:ind w:firstLine="0"/>
            </w:pPr>
            <w:r>
              <w:rPr>
                <w:rFonts w:ascii="Times New Roman" w:hAnsi="Times New Roman" w:eastAsia="Times New Roman" w:cs="Times New Roman"/>
                <w:color w:val="000000"/>
                <w:sz w:val="21"/>
              </w:rPr>
              <w:t>Competição microbiana por fósforo</w:t>
            </w:r>
          </w:p>
        </w:tc>
        <w:tc>
          <w:tcPr>
            <w:tcW w:w="2324" w:type="dxa"/>
            <w:vAlign w:val="center"/>
          </w:tcPr>
          <w:p w14:paraId="3581FA35" w14:textId="77777777">
            <w:pPr>
              <w:spacing w:after="20" w:line="259" w:lineRule="auto"/>
              <w:ind w:firstLine="0"/>
            </w:pPr>
            <w:r>
              <w:rPr>
                <w:rFonts w:ascii="Times New Roman" w:hAnsi="Times New Roman" w:eastAsia="Times New Roman" w:cs="Times New Roman"/>
                <w:color w:val="000000"/>
                <w:sz w:val="21"/>
              </w:rPr>
              <w:t>PDF integral</w:t>
            </w:r>
          </w:p>
        </w:tc>
      </w:tr>
      <w:tr w14:paraId="0CF9D0DB" w14:textId="77777777">
        <w:trPr>
          <w:cantSplit/>
          <w:jc w:val="center"/>
        </w:trPr>
        <w:tc>
          <w:tcPr>
            <w:tcW w:w="2551" w:type="dxa"/>
            <w:vAlign w:val="center"/>
          </w:tcPr>
          <w:p w14:paraId="03ECCF96" w14:textId="77777777">
            <w:pPr>
              <w:spacing w:after="20" w:line="259" w:lineRule="auto"/>
              <w:ind w:firstLine="0"/>
            </w:pPr>
            <w:r>
              <w:rPr>
                <w:rFonts w:ascii="Times New Roman" w:hAnsi="Times New Roman" w:eastAsia="Times New Roman" w:cs="Times New Roman"/>
                <w:color w:val="000000"/>
                <w:sz w:val="21"/>
              </w:rPr>
              <w:t>R10 Lieberman et al. (2025)</w:t>
            </w:r>
          </w:p>
        </w:tc>
        <w:tc>
          <w:tcPr>
            <w:tcW w:w="4195" w:type="dxa"/>
            <w:vAlign w:val="center"/>
          </w:tcPr>
          <w:p w14:paraId="2EE4708E" w14:textId="77777777">
            <w:pPr>
              <w:spacing w:after="20" w:line="259" w:lineRule="auto"/>
              <w:ind w:firstLine="0"/>
            </w:pPr>
            <w:r>
              <w:rPr>
                <w:rFonts w:ascii="Times New Roman" w:hAnsi="Times New Roman" w:eastAsia="Times New Roman" w:cs="Times New Roman"/>
                <w:color w:val="000000"/>
                <w:sz w:val="21"/>
              </w:rPr>
              <w:t>Proposição sobre fósforo e matéria orgânica mineral</w:t>
            </w:r>
          </w:p>
        </w:tc>
        <w:tc>
          <w:tcPr>
            <w:tcW w:w="2324" w:type="dxa"/>
            <w:vAlign w:val="center"/>
          </w:tcPr>
          <w:p w14:paraId="0CBEC0DF" w14:textId="77777777">
            <w:pPr>
              <w:spacing w:after="20" w:line="259" w:lineRule="auto"/>
              <w:ind w:firstLine="0"/>
            </w:pPr>
            <w:r>
              <w:rPr>
                <w:rFonts w:ascii="Times New Roman" w:hAnsi="Times New Roman" w:eastAsia="Times New Roman" w:cs="Times New Roman"/>
                <w:color w:val="000000"/>
                <w:sz w:val="21"/>
              </w:rPr>
              <w:t>texto integral em XML</w:t>
            </w:r>
          </w:p>
        </w:tc>
      </w:tr>
      <w:tr w14:paraId="509E2097" w14:textId="77777777">
        <w:trPr>
          <w:cantSplit/>
          <w:jc w:val="center"/>
        </w:trPr>
        <w:tc>
          <w:tcPr>
            <w:tcW w:w="2551" w:type="dxa"/>
            <w:vAlign w:val="center"/>
          </w:tcPr>
          <w:p w14:paraId="66CE0A9E" w14:textId="77777777">
            <w:pPr>
              <w:spacing w:after="20" w:line="259" w:lineRule="auto"/>
              <w:ind w:firstLine="0"/>
            </w:pPr>
            <w:r>
              <w:rPr>
                <w:rFonts w:ascii="Times New Roman" w:hAnsi="Times New Roman" w:eastAsia="Times New Roman" w:cs="Times New Roman"/>
                <w:color w:val="000000"/>
                <w:sz w:val="21"/>
              </w:rPr>
              <w:t>R11 Souza et al. (2023)</w:t>
            </w:r>
          </w:p>
        </w:tc>
        <w:tc>
          <w:tcPr>
            <w:tcW w:w="4195" w:type="dxa"/>
            <w:vAlign w:val="center"/>
          </w:tcPr>
          <w:p w14:paraId="097A3DEC" w14:textId="77777777">
            <w:pPr>
              <w:spacing w:after="20" w:line="259" w:lineRule="auto"/>
              <w:ind w:firstLine="0"/>
            </w:pPr>
            <w:r>
              <w:rPr>
                <w:rFonts w:ascii="Times New Roman" w:hAnsi="Times New Roman" w:eastAsia="Times New Roman" w:cs="Times New Roman"/>
                <w:color w:val="000000"/>
                <w:sz w:val="21"/>
              </w:rPr>
              <w:t>Escoamento e perda de solo em Pesqueira</w:t>
            </w:r>
          </w:p>
        </w:tc>
        <w:tc>
          <w:tcPr>
            <w:tcW w:w="2324" w:type="dxa"/>
            <w:vAlign w:val="center"/>
          </w:tcPr>
          <w:p w14:paraId="31A63724" w14:textId="77777777">
            <w:pPr>
              <w:spacing w:after="20" w:line="259" w:lineRule="auto"/>
              <w:ind w:firstLine="0"/>
            </w:pPr>
            <w:r>
              <w:rPr>
                <w:rFonts w:ascii="Times New Roman" w:hAnsi="Times New Roman" w:eastAsia="Times New Roman" w:cs="Times New Roman"/>
                <w:color w:val="000000"/>
                <w:sz w:val="21"/>
              </w:rPr>
              <w:t>PDF integral</w:t>
            </w:r>
          </w:p>
        </w:tc>
      </w:tr>
      <w:tr w14:paraId="1552C9D6" w14:textId="77777777">
        <w:trPr>
          <w:cantSplit/>
          <w:jc w:val="center"/>
        </w:trPr>
        <w:tc>
          <w:tcPr>
            <w:tcW w:w="2551" w:type="dxa"/>
            <w:vAlign w:val="center"/>
          </w:tcPr>
          <w:p w14:paraId="5D5529C1" w14:textId="77777777">
            <w:pPr>
              <w:spacing w:after="20" w:line="259" w:lineRule="auto"/>
              <w:ind w:firstLine="0"/>
            </w:pPr>
            <w:r>
              <w:rPr>
                <w:rFonts w:ascii="Times New Roman" w:hAnsi="Times New Roman" w:eastAsia="Times New Roman" w:cs="Times New Roman"/>
                <w:color w:val="000000"/>
                <w:sz w:val="21"/>
              </w:rPr>
              <w:t>R12 Medeiros et al. (2023)</w:t>
            </w:r>
          </w:p>
        </w:tc>
        <w:tc>
          <w:tcPr>
            <w:tcW w:w="4195" w:type="dxa"/>
            <w:vAlign w:val="center"/>
          </w:tcPr>
          <w:p w14:paraId="272FB658" w14:textId="77777777">
            <w:pPr>
              <w:spacing w:after="20" w:line="259" w:lineRule="auto"/>
              <w:ind w:firstLine="0"/>
            </w:pPr>
            <w:r>
              <w:rPr>
                <w:rFonts w:ascii="Times New Roman" w:hAnsi="Times New Roman" w:eastAsia="Times New Roman" w:cs="Times New Roman"/>
                <w:color w:val="000000"/>
                <w:sz w:val="21"/>
              </w:rPr>
              <w:t>Agregação e estoque em solos do semiárido</w:t>
            </w:r>
          </w:p>
        </w:tc>
        <w:tc>
          <w:tcPr>
            <w:tcW w:w="2324" w:type="dxa"/>
            <w:vAlign w:val="center"/>
          </w:tcPr>
          <w:p w14:paraId="6C7310A7" w14:textId="77777777">
            <w:pPr>
              <w:spacing w:after="20" w:line="259" w:lineRule="auto"/>
              <w:ind w:firstLine="0"/>
            </w:pPr>
            <w:r>
              <w:rPr>
                <w:rFonts w:ascii="Times New Roman" w:hAnsi="Times New Roman" w:eastAsia="Times New Roman" w:cs="Times New Roman"/>
                <w:color w:val="000000"/>
                <w:sz w:val="21"/>
              </w:rPr>
              <w:t>PDF integral</w:t>
            </w:r>
          </w:p>
        </w:tc>
      </w:tr>
      <w:tr w14:paraId="12C361D5" w14:textId="77777777">
        <w:trPr>
          <w:cantSplit/>
          <w:jc w:val="center"/>
        </w:trPr>
        <w:tc>
          <w:tcPr>
            <w:tcW w:w="2551" w:type="dxa"/>
            <w:vAlign w:val="center"/>
          </w:tcPr>
          <w:p w14:paraId="2415D143" w14:textId="77777777">
            <w:pPr>
              <w:spacing w:after="20" w:line="259" w:lineRule="auto"/>
              <w:ind w:firstLine="0"/>
            </w:pPr>
            <w:r>
              <w:rPr>
                <w:rFonts w:ascii="Times New Roman" w:hAnsi="Times New Roman" w:eastAsia="Times New Roman" w:cs="Times New Roman"/>
                <w:color w:val="000000"/>
                <w:sz w:val="21"/>
              </w:rPr>
              <w:t>R13 Vasconcelos et al. (2025)</w:t>
            </w:r>
          </w:p>
        </w:tc>
        <w:tc>
          <w:tcPr>
            <w:tcW w:w="4195" w:type="dxa"/>
            <w:vAlign w:val="center"/>
          </w:tcPr>
          <w:p w14:paraId="7409CBDB" w14:textId="77777777">
            <w:pPr>
              <w:spacing w:after="20" w:line="259" w:lineRule="auto"/>
              <w:ind w:firstLine="0"/>
            </w:pPr>
            <w:r>
              <w:rPr>
                <w:rFonts w:ascii="Times New Roman" w:hAnsi="Times New Roman" w:eastAsia="Times New Roman" w:cs="Times New Roman"/>
                <w:color w:val="000000"/>
                <w:sz w:val="21"/>
              </w:rPr>
              <w:t>Granulometria porosidade e biomassa</w:t>
            </w:r>
          </w:p>
        </w:tc>
        <w:tc>
          <w:tcPr>
            <w:tcW w:w="2324" w:type="dxa"/>
            <w:vAlign w:val="center"/>
          </w:tcPr>
          <w:p w14:paraId="36DE8C91" w14:textId="77777777">
            <w:pPr>
              <w:spacing w:after="20" w:line="259" w:lineRule="auto"/>
              <w:ind w:firstLine="0"/>
            </w:pPr>
            <w:r>
              <w:rPr>
                <w:rFonts w:ascii="Times New Roman" w:hAnsi="Times New Roman" w:eastAsia="Times New Roman" w:cs="Times New Roman"/>
                <w:color w:val="000000"/>
                <w:sz w:val="21"/>
              </w:rPr>
              <w:t>PDF integral</w:t>
            </w:r>
          </w:p>
        </w:tc>
      </w:tr>
      <w:tr w14:paraId="33864216" w14:textId="77777777">
        <w:trPr>
          <w:cantSplit/>
          <w:jc w:val="center"/>
        </w:trPr>
        <w:tc>
          <w:tcPr>
            <w:tcW w:w="2551" w:type="dxa"/>
            <w:vAlign w:val="center"/>
          </w:tcPr>
          <w:p w14:paraId="6C8CE2F8" w14:textId="77777777">
            <w:pPr>
              <w:spacing w:after="20" w:line="259" w:lineRule="auto"/>
              <w:ind w:firstLine="0"/>
            </w:pPr>
            <w:r>
              <w:rPr>
                <w:rFonts w:ascii="Times New Roman" w:hAnsi="Times New Roman" w:eastAsia="Times New Roman" w:cs="Times New Roman"/>
                <w:color w:val="000000"/>
                <w:sz w:val="21"/>
              </w:rPr>
              <w:t>R14 Macedo et al. (2023)</w:t>
            </w:r>
          </w:p>
        </w:tc>
        <w:tc>
          <w:tcPr>
            <w:tcW w:w="4195" w:type="dxa"/>
            <w:vAlign w:val="center"/>
          </w:tcPr>
          <w:p w14:paraId="73EC45F1" w14:textId="77777777">
            <w:pPr>
              <w:spacing w:after="20" w:line="259" w:lineRule="auto"/>
              <w:ind w:firstLine="0"/>
            </w:pPr>
            <w:r>
              <w:rPr>
                <w:rFonts w:ascii="Times New Roman" w:hAnsi="Times New Roman" w:eastAsia="Times New Roman" w:cs="Times New Roman"/>
                <w:color w:val="000000"/>
                <w:sz w:val="21"/>
              </w:rPr>
              <w:t>Bases CTC e contexto de degradação</w:t>
            </w:r>
          </w:p>
        </w:tc>
        <w:tc>
          <w:tcPr>
            <w:tcW w:w="2324" w:type="dxa"/>
            <w:vAlign w:val="center"/>
          </w:tcPr>
          <w:p w14:paraId="4A442683" w14:textId="77777777">
            <w:pPr>
              <w:spacing w:after="20" w:line="259" w:lineRule="auto"/>
              <w:ind w:firstLine="0"/>
            </w:pPr>
            <w:r>
              <w:rPr>
                <w:rFonts w:ascii="Times New Roman" w:hAnsi="Times New Roman" w:eastAsia="Times New Roman" w:cs="Times New Roman"/>
                <w:color w:val="000000"/>
                <w:sz w:val="21"/>
              </w:rPr>
              <w:t>PDF integral</w:t>
            </w:r>
          </w:p>
        </w:tc>
      </w:tr>
      <w:tr w14:paraId="63AF1157" w14:textId="77777777">
        <w:trPr>
          <w:cantSplit/>
          <w:jc w:val="center"/>
        </w:trPr>
        <w:tc>
          <w:tcPr>
            <w:tcW w:w="2551" w:type="dxa"/>
            <w:vAlign w:val="center"/>
          </w:tcPr>
          <w:p w14:paraId="40A21F4F" w14:textId="77777777">
            <w:pPr>
              <w:spacing w:after="20" w:line="259" w:lineRule="auto"/>
              <w:ind w:firstLine="0"/>
            </w:pPr>
            <w:r>
              <w:rPr>
                <w:rFonts w:ascii="Times New Roman" w:hAnsi="Times New Roman" w:eastAsia="Times New Roman" w:cs="Times New Roman"/>
                <w:color w:val="000000"/>
                <w:sz w:val="21"/>
              </w:rPr>
              <w:t>R15 Chuckran et al. (2025)</w:t>
            </w:r>
          </w:p>
        </w:tc>
        <w:tc>
          <w:tcPr>
            <w:tcW w:w="4195" w:type="dxa"/>
            <w:vAlign w:val="center"/>
          </w:tcPr>
          <w:p w14:paraId="2697E0F5" w14:textId="77777777">
            <w:pPr>
              <w:spacing w:after="20" w:line="259" w:lineRule="auto"/>
              <w:ind w:firstLine="0"/>
            </w:pPr>
            <w:r>
              <w:rPr>
                <w:rFonts w:ascii="Times New Roman" w:hAnsi="Times New Roman" w:eastAsia="Times New Roman" w:cs="Times New Roman"/>
                <w:color w:val="000000"/>
                <w:sz w:val="21"/>
              </w:rPr>
              <w:t>Transcritos e crescimento após reumedecimento</w:t>
            </w:r>
          </w:p>
        </w:tc>
        <w:tc>
          <w:tcPr>
            <w:tcW w:w="2324" w:type="dxa"/>
            <w:vAlign w:val="center"/>
          </w:tcPr>
          <w:p w14:paraId="2B9DE6E1" w14:textId="77777777">
            <w:pPr>
              <w:spacing w:after="20" w:line="259" w:lineRule="auto"/>
              <w:ind w:firstLine="0"/>
            </w:pPr>
            <w:r>
              <w:rPr>
                <w:rFonts w:ascii="Times New Roman" w:hAnsi="Times New Roman" w:eastAsia="Times New Roman" w:cs="Times New Roman"/>
                <w:color w:val="000000"/>
                <w:sz w:val="21"/>
              </w:rPr>
              <w:t>texto integral em XML</w:t>
            </w:r>
          </w:p>
        </w:tc>
      </w:tr>
      <w:tr w14:paraId="2921CA91" w14:textId="77777777">
        <w:trPr>
          <w:cantSplit/>
          <w:jc w:val="center"/>
        </w:trPr>
        <w:tc>
          <w:tcPr>
            <w:tcW w:w="2551" w:type="dxa"/>
            <w:vAlign w:val="center"/>
          </w:tcPr>
          <w:p w14:paraId="4E391B02" w14:textId="77777777">
            <w:pPr>
              <w:spacing w:after="20" w:line="259" w:lineRule="auto"/>
              <w:ind w:firstLine="0"/>
            </w:pPr>
            <w:r>
              <w:rPr>
                <w:rFonts w:ascii="Times New Roman" w:hAnsi="Times New Roman" w:eastAsia="Times New Roman" w:cs="Times New Roman"/>
                <w:color w:val="000000"/>
                <w:sz w:val="21"/>
              </w:rPr>
              <w:t>R16 Ayala-Ortiz et al. (2025)</w:t>
            </w:r>
          </w:p>
        </w:tc>
        <w:tc>
          <w:tcPr>
            <w:tcW w:w="4195" w:type="dxa"/>
            <w:vAlign w:val="center"/>
          </w:tcPr>
          <w:p w14:paraId="7FCE04D9" w14:textId="77777777">
            <w:pPr>
              <w:spacing w:after="20" w:line="259" w:lineRule="auto"/>
              <w:ind w:firstLine="0"/>
            </w:pPr>
            <w:r>
              <w:rPr>
                <w:rFonts w:ascii="Times New Roman" w:hAnsi="Times New Roman" w:eastAsia="Times New Roman" w:cs="Times New Roman"/>
                <w:color w:val="000000"/>
                <w:sz w:val="21"/>
              </w:rPr>
              <w:t>Diversidade composição e monções</w:t>
            </w:r>
          </w:p>
        </w:tc>
        <w:tc>
          <w:tcPr>
            <w:tcW w:w="2324" w:type="dxa"/>
            <w:vAlign w:val="center"/>
          </w:tcPr>
          <w:p w14:paraId="1D9CF2F8" w14:textId="77777777">
            <w:pPr>
              <w:spacing w:after="20" w:line="259" w:lineRule="auto"/>
              <w:ind w:firstLine="0"/>
            </w:pPr>
            <w:r>
              <w:rPr>
                <w:rFonts w:ascii="Times New Roman" w:hAnsi="Times New Roman" w:eastAsia="Times New Roman" w:cs="Times New Roman"/>
                <w:color w:val="000000"/>
                <w:sz w:val="21"/>
              </w:rPr>
              <w:t>PDF integral</w:t>
            </w:r>
          </w:p>
        </w:tc>
      </w:tr>
      <w:tr w14:paraId="4095A1A7" w14:textId="77777777">
        <w:trPr>
          <w:cantSplit/>
          <w:jc w:val="center"/>
        </w:trPr>
        <w:tc>
          <w:tcPr>
            <w:tcW w:w="2551" w:type="dxa"/>
            <w:vAlign w:val="center"/>
          </w:tcPr>
          <w:p w14:paraId="1064F88B" w14:textId="77777777">
            <w:pPr>
              <w:spacing w:after="20" w:line="259" w:lineRule="auto"/>
              <w:ind w:firstLine="0"/>
            </w:pPr>
            <w:r>
              <w:rPr>
                <w:rFonts w:ascii="Times New Roman" w:hAnsi="Times New Roman" w:eastAsia="Times New Roman" w:cs="Times New Roman"/>
                <w:color w:val="000000"/>
                <w:sz w:val="21"/>
              </w:rPr>
              <w:t>R17 Baethge et al. (2019)</w:t>
            </w:r>
          </w:p>
        </w:tc>
        <w:tc>
          <w:tcPr>
            <w:tcW w:w="4195" w:type="dxa"/>
            <w:vAlign w:val="center"/>
          </w:tcPr>
          <w:p w14:paraId="0C9F9423" w14:textId="77777777">
            <w:pPr>
              <w:spacing w:after="20" w:line="259" w:lineRule="auto"/>
              <w:ind w:firstLine="0"/>
            </w:pPr>
            <w:r>
              <w:rPr>
                <w:rFonts w:ascii="Times New Roman" w:hAnsi="Times New Roman" w:eastAsia="Times New Roman" w:cs="Times New Roman"/>
                <w:color w:val="000000"/>
                <w:sz w:val="21"/>
              </w:rPr>
              <w:t>Transparência de revisão narrativa</w:t>
            </w:r>
          </w:p>
        </w:tc>
        <w:tc>
          <w:tcPr>
            <w:tcW w:w="2324" w:type="dxa"/>
            <w:vAlign w:val="center"/>
          </w:tcPr>
          <w:p w14:paraId="6102B990" w14:textId="77777777">
            <w:pPr>
              <w:spacing w:after="20" w:line="259" w:lineRule="auto"/>
              <w:ind w:firstLine="0"/>
            </w:pPr>
            <w:r>
              <w:rPr>
                <w:rFonts w:ascii="Times New Roman" w:hAnsi="Times New Roman" w:eastAsia="Times New Roman" w:cs="Times New Roman"/>
                <w:color w:val="000000"/>
                <w:sz w:val="21"/>
              </w:rPr>
              <w:t>PDF integral</w:t>
            </w:r>
          </w:p>
        </w:tc>
      </w:tr>
      <w:tr w14:paraId="4095A1A7" w14:textId="77777777">
        <w:trPr>
          <w:cantSplit/>
          <w:jc w:val="center"/>
        </w:trPr>
        <w:tc>
          <w:tcPr>
            <w:tcW w:w="2551" w:type="dxa"/>
            <w:vAlign w:val="center"/>
          </w:tcPr>
          <w:p>
            <w:pPr>
              <w:keepNext w:val="0"/>
              <w:spacing w:before="0" w:after="60" w:line="252" w:lineRule="auto"/>
              <w:ind w:firstLine="0"/>
            </w:pPr>
            <w:r>
              <w:rPr>
                <w:rFonts w:ascii="Times New Roman" w:hAnsi="Times New Roman" w:eastAsia="Times New Roman" w:cs="Times New Roman"/>
                <w:color w:val="000000"/>
                <w:sz w:val="21"/>
              </w:rPr>
              <w:t>R18 Costa et al. (2024; Scientific Reports)</w:t>
            </w:r>
          </w:p>
        </w:tc>
        <w:tc>
          <w:tcPr>
            <w:tcW w:w="4195" w:type="dxa"/>
            <w:vAlign w:val="center"/>
          </w:tcPr>
          <w:p>
            <w:pPr>
              <w:keepNext w:val="0"/>
              <w:spacing w:before="0" w:after="60" w:line="252" w:lineRule="auto"/>
              <w:ind w:firstLine="0"/>
            </w:pPr>
            <w:r>
              <w:rPr>
                <w:rFonts w:ascii="Times New Roman" w:hAnsi="Times New Roman" w:eastAsia="Times New Roman" w:cs="Times New Roman"/>
                <w:color w:val="000000"/>
                <w:sz w:val="21"/>
              </w:rPr>
              <w:t>Fertilidade composição e diversidade bacteriana por 16S</w:t>
            </w:r>
          </w:p>
        </w:tc>
        <w:tc>
          <w:tcPr>
            <w:tcW w:w="2324" w:type="dxa"/>
            <w:vAlign w:val="center"/>
          </w:tcPr>
          <w:p>
            <w:pPr>
              <w:keepNext w:val="0"/>
              <w:spacing w:before="0" w:after="60" w:line="252" w:lineRule="auto"/>
              <w:ind w:firstLine="0"/>
            </w:pPr>
            <w:r>
              <w:rPr>
                <w:rFonts w:ascii="Times New Roman" w:hAnsi="Times New Roman" w:eastAsia="Times New Roman" w:cs="Times New Roman"/>
                <w:color w:val="000000"/>
                <w:sz w:val="21"/>
              </w:rPr>
              <w:t>texto integral em XML</w:t>
            </w:r>
          </w:p>
        </w:tc>
      </w:tr>
      <w:tr w14:paraId="4095A1A7" w14:textId="77777777">
        <w:trPr>
          <w:cantSplit/>
          <w:jc w:val="center"/>
        </w:trPr>
        <w:tc>
          <w:tcPr>
            <w:tcW w:w="2551" w:type="dxa"/>
            <w:vAlign w:val="center"/>
          </w:tcPr>
          <w:p>
            <w:pPr>
              <w:keepNext w:val="0"/>
              <w:spacing w:before="0" w:after="60" w:line="252" w:lineRule="auto"/>
              <w:ind w:firstLine="0"/>
            </w:pPr>
            <w:r>
              <w:rPr>
                <w:rFonts w:ascii="Times New Roman" w:hAnsi="Times New Roman" w:eastAsia="Times New Roman" w:cs="Times New Roman"/>
                <w:color w:val="000000"/>
                <w:sz w:val="21"/>
              </w:rPr>
              <w:t>R19 Costa et al. (2022b; STOTEN)</w:t>
            </w:r>
          </w:p>
        </w:tc>
        <w:tc>
          <w:tcPr>
            <w:tcW w:w="4195" w:type="dxa"/>
            <w:vAlign w:val="center"/>
          </w:tcPr>
          <w:p>
            <w:pPr>
              <w:keepNext w:val="0"/>
              <w:spacing w:before="0" w:after="60" w:line="252" w:lineRule="auto"/>
              <w:ind w:firstLine="0"/>
            </w:pPr>
            <w:r>
              <w:rPr>
                <w:rFonts w:ascii="Times New Roman" w:hAnsi="Times New Roman" w:eastAsia="Times New Roman" w:cs="Times New Roman"/>
                <w:color w:val="000000"/>
                <w:sz w:val="21"/>
              </w:rPr>
              <w:t>Discordâncias entre COT CBM diversidade e enzimas</w:t>
            </w:r>
          </w:p>
        </w:tc>
        <w:tc>
          <w:tcPr>
            <w:tcW w:w="2324" w:type="dxa"/>
            <w:vAlign w:val="center"/>
          </w:tcPr>
          <w:p>
            <w:pPr>
              <w:keepNext w:val="0"/>
              <w:spacing w:before="0" w:after="60" w:line="252" w:lineRule="auto"/>
              <w:ind w:firstLine="0"/>
            </w:pPr>
            <w:r>
              <w:rPr>
                <w:rFonts w:ascii="Times New Roman" w:hAnsi="Times New Roman" w:eastAsia="Times New Roman" w:cs="Times New Roman"/>
                <w:color w:val="000000"/>
                <w:sz w:val="21"/>
              </w:rPr>
              <w:t>PDF integral fornecido pelo autor</w:t>
            </w:r>
          </w:p>
        </w:tc>
      </w:tr>
      <w:tr w14:paraId="4095A1A7" w14:textId="77777777">
        <w:trPr>
          <w:cantSplit/>
          <w:jc w:val="center"/>
        </w:trPr>
        <w:tc>
          <w:tcPr>
            <w:tcW w:w="2551" w:type="dxa"/>
            <w:vAlign w:val="center"/>
          </w:tcPr>
          <w:p>
            <w:pPr>
              <w:keepNext w:val="0"/>
              <w:spacing w:before="0" w:after="60" w:line="252" w:lineRule="auto"/>
              <w:ind w:firstLine="0"/>
            </w:pPr>
            <w:r>
              <w:rPr>
                <w:rFonts w:ascii="Times New Roman" w:hAnsi="Times New Roman" w:eastAsia="Times New Roman" w:cs="Times New Roman"/>
                <w:color w:val="000000"/>
                <w:sz w:val="21"/>
              </w:rPr>
              <w:t>R20 Costa et al. (2022a; Data in Brief)</w:t>
            </w:r>
          </w:p>
        </w:tc>
        <w:tc>
          <w:tcPr>
            <w:tcW w:w="4195" w:type="dxa"/>
            <w:vAlign w:val="center"/>
          </w:tcPr>
          <w:p>
            <w:pPr>
              <w:keepNext w:val="0"/>
              <w:spacing w:before="0" w:after="60" w:line="252" w:lineRule="auto"/>
              <w:ind w:firstLine="0"/>
            </w:pPr>
            <w:r>
              <w:rPr>
                <w:rFonts w:ascii="Times New Roman" w:hAnsi="Times New Roman" w:eastAsia="Times New Roman" w:cs="Times New Roman"/>
                <w:color w:val="000000"/>
                <w:sz w:val="21"/>
              </w:rPr>
              <w:t>Dados métodos resultados nulos e planilha da coleta de R19</w:t>
            </w:r>
          </w:p>
        </w:tc>
        <w:tc>
          <w:tcPr>
            <w:tcW w:w="2324" w:type="dxa"/>
            <w:vAlign w:val="center"/>
          </w:tcPr>
          <w:p>
            <w:pPr>
              <w:keepNext w:val="0"/>
              <w:spacing w:before="0" w:after="60" w:line="252" w:lineRule="auto"/>
              <w:ind w:firstLine="0"/>
            </w:pPr>
            <w:r>
              <w:rPr>
                <w:rFonts w:ascii="Times New Roman" w:hAnsi="Times New Roman" w:eastAsia="Times New Roman" w:cs="Times New Roman"/>
                <w:color w:val="000000"/>
                <w:sz w:val="21"/>
              </w:rPr>
              <w:t>texto integral em XML e planilha original V4</w:t>
            </w:r>
          </w:p>
        </w:tc>
      </w:tr>
    </w:tbl>
    <w:p w14:paraId="4767636D" w14:textId="77777777">
      <w:pPr>
        <w:spacing w:after="60" w:line="60" w:lineRule="exact"/>
        <w:ind w:firstLine="0"/>
      </w:pPr>
    </w:p>
    <w:p w14:paraId="645E2BAE" w14:textId="77777777">
      <w:pPr>
        <w:pStyle w:val="Ttulo1"/>
        <w:spacing w:before="360" w:beforeAutospacing="0"/>
        <w:keepNext/>
      </w:pPr>
      <w:r>
        <w:rPr>
          <w:rFonts w:ascii="Times New Roman" w:hAnsi="Times New Roman" w:eastAsia="Times New Roman" w:cs="Times New Roman"/>
          <w:color w:val="000000"/>
        </w:rPr>
        <w:t>8. Conferência das referências e alcance da leitura</w:t>
      </w:r>
    </w:p>
    <w:p w14:paraId="0BBE9F4F" w14:textId="77777777">
      <w:pPr>
        <w:ind w:firstLine="709"/>
        <w:jc w:val="both"/>
      </w:pPr>
      <w:r>
        <w:rPr>
          <w:rFonts w:ascii="Times New Roman" w:hAnsi="Times New Roman" w:eastAsia="Times New Roman" w:cs="Times New Roman"/>
          <w:color w:val="000000"/>
        </w:rPr>
        <w:t>As 20 referências de artigos deste direcionamento tiveram DOI, título, autoria, ano, periódico e identificação editorial confrontados com registros primários/Crossref. A atualização acrescentou R18–R20, todos com 11 autores, preservando sua ordem. O ano editorial de R19 é 2022, embora a publicação antecipada seja de 2021. Os dois artigos de 2022 com a mesma autoria foram diferenciados pela ordem alfabética dos títulos: Dataset (2022a; R20) e Forest-to-pasture (2022b; R19). O primeiro autor aparece nos registros como Costa e Paes da Costa; adotou-se Costa, D. P., de modo consistente e compatível com a identificação no PDF. Essa conferência confirma existência e correspondência bibliográfica; não certifica automaticamente todos os resultados.</w:t>
      </w:r>
    </w:p>
    <w:p w14:paraId="2AF25F29" w14:textId="77777777">
      <w:pPr>
        <w:ind w:firstLine="709"/>
        <w:jc w:val="both"/>
      </w:pPr>
      <w:r>
        <w:rPr>
          <w:rFonts w:ascii="Times New Roman" w:hAnsi="Times New Roman" w:eastAsia="Times New Roman" w:cs="Times New Roman"/>
          <w:color w:val="000000"/>
        </w:rPr>
        <w:t>A auditoria científica utilizou os trechos de métodos e resultados pertinentes às relações descritas. R13 foi incorporada principalmente pelo protocolo físico e pelas medidas conjuntas; R14, pelas relações químicas conferíveis da tabela 2. R10 é opinião conceitual, R08 é síntese com modelagem e R17 é referência metodológica. A íntegra recém-arquivada de um trabalho não amplia retrospectivamente o alcance da análise já registrada. As referências originais dos alunos que não aparecem abaixo ainda exigem conferência própria; não estão validadas em bloco.</w:t>
      </w:r>
    </w:p>
    <w:p w14:paraId="2F3969FC" w14:textId="77777777">
      <w:pPr>
        <w:ind w:firstLine="709"/>
        <w:jc w:val="both"/>
      </w:pPr>
      <w:r>
        <w:rPr>
          <w:rFonts w:ascii="Times New Roman" w:hAnsi="Times New Roman" w:eastAsia="Times New Roman" w:cs="Times New Roman"/>
          <w:color w:val="000000"/>
        </w:rPr>
        <w:t>As limitações que afetam a síntese acompanham as citações: possível dependência dos artigos de Irauçuba; nomenclatura de fosfatase em R06; quociente metabólico em R14; aparente incompatibilidade entre constante de decaimento e meia-vida em R01; divergências taxonômicas e dos sinais da rede em R19; métricas de complexidade e limiar SparCC em R18; e diferenças de escala e descrição amostral em R20. Conferir as passagens na fonte antes de reutilizá-las. R19/R20 não serão contados como replicações independentes. A validação de uma referência e a avaliação crítica de um artigo permanecem etapas distintas.</w:t>
      </w:r>
    </w:p>
    <w:p w14:paraId="48A3A3F7" w14:textId="77777777">
      <w:pPr>
        <w:pStyle w:val="Ttulo2"/>
        <w:spacing w:before="360" w:beforeAutospacing="0"/>
        <w:keepNext/>
      </w:pPr>
      <w:r>
        <w:rPr>
          <w:rFonts w:ascii="Times New Roman" w:hAnsi="Times New Roman" w:eastAsia="Times New Roman" w:cs="Times New Roman"/>
          <w:color w:val="000000"/>
        </w:rPr>
        <w:t>8.1. Referências verificadas</w:t>
      </w:r>
    </w:p>
    <w:p w14:paraId="48D61625" w14:textId="0C60B0B0">
      <w:pPr>
        <w:keepLines/>
        <w:spacing w:after="160" w:line="264" w:lineRule="auto"/>
      </w:pPr>
      <w:r>
        <w:rPr>
          <w:rFonts w:ascii="Times New Roman" w:hAnsi="Times New Roman"/>
          <w:color w:val="000000"/>
          <w:sz w:val="21"/>
        </w:rPr>
        <w:t xml:space="preserve">R01  Souza, P. A. S., Fracetto, F. J. C., Oliveira, A. S., Ferreira, J. S., Ferrão, N. G. M., Menezes, R. S. C., Sampaio, E. V. S. B., Fernandes Júnior, P. I., &amp; Freitas, A. D. S. (2025). Microbial biomass, carbon and nitrogen stocks across land uses and soil types in the Brazilian tropical dry forest region. </w:t>
      </w:r>
      <w:r>
        <w:rPr>
          <w:rFonts w:ascii="Times New Roman" w:hAnsi="Times New Roman"/>
          <w:i/>
          <w:color w:val="000000"/>
          <w:sz w:val="21"/>
        </w:rPr>
        <w:t>Journal of Arid Environments, 229</w:t>
      </w:r>
      <w:r>
        <w:rPr>
          <w:rFonts w:ascii="Times New Roman" w:hAnsi="Times New Roman"/>
          <w:color w:val="000000"/>
          <w:sz w:val="21"/>
        </w:rPr>
        <w:t>, 105401. https://doi.org/10.1016/j.jaridenv.2025.105401</w:t>
      </w:r>
    </w:p>
    <w:p w14:paraId="581C53FE" w14:textId="2E11F5A8">
      <w:pPr>
        <w:keepLines/>
        <w:spacing w:after="160" w:line="264" w:lineRule="auto"/>
      </w:pPr>
      <w:r>
        <w:rPr>
          <w:rFonts w:ascii="Times New Roman" w:hAnsi="Times New Roman"/>
          <w:color w:val="000000"/>
          <w:sz w:val="21"/>
        </w:rPr>
        <w:t xml:space="preserve">R02  Silva, D. F., Araujo, A. S. F., Lima, A. Y. V., Mota, J. C. A., Nascimento, Í. V., Queiroz, A. S., Medeiros, E. V., Costa, D. P., Melo, V. M. M., Cardoso, E. J. B. N., Verma, J. P., Smith, G. R., Mendes, L. W., &amp; Pereira, A. P. A. (2024). Enzymatic stoichiometry in degraded soils after two decades of restoration in a Brazilian semiarid region. </w:t>
      </w:r>
      <w:r>
        <w:rPr>
          <w:rFonts w:ascii="Times New Roman" w:hAnsi="Times New Roman"/>
          <w:i/>
          <w:color w:val="000000"/>
          <w:sz w:val="21"/>
        </w:rPr>
        <w:t>CATENA, 236</w:t>
      </w:r>
      <w:r>
        <w:rPr>
          <w:rFonts w:ascii="Times New Roman" w:hAnsi="Times New Roman"/>
          <w:color w:val="000000"/>
          <w:sz w:val="21"/>
        </w:rPr>
        <w:t>, 107768. https://doi.org/10.1016/j.catena.2023.107768</w:t>
      </w:r>
    </w:p>
    <w:p w14:paraId="51CF2D36" w14:textId="54169C1E">
      <w:pPr>
        <w:keepLines/>
        <w:spacing w:after="160" w:line="264" w:lineRule="auto"/>
      </w:pPr>
      <w:r>
        <w:rPr>
          <w:rFonts w:ascii="Times New Roman" w:hAnsi="Times New Roman"/>
          <w:color w:val="000000"/>
          <w:sz w:val="21"/>
        </w:rPr>
        <w:t xml:space="preserve">R03  Primo, A. A., Lustosa Filho, J. F., Marota, H. B., Tonucci, R. G., Silva, I. R., &amp; Oliveira, T. S. (2024). Different composition of plant residues as a driver of microbial community structure and soil organic matter composition: A microcosm study. </w:t>
      </w:r>
      <w:r>
        <w:rPr>
          <w:rFonts w:ascii="Times New Roman" w:hAnsi="Times New Roman"/>
          <w:i/>
          <w:color w:val="000000"/>
          <w:sz w:val="21"/>
        </w:rPr>
        <w:t>Pedobiologia, 106</w:t>
      </w:r>
      <w:r>
        <w:rPr>
          <w:rFonts w:ascii="Times New Roman" w:hAnsi="Times New Roman"/>
          <w:color w:val="000000"/>
          <w:sz w:val="21"/>
        </w:rPr>
        <w:t>, 150985. https://doi.org/10.1016/j.pedobi.2024.150985</w:t>
      </w:r>
    </w:p>
    <w:p w14:paraId="140646B6" w14:textId="1E3931ED">
      <w:pPr>
        <w:keepLines/>
        <w:spacing w:after="160" w:line="264" w:lineRule="auto"/>
      </w:pPr>
      <w:r>
        <w:rPr>
          <w:rFonts w:ascii="Times New Roman" w:hAnsi="Times New Roman"/>
          <w:color w:val="000000"/>
          <w:sz w:val="21"/>
        </w:rPr>
        <w:t xml:space="preserve">R04  Wanke, D. J., Nkebiwe, P. M., Günther, J., Reusser, J. E., Hartmann, T. E., Yang, H., Zhang, W., Chen, X., &amp; Müller, T. (2024). Identification and quantification of phosphate turnover indicators after long-term compost application – long-term and single season effects. </w:t>
      </w:r>
      <w:r>
        <w:rPr>
          <w:rFonts w:ascii="Times New Roman" w:hAnsi="Times New Roman"/>
          <w:i/>
          <w:color w:val="000000"/>
          <w:sz w:val="21"/>
        </w:rPr>
        <w:t>Plant and Soil, 504</w:t>
      </w:r>
      <w:r>
        <w:rPr>
          <w:rFonts w:ascii="Times New Roman" w:hAnsi="Times New Roman"/>
          <w:color w:val="000000"/>
          <w:sz w:val="21"/>
        </w:rPr>
        <w:t>, 289–306. https://doi.org/10.1007/s11104-024-06620-y</w:t>
      </w:r>
    </w:p>
    <w:p w14:paraId="4FD382A4" w14:textId="2652CAAD">
      <w:pPr>
        <w:keepLines/>
        <w:spacing w:after="160" w:line="264" w:lineRule="auto"/>
      </w:pPr>
      <w:r>
        <w:rPr>
          <w:rFonts w:ascii="Times New Roman" w:hAnsi="Times New Roman"/>
          <w:color w:val="000000"/>
          <w:sz w:val="21"/>
        </w:rPr>
        <w:t xml:space="preserve">R05  Canarini, A., Fuchslueger, L., Schnecker, J., Metze, D., Nelson, D. B., Kahmen, A., Watzka, M., Pötsch, E. M., Schaumberger, A., Bahn, M., &amp; Richter, A. (2024). Soil fungi remain active and invest in storage compounds during drought independent of future climate conditions. </w:t>
      </w:r>
      <w:r>
        <w:rPr>
          <w:rFonts w:ascii="Times New Roman" w:hAnsi="Times New Roman"/>
          <w:i/>
          <w:color w:val="000000"/>
          <w:sz w:val="21"/>
        </w:rPr>
        <w:t>Nature Communications, 15</w:t>
      </w:r>
      <w:r>
        <w:rPr>
          <w:rFonts w:ascii="Times New Roman" w:hAnsi="Times New Roman"/>
          <w:color w:val="000000"/>
          <w:sz w:val="21"/>
        </w:rPr>
        <w:t>, 10410. https://doi.org/10.1038/s41467-024-54537-y</w:t>
      </w:r>
    </w:p>
    <w:p w14:paraId="0047B535" w14:textId="21572C91">
      <w:pPr>
        <w:keepLines/>
        <w:spacing w:after="160" w:line="264" w:lineRule="auto"/>
      </w:pPr>
      <w:r>
        <w:rPr>
          <w:rFonts w:ascii="Times New Roman" w:hAnsi="Times New Roman"/>
          <w:color w:val="000000"/>
          <w:sz w:val="21"/>
        </w:rPr>
        <w:t xml:space="preserve">R06  Silva, D. F., Rodrigues, J. L. M., Erikson, C., Silva, A. M. M., Huang, L., Araujo, V. L. V. P., Matteoli, F. P., Mendes, L. W., Araujo, A. S. F., Pereira, A. P. A., Melo, V. M. M., &amp; Cardoso, E. J. B. N. (2024). Grazing exclusion-induced changes in soil fungal communities in a highly desertified Brazilian dryland. </w:t>
      </w:r>
      <w:r>
        <w:rPr>
          <w:rFonts w:ascii="Times New Roman" w:hAnsi="Times New Roman"/>
          <w:i/>
          <w:color w:val="000000"/>
          <w:sz w:val="21"/>
        </w:rPr>
        <w:t>Microbiological Research, 285</w:t>
      </w:r>
      <w:r>
        <w:rPr>
          <w:rFonts w:ascii="Times New Roman" w:hAnsi="Times New Roman"/>
          <w:color w:val="000000"/>
          <w:sz w:val="21"/>
        </w:rPr>
        <w:t>, 127763. https://doi.org/10.1016/j.micres.2024.127763</w:t>
      </w:r>
    </w:p>
    <w:p w14:paraId="59FF6DBF" w14:textId="71A21725">
      <w:pPr>
        <w:keepLines/>
        <w:spacing w:after="160" w:line="264" w:lineRule="auto"/>
      </w:pPr>
      <w:r>
        <w:rPr>
          <w:rFonts w:ascii="Times New Roman" w:hAnsi="Times New Roman"/>
          <w:color w:val="000000"/>
          <w:sz w:val="21"/>
        </w:rPr>
        <w:t xml:space="preserve">R07  Silva, D. F., Cardoso, E. J. B. N., Huang, L., Erikson, C., Silva, A. M. M., Araujo, V. L. V. P., Silva, D. E. O., Melo, V. M. M., Araujo, A. S. F., Pereira, A. P. A., &amp; Rodrigues, J. L. M. (2024). Functional genes related to N and P cycling in degraded and restored areas from Brazilian drylands. </w:t>
      </w:r>
      <w:r>
        <w:rPr>
          <w:rFonts w:ascii="Times New Roman" w:hAnsi="Times New Roman"/>
          <w:i/>
          <w:color w:val="000000"/>
          <w:sz w:val="21"/>
        </w:rPr>
        <w:t>Applied Soil Ecology, 196</w:t>
      </w:r>
      <w:r>
        <w:rPr>
          <w:rFonts w:ascii="Times New Roman" w:hAnsi="Times New Roman"/>
          <w:color w:val="000000"/>
          <w:sz w:val="21"/>
        </w:rPr>
        <w:t>, 105316. https://doi.org/10.1016/j.apsoil.2024.105316</w:t>
      </w:r>
    </w:p>
    <w:p w14:paraId="37221AC5" w14:textId="3C9DE6E1">
      <w:pPr>
        <w:keepLines/>
        <w:spacing w:after="160" w:line="264" w:lineRule="auto"/>
      </w:pPr>
      <w:r>
        <w:rPr>
          <w:rFonts w:ascii="Times New Roman" w:hAnsi="Times New Roman"/>
          <w:color w:val="000000"/>
          <w:sz w:val="21"/>
        </w:rPr>
        <w:t xml:space="preserve">R08  Tao, F., Huang, Y., Hungate, B. A., Manzoni, S., Frey, S. D., Schmidt, M. W. I., Reichstein, M., Carvalhais, N., Ciais, P., Jiang, L., Lehmann, J., Wang, Y.-P., Houlton, B. Z., Ahrens, B., Mishra, U., Hugelius, G., Hocking, T. D., Lu, X., Shi, Z., … Luo, Y. (2023). Microbial carbon use efficiency promotes global soil carbon storage. </w:t>
      </w:r>
      <w:r>
        <w:rPr>
          <w:rFonts w:ascii="Times New Roman" w:hAnsi="Times New Roman"/>
          <w:i/>
          <w:color w:val="000000"/>
          <w:sz w:val="21"/>
        </w:rPr>
        <w:t>Nature, 618</w:t>
      </w:r>
      <w:r>
        <w:rPr>
          <w:rFonts w:ascii="Times New Roman" w:hAnsi="Times New Roman"/>
          <w:color w:val="000000"/>
          <w:sz w:val="21"/>
        </w:rPr>
        <w:t>, 981–985. https://doi.org/10.1038/s41586-023-06042-3</w:t>
      </w:r>
    </w:p>
    <w:p w14:paraId="3269CC63" w14:textId="2A18F9E7">
      <w:pPr>
        <w:keepLines/>
        <w:spacing w:after="160" w:line="264" w:lineRule="auto"/>
      </w:pPr>
      <w:r>
        <w:rPr>
          <w:rFonts w:ascii="Times New Roman" w:hAnsi="Times New Roman"/>
          <w:color w:val="000000"/>
          <w:sz w:val="21"/>
        </w:rPr>
        <w:t xml:space="preserve">R09  Jiang, M., Crous, K. Y., Carrillo, Y., Macdonald, C. A., Anderson, I. C., Boer, M. M., Farrell, M., Gherlenda, A. N., Castañeda-Gómez, L., Hasegawa, S., Jarosch, K., Milham, P. J., Ochoa-Hueso, R., Pathare, V., Pihlblad, J., Piñeiro, J., Powell, J. R., Power, S. A., Reich, P. B., … Ellsworth, D. S. (2024). Microbial competition for phosphorus limits the CO2 response of a mature forest. </w:t>
      </w:r>
      <w:r>
        <w:rPr>
          <w:rFonts w:ascii="Times New Roman" w:hAnsi="Times New Roman"/>
          <w:i/>
          <w:color w:val="000000"/>
          <w:sz w:val="21"/>
        </w:rPr>
        <w:t>Nature, 630</w:t>
      </w:r>
      <w:r>
        <w:rPr>
          <w:rFonts w:ascii="Times New Roman" w:hAnsi="Times New Roman"/>
          <w:color w:val="000000"/>
          <w:sz w:val="21"/>
        </w:rPr>
        <w:t>, 660–665. https://doi.org/10.1038/s41586-024-07491-0</w:t>
      </w:r>
    </w:p>
    <w:p w14:paraId="1FD2BD1F" w14:textId="4AED26DF">
      <w:pPr>
        <w:keepLines/>
        <w:spacing w:after="160" w:line="264" w:lineRule="auto"/>
      </w:pPr>
      <w:r>
        <w:rPr>
          <w:rFonts w:ascii="Times New Roman" w:hAnsi="Times New Roman"/>
          <w:color w:val="000000"/>
          <w:sz w:val="21"/>
        </w:rPr>
        <w:t xml:space="preserve">R10  Lieberman, H. P., von Sperber, C., &amp; Kallenbach, C. M. (2025). Soil Phosphorus Dynamics are an Overlooked but Dominant Control on Mineral-Associated Organic Matter. </w:t>
      </w:r>
      <w:r>
        <w:rPr>
          <w:rFonts w:ascii="Times New Roman" w:hAnsi="Times New Roman"/>
          <w:i/>
          <w:color w:val="000000"/>
          <w:sz w:val="21"/>
        </w:rPr>
        <w:t>Global Change Biology, 31</w:t>
      </w:r>
      <w:r>
        <w:rPr>
          <w:rFonts w:ascii="Times New Roman" w:hAnsi="Times New Roman"/>
          <w:color w:val="000000"/>
          <w:sz w:val="21"/>
        </w:rPr>
        <w:t>, e70307. https://doi.org/10.1111/gcb.70307</w:t>
      </w:r>
    </w:p>
    <w:p w14:paraId="72AE08DA" w14:textId="1FA220D9">
      <w:pPr>
        <w:keepLines/>
        <w:spacing w:after="160" w:line="264" w:lineRule="auto"/>
      </w:pPr>
      <w:r>
        <w:rPr>
          <w:rFonts w:ascii="Times New Roman" w:hAnsi="Times New Roman"/>
          <w:color w:val="000000"/>
          <w:sz w:val="21"/>
        </w:rPr>
        <w:t xml:space="preserve">R11  Souza, T. E. M. S., Souza, E. R., Montenegro, A. A. A., &amp; Bayabil, H. (2023). Could forage palm and stone barrier be as effective as native vegetation in controlling runoff and erosion in the Brazilian semiarid region? </w:t>
      </w:r>
      <w:r>
        <w:rPr>
          <w:rFonts w:ascii="Times New Roman" w:hAnsi="Times New Roman"/>
          <w:i/>
          <w:color w:val="000000"/>
          <w:sz w:val="21"/>
        </w:rPr>
        <w:t>Agronomy, 13</w:t>
      </w:r>
      <w:r>
        <w:rPr>
          <w:rFonts w:ascii="Times New Roman" w:hAnsi="Times New Roman"/>
          <w:color w:val="000000"/>
          <w:sz w:val="21"/>
        </w:rPr>
        <w:t>(12), 3026. https://doi.org/10.3390/agronomy13123026</w:t>
      </w:r>
    </w:p>
    <w:p w14:paraId="1996950C" w14:textId="1B170579">
      <w:pPr>
        <w:keepLines/>
        <w:spacing w:after="160" w:line="264" w:lineRule="auto"/>
      </w:pPr>
      <w:r>
        <w:rPr>
          <w:rFonts w:ascii="Times New Roman" w:hAnsi="Times New Roman"/>
          <w:color w:val="000000"/>
          <w:sz w:val="21"/>
        </w:rPr>
        <w:t xml:space="preserve">R12  Medeiros, A. S., Gonzaga, G. B. M., Silva, T. S., Barreto, B. S., Santos, T. C., Melo, P. L. A., Gomes, T. C. A., &amp; Maia, S. M. F. (2023). Changes in soil organic carbon and soil aggregation due to deforestation for smallholder management in the Brazilian semi-arid region. </w:t>
      </w:r>
      <w:r>
        <w:rPr>
          <w:rFonts w:ascii="Times New Roman" w:hAnsi="Times New Roman"/>
          <w:i/>
          <w:color w:val="000000"/>
          <w:sz w:val="21"/>
        </w:rPr>
        <w:t>Geoderma Regional, 33</w:t>
      </w:r>
      <w:r>
        <w:rPr>
          <w:rFonts w:ascii="Times New Roman" w:hAnsi="Times New Roman"/>
          <w:color w:val="000000"/>
          <w:sz w:val="21"/>
        </w:rPr>
        <w:t>, e00647. https://doi.org/10.1016/j.geodrs.2023.e00647</w:t>
      </w:r>
    </w:p>
    <w:p w14:paraId="40E0BEF5" w14:textId="0B675752">
      <w:pPr>
        <w:keepLines/>
        <w:spacing w:after="160" w:line="264" w:lineRule="auto"/>
      </w:pPr>
      <w:r>
        <w:rPr>
          <w:rFonts w:ascii="Times New Roman" w:hAnsi="Times New Roman"/>
          <w:color w:val="000000"/>
          <w:sz w:val="21"/>
        </w:rPr>
        <w:t xml:space="preserve">R13  Vasconcelos, G. X. de M., Portela, J. C., Gondim, J. E. F., Xavier, A. L. V. de S., Bandeira, D. J. da C., &amp; Gomes, D. V. de O. (2025). Organic fractions, microbial biomass carbon, and their interrelationships with structural attributes in different land uses. </w:t>
      </w:r>
      <w:r>
        <w:rPr>
          <w:rFonts w:ascii="Times New Roman" w:hAnsi="Times New Roman"/>
          <w:i/>
          <w:color w:val="000000"/>
          <w:sz w:val="21"/>
        </w:rPr>
        <w:t>Engenharia Agrícola, 45</w:t>
      </w:r>
      <w:r>
        <w:rPr>
          <w:rFonts w:ascii="Times New Roman" w:hAnsi="Times New Roman"/>
          <w:color w:val="000000"/>
          <w:sz w:val="21"/>
        </w:rPr>
        <w:t>(spe1), e20240189. https://doi.org/10.1590/1809-4430-Eng.Agric.v45nespe120240189/2025</w:t>
      </w:r>
    </w:p>
    <w:p w14:paraId="090A8F6E" w14:textId="543096AE">
      <w:pPr>
        <w:keepLines/>
        <w:spacing w:after="160" w:line="264" w:lineRule="auto"/>
      </w:pPr>
      <w:r>
        <w:rPr>
          <w:rFonts w:ascii="Times New Roman" w:hAnsi="Times New Roman"/>
          <w:color w:val="000000"/>
          <w:sz w:val="21"/>
        </w:rPr>
        <w:t xml:space="preserve">R14  Macedo, R. S., Moro, L., Lambais, É. O., Lambais, G. R., &amp; de Bakker, A. P. (2023). Effects of degradation on soil attributes under Caatinga in the Brazilian semi-arid. </w:t>
      </w:r>
      <w:r>
        <w:rPr>
          <w:rFonts w:ascii="Times New Roman" w:hAnsi="Times New Roman"/>
          <w:i/>
          <w:color w:val="000000"/>
          <w:sz w:val="21"/>
        </w:rPr>
        <w:t>Revista Árvore, 47</w:t>
      </w:r>
      <w:r>
        <w:rPr>
          <w:rFonts w:ascii="Times New Roman" w:hAnsi="Times New Roman"/>
          <w:color w:val="000000"/>
          <w:sz w:val="21"/>
        </w:rPr>
        <w:t>, e4702. https://doi.org/10.1590/1806-908820230000002</w:t>
      </w:r>
    </w:p>
    <w:p w14:paraId="752D1AF1" w14:textId="2438CCE5">
      <w:pPr>
        <w:keepLines/>
        <w:spacing w:after="160" w:line="264" w:lineRule="auto"/>
      </w:pPr>
      <w:r>
        <w:rPr>
          <w:rFonts w:ascii="Times New Roman" w:hAnsi="Times New Roman"/>
          <w:color w:val="000000"/>
          <w:sz w:val="21"/>
        </w:rPr>
        <w:t xml:space="preserve">R15  Chuckran, P. F., Estera-Molina, K., Nicolas, A. M., Sieradzki, E. T., Dijkstra, P., Firestone, M. K., Pett-Ridge, J., &amp; Blazewicz, S. J. (2025). Codon bias, nucleotide selection, and genome size predict in situ bacterial growth rate and transcription in rewetted soil. </w:t>
      </w:r>
      <w:r>
        <w:rPr>
          <w:rFonts w:ascii="Times New Roman" w:hAnsi="Times New Roman"/>
          <w:i/>
          <w:color w:val="000000"/>
          <w:sz w:val="21"/>
        </w:rPr>
        <w:t>Proceedings of the National Academy of Sciences, 122</w:t>
      </w:r>
      <w:r>
        <w:rPr>
          <w:rFonts w:ascii="Times New Roman" w:hAnsi="Times New Roman"/>
          <w:color w:val="000000"/>
          <w:sz w:val="21"/>
        </w:rPr>
        <w:t>(3), e2413032122. https://doi.org/10.1073/pnas.2413032122</w:t>
      </w:r>
    </w:p>
    <w:p w14:paraId="5E6F814A" w14:textId="0ABBFE24">
      <w:pPr>
        <w:keepLines/>
        <w:spacing w:after="160" w:line="264" w:lineRule="auto"/>
      </w:pPr>
      <w:r>
        <w:rPr>
          <w:rFonts w:ascii="Times New Roman" w:hAnsi="Times New Roman"/>
          <w:color w:val="000000"/>
          <w:sz w:val="21"/>
        </w:rPr>
        <w:t xml:space="preserve">R16  Ayala-Ortiz, C., Freire-Zapata, V., &amp; Tfaily, M. M. (2025). Stochastic assembly and metabolic network reorganization drive microbial resilience in arid soils. </w:t>
      </w:r>
      <w:r>
        <w:rPr>
          <w:rFonts w:ascii="Times New Roman" w:hAnsi="Times New Roman"/>
          <w:i/>
          <w:color w:val="000000"/>
          <w:sz w:val="21"/>
        </w:rPr>
        <w:t>Communications Earth &amp; Environment, 6</w:t>
      </w:r>
      <w:r>
        <w:rPr>
          <w:rFonts w:ascii="Times New Roman" w:hAnsi="Times New Roman"/>
          <w:color w:val="000000"/>
          <w:sz w:val="21"/>
        </w:rPr>
        <w:t>, 647. https://doi.org/10.1038/s43247-025-02637-y</w:t>
      </w:r>
    </w:p>
    <w:p w14:paraId="76BFE9E4" w14:textId="587115C2">
      <w:pPr>
        <w:keepLines/>
        <w:spacing w:after="160" w:line="264" w:lineRule="auto"/>
      </w:pPr>
      <w:r>
        <w:rPr>
          <w:rFonts w:ascii="Times New Roman" w:hAnsi="Times New Roman"/>
          <w:color w:val="000000"/>
          <w:sz w:val="21"/>
        </w:rPr>
        <w:t xml:space="preserve">R17  Baethge, C., Goldbeck-Wood, S., &amp; Mertens, S. (2019). SANRA—a scale for the quality assessment of narrative review articles. </w:t>
      </w:r>
      <w:r>
        <w:rPr>
          <w:rFonts w:ascii="Times New Roman" w:hAnsi="Times New Roman"/>
          <w:i/>
          <w:color w:val="000000"/>
          <w:sz w:val="21"/>
        </w:rPr>
        <w:t>Research Integrity and Peer Review, 4</w:t>
      </w:r>
      <w:r>
        <w:rPr>
          <w:rFonts w:ascii="Times New Roman" w:hAnsi="Times New Roman"/>
          <w:color w:val="000000"/>
          <w:sz w:val="21"/>
        </w:rPr>
        <w:t>, 5. https://doi.org/10.1186/s41073-019-0064-8</w:t>
      </w:r>
    </w:p>
    <w:p w14:paraId="76BFE9E4" w14:textId="587115C2">
      <w:pPr>
        <w:keepLines/>
        <w:spacing w:after="160" w:line="264" w:lineRule="auto"/>
      </w:pPr>
      <w:r>
        <w:rPr>
          <w:rFonts w:ascii="Times New Roman" w:hAnsi="Times New Roman"/>
          <w:color w:val="000000"/>
          <w:sz w:val="21"/>
        </w:rPr>
        <w:t xml:space="preserve">R18  Costa, D. P., Silva, T. G. E., Araujo, A. S. F., Pereira, A. P. A., Mendes, L. W., Borges, W. S., França, R. F., Souza, C. A. F., Silva, B. A., Silva, R. O., &amp; Medeiros, E. V. (2024). Soil fertility impact on recruitment and diversity of the soil microbiome in sub-humid tropical pastures in Northeastern Brazil. </w:t>
      </w:r>
      <w:r>
        <w:rPr>
          <w:rFonts w:ascii="Times New Roman" w:hAnsi="Times New Roman"/>
          <w:i/>
          <w:color w:val="000000"/>
          <w:sz w:val="21"/>
        </w:rPr>
        <w:t>Scientific Reports, 14</w:t>
      </w:r>
      <w:r>
        <w:rPr>
          <w:rFonts w:ascii="Times New Roman" w:hAnsi="Times New Roman"/>
          <w:color w:val="000000"/>
          <w:sz w:val="21"/>
        </w:rPr>
        <w:t>, 3919. https://doi.org/10.1038/s41598-024-54221-7</w:t>
      </w:r>
    </w:p>
    <w:p w14:paraId="76BFE9E4" w14:textId="587115C2">
      <w:pPr>
        <w:keepLines/>
        <w:spacing w:after="160" w:line="264" w:lineRule="auto"/>
      </w:pPr>
      <w:r>
        <w:rPr>
          <w:rFonts w:ascii="Times New Roman" w:hAnsi="Times New Roman"/>
          <w:color w:val="000000"/>
          <w:sz w:val="21"/>
        </w:rPr>
        <w:t xml:space="preserve">R19  Costa, D. P., Araujo, A. S. F., Pereira, A. P. A., Mendes, L. W., França, R. F., Silva, T. G. E., Oliveira, J. B., Araujo, J. S., Duda, G. P., Menezes, R. S. C., &amp; Medeiros, E. V. (2022b). Forest-to-pasture conversion modifies the soil bacterial community in Brazilian dry forest Caatinga. </w:t>
      </w:r>
      <w:r>
        <w:rPr>
          <w:rFonts w:ascii="Times New Roman" w:hAnsi="Times New Roman"/>
          <w:i/>
          <w:color w:val="000000"/>
          <w:sz w:val="21"/>
        </w:rPr>
        <w:t>Science of the Total Environment, 810</w:t>
      </w:r>
      <w:r>
        <w:rPr>
          <w:rFonts w:ascii="Times New Roman" w:hAnsi="Times New Roman"/>
          <w:color w:val="000000"/>
          <w:sz w:val="21"/>
        </w:rPr>
        <w:t>, 151943. https://doi.org/10.1016/j.scitotenv.2021.151943</w:t>
      </w:r>
    </w:p>
    <w:p w14:paraId="76BFE9E4" w14:textId="587115C2">
      <w:pPr>
        <w:keepLines/>
        <w:spacing w:after="160" w:line="264" w:lineRule="auto"/>
      </w:pPr>
      <w:r>
        <w:rPr>
          <w:rFonts w:ascii="Times New Roman" w:hAnsi="Times New Roman"/>
          <w:color w:val="000000"/>
          <w:sz w:val="21"/>
        </w:rPr>
        <w:t xml:space="preserve">R20  Costa, D. P., Araujo, A. S. F., Pereira, A. P. A., Mendes, L. W., França, R. F., Silva, T. G. E., Oliveira, J. B., Araujo, J. S., Duda, G. P., Menezes, R. S. C., &amp; Medeiros, E. V. (2022a). Dataset for effects of the transition from dry forest to pasture on diversity and structure of bacterial communities in Northeastern Brazil. </w:t>
      </w:r>
      <w:r>
        <w:rPr>
          <w:rFonts w:ascii="Times New Roman" w:hAnsi="Times New Roman"/>
          <w:i/>
          <w:color w:val="000000"/>
          <w:sz w:val="21"/>
        </w:rPr>
        <w:t>Data in Brief, 41</w:t>
      </w:r>
      <w:r>
        <w:rPr>
          <w:rFonts w:ascii="Times New Roman" w:hAnsi="Times New Roman"/>
          <w:color w:val="000000"/>
          <w:sz w:val="21"/>
        </w:rPr>
        <w:t>, 107842. https://doi.org/10.1016/j.dib.2022.107842</w:t>
      </w:r>
    </w:p>
    <w:p w14:paraId="76BFE9E4" w14:textId="587115C2">
      <w:pPr>
        <w:pStyle w:val="Ttulo2"/>
        <w:keepNext/>
        <w:keepLines/>
        <w:spacing w:after="160" w:line="264" w:lineRule="auto" w:before="360"/>
      </w:pPr>
      <w:r>
        <w:rPr>
          <w:rFonts w:ascii="Times New Roman" w:hAnsi="Times New Roman" w:eastAsia="Times New Roman" w:cs="Times New Roman"/>
          <w:color w:val="000000"/>
        </w:rPr>
        <w:t>8.2. Depósito de dados associado a R20</w:t>
      </w:r>
    </w:p>
    <w:p w14:paraId="76BFE9E4" w14:textId="587115C2">
      <w:pPr>
        <w:keepLines/>
        <w:spacing w:after="160" w:line="264" w:lineRule="auto"/>
        <w:ind w:firstLine="0" w:left="0"/>
      </w:pPr>
      <w:r>
        <w:rPr>
          <w:rFonts w:ascii="Times New Roman" w:hAnsi="Times New Roman"/>
          <w:color w:val="000000"/>
          <w:sz w:val="21"/>
        </w:rPr>
        <w:t xml:space="preserve">França, R., Silva, T., Costa, D., Medeiros, E., Oliveira, J., &amp; Araujo, J. (2021). </w:t>
      </w:r>
      <w:r>
        <w:rPr>
          <w:rFonts w:ascii="Times New Roman" w:hAnsi="Times New Roman"/>
          <w:i/>
          <w:color w:val="000000"/>
          <w:sz w:val="21"/>
        </w:rPr>
        <w:t>Effects of the transition from dry forest to pasture on bacterial communities and chemical properties in soils in Northeastern Brazil</w:t>
      </w:r>
      <w:r>
        <w:rPr>
          <w:rFonts w:ascii="Times New Roman" w:hAnsi="Times New Roman"/>
          <w:color w:val="000000"/>
          <w:sz w:val="21"/>
        </w:rPr>
        <w:t xml:space="preserve"> (Version 4) [Data set]. Mendeley Data. https://doi.org/10.17632/483vh8mdrv.4</w:t>
      </w:r>
    </w:p>
    <w:sectPr>
      <w:footerReference w:type="default" r:id="rId26"/>
      <w:pgSz w:w="11906" w:h="16838"/>
      <w:pgMar w:top="1417" w:right="1417" w:bottom="1417" w:left="1417"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BF9A" w14:textId="77777777">
      <w:pPr>
        <w:spacing w:after="0" w:line="240" w:lineRule="auto"/>
      </w:pPr>
      <w:r>
        <w:rPr>
          <w:rFonts w:ascii="Times New Roman" w:hAnsi="Times New Roman" w:eastAsia="Times New Roman" w:cs="Times New Roman"/>
        </w:rPr>
        <w:separator/>
      </w:r>
    </w:p>
  </w:endnote>
  <w:endnote w:type="continuationSeparator" w:id="0">
    <w:p w14:paraId="60DA876A" w14:textId="77777777">
      <w:pPr>
        <w:spacing w:after="0" w:line="240" w:lineRule="auto"/>
      </w:pP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07B3" w14:textId="77777777">
    <w:pPr>
      <w:pStyle w:val="Rodap"/>
      <w:jc w:val="right"/>
    </w:pP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Pr>
        <w:rFonts w:ascii="Times New Roman" w:hAnsi="Times New Roman" w:eastAsia="Times New Roman" w:cs="Times New Roman"/>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8258" w14:textId="77777777">
      <w:pPr>
        <w:spacing w:after="0" w:line="240" w:lineRule="auto"/>
      </w:pPr>
      <w:r>
        <w:rPr>
          <w:rFonts w:ascii="Times New Roman" w:hAnsi="Times New Roman" w:eastAsia="Times New Roman" w:cs="Times New Roman"/>
        </w:rPr>
        <w:separator/>
      </w:r>
    </w:p>
  </w:footnote>
  <w:footnote w:type="continuationSeparator" w:id="0">
    <w:p w14:paraId="373A5C7C" w14:textId="77777777">
      <w:pPr>
        <w:spacing w:after="0" w:line="240" w:lineRule="auto"/>
      </w:pP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Times New Roman" w:hAnsi="Times New Roman" w:eastAsia="Times New Roman" w:cs="Times New Roman"/>
      </w:rPr>
    </w:lvl>
  </w:abstractNum>
  <w:num w:numId="1" w16cid:durableId="44987738">
    <w:abstractNumId w:val="8"/>
  </w:num>
  <w:num w:numId="2" w16cid:durableId="1238588130">
    <w:abstractNumId w:val="6"/>
  </w:num>
  <w:num w:numId="3" w16cid:durableId="1553156906">
    <w:abstractNumId w:val="5"/>
  </w:num>
  <w:num w:numId="4" w16cid:durableId="1520313710">
    <w:abstractNumId w:val="4"/>
  </w:num>
  <w:num w:numId="5" w16cid:durableId="1000544073">
    <w:abstractNumId w:val="7"/>
  </w:num>
  <w:num w:numId="6" w16cid:durableId="1142310871">
    <w:abstractNumId w:val="3"/>
  </w:num>
  <w:num w:numId="7" w16cid:durableId="645203041">
    <w:abstractNumId w:val="2"/>
  </w:num>
  <w:num w:numId="8" w16cid:durableId="475532366">
    <w:abstractNumId w:val="1"/>
  </w:num>
  <w:num w:numId="9" w16cid:durableId="10531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C5F02162-B467-4A78-B12E-C4C6D87B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ind w:firstLine="709"/>
    </w:pPr>
    <w:rPr>
      <w:rFonts w:ascii="Times New Roman" w:hAnsi="Times New Roman" w:eastAsia="Times New Roman" w:cs="Times New Roman"/>
      <w:color w:val="000000"/>
      <w:sz w:val="24"/>
      <w:lang w:val="pt-BR"/>
    </w:rPr>
  </w:style>
  <w:style w:type="paragraph" w:styleId="Ttulo1">
    <w:name w:val="heading 1"/>
    <w:basedOn w:val="Normal"/>
    <w:next w:val="Normal"/>
    <w:link w:val="Ttulo1Char"/>
    <w:uiPriority w:val="9"/>
    <w:qFormat/>
    <w:rsid w:val="00FC693F"/>
    <w:pPr>
      <w:keepNext/>
      <w:keepLines/>
      <w:spacing w:before="300" w:after="140" w:line="276" w:lineRule="auto"/>
      <w:ind w:firstLine="0"/>
      <w:outlineLvl w:val="0"/>
    </w:pPr>
    <w:rPr>
      <w:b/>
      <w:bCs/>
      <w:sz w:val="28"/>
      <w:szCs w:val="28"/>
    </w:rPr>
  </w:style>
  <w:style w:type="paragraph" w:styleId="Ttulo2">
    <w:name w:val="heading 2"/>
    <w:basedOn w:val="Normal"/>
    <w:next w:val="Normal"/>
    <w:link w:val="Ttulo2Char"/>
    <w:uiPriority w:val="9"/>
    <w:unhideWhenUsed/>
    <w:qFormat/>
    <w:rsid w:val="00FC693F"/>
    <w:pPr>
      <w:keepNext/>
      <w:keepLines/>
      <w:spacing w:before="220" w:after="100" w:line="276" w:lineRule="auto"/>
      <w:ind w:firstLine="0"/>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imes New Roman" w:hAnsi="Times New Roman" w:eastAsia="Times New Roman" w:cs="Times New Roman"/>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imes New Roman" w:hAnsi="Times New Roman" w:eastAsia="Times New Roman" w:cs="Times New Roman"/>
      <w:b/>
      <w:bCs/>
      <w:i/>
      <w:iCs/>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imes New Roman" w:hAnsi="Times New Roman" w:eastAsia="Times New Roman" w:cs="Times New Roman"/>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imes New Roman" w:hAnsi="Times New Roman" w:eastAsia="Times New Roman" w:cs="Times New Roman"/>
      <w:i/>
      <w:iCs/>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imes New Roman" w:hAnsi="Times New Roman" w:eastAsia="Times New Roman" w:cs="Times New Roman"/>
      <w:i/>
      <w:iCs/>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imes New Roman" w:hAnsi="Times New Roman" w:eastAsia="Times New Roman" w:cs="Times New Roman"/>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imes New Roman" w:hAnsi="Times New Roman" w:eastAsia="Times New Roman" w:cs="Times New Roman"/>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rPr>
      <w:color w:val="000000"/>
    </w:rPr>
  </w:style>
  <w:style w:type="paragraph" w:styleId="Rodap">
    <w:name w:val="footer"/>
    <w:basedOn w:val="Normal"/>
    <w:link w:val="RodapChar"/>
    <w:uiPriority w:val="99"/>
    <w:unhideWhenUsed/>
    <w:rsid w:val="00E618BF"/>
    <w:pPr>
      <w:keepLines/>
      <w:tabs>
        <w:tab w:val="center" w:pos="4680"/>
        <w:tab w:val="right" w:pos="9360"/>
      </w:tabs>
      <w:spacing w:after="0" w:line="276" w:lineRule="auto"/>
      <w:ind w:firstLine="0"/>
    </w:pPr>
    <w:rPr>
      <w:sz w:val="18"/>
    </w:rPr>
  </w:style>
  <w:style w:type="character" w:customStyle="1" w:styleId="RodapChar">
    <w:name w:val="Rodapé Char"/>
    <w:basedOn w:val="Fontepargpadro"/>
    <w:link w:val="Rodap"/>
    <w:uiPriority w:val="99"/>
    <w:rsid w:val="00E618BF"/>
    <w:rPr>
      <w:color w:val="000000"/>
    </w:rPr>
  </w:style>
  <w:style w:type="paragraph" w:styleId="SemEspaamento">
    <w:name w:val="No Spacing"/>
    <w:uiPriority w:val="1"/>
    <w:qFormat/>
    <w:rsid w:val="00FC693F"/>
    <w:pPr>
      <w:spacing w:after="0" w:line="240" w:lineRule="auto"/>
    </w:pPr>
    <w:rPr>
      <w:color w:val="000000"/>
    </w:rPr>
  </w:style>
  <w:style w:type="character" w:customStyle="1" w:styleId="Ttulo1Char">
    <w:name w:val="Título 1 Char"/>
    <w:basedOn w:val="Fontepargpadro"/>
    <w:link w:val="Ttulo1"/>
    <w:uiPriority w:val="9"/>
    <w:rsid w:val="00FC693F"/>
    <w:rPr>
      <w:rFonts w:ascii="Times New Roman" w:hAnsi="Times New Roman" w:eastAsia="Times New Roman" w:cs="Times New Roman"/>
      <w:b/>
      <w:bCs/>
      <w:color w:val="000000"/>
      <w:sz w:val="28"/>
      <w:szCs w:val="28"/>
    </w:rPr>
  </w:style>
  <w:style w:type="character" w:customStyle="1" w:styleId="Ttulo2Char">
    <w:name w:val="Título 2 Char"/>
    <w:basedOn w:val="Fontepargpadro"/>
    <w:link w:val="Ttulo2"/>
    <w:uiPriority w:val="9"/>
    <w:rsid w:val="00FC693F"/>
    <w:rPr>
      <w:rFonts w:ascii="Times New Roman" w:hAnsi="Times New Roman" w:eastAsia="Times New Roman" w:cs="Times New Roman"/>
      <w:b/>
      <w:bCs/>
      <w:color w:val="000000"/>
      <w:sz w:val="26"/>
      <w:szCs w:val="26"/>
    </w:rPr>
  </w:style>
  <w:style w:type="character" w:customStyle="1" w:styleId="Ttulo3Char">
    <w:name w:val="Título 3 Char"/>
    <w:basedOn w:val="Fontepargpadro"/>
    <w:link w:val="Ttulo3"/>
    <w:uiPriority w:val="9"/>
    <w:rsid w:val="00FC693F"/>
    <w:rPr>
      <w:rFonts w:ascii="Times New Roman" w:hAnsi="Times New Roman" w:eastAsia="Times New Roman" w:cs="Times New Roman"/>
      <w:b/>
      <w:bCs/>
      <w:color w:val="000000"/>
    </w:rPr>
  </w:style>
  <w:style w:type="paragraph" w:styleId="Ttulo">
    <w:name w:val="Title"/>
    <w:basedOn w:val="Normal"/>
    <w:next w:val="Normal"/>
    <w:link w:val="TtuloChar"/>
    <w:uiPriority w:val="10"/>
    <w:qFormat/>
    <w:rsid w:val="00FC693F"/>
    <w:pPr>
      <w:keepNext/>
      <w:keepLines/>
      <w:spacing w:after="200" w:line="276" w:lineRule="auto"/>
      <w:ind w:firstLine="0"/>
      <w:contextualSpacing/>
    </w:pPr>
    <w:rPr>
      <w:b/>
      <w:spacing w:val="5"/>
      <w:kern w:val="28"/>
      <w:sz w:val="36"/>
      <w:szCs w:val="52"/>
    </w:rPr>
  </w:style>
  <w:style w:type="character" w:customStyle="1" w:styleId="TtuloChar">
    <w:name w:val="Título Char"/>
    <w:basedOn w:val="Fontepargpadro"/>
    <w:link w:val="Ttulo"/>
    <w:uiPriority w:val="10"/>
    <w:rsid w:val="00FC693F"/>
    <w:rPr>
      <w:rFonts w:ascii="Times New Roman" w:hAnsi="Times New Roman" w:eastAsia="Times New Roman" w:cs="Times New Roman"/>
      <w:color w:val="000000"/>
      <w:spacing w:val="5"/>
      <w:kern w:val="28"/>
      <w:sz w:val="52"/>
      <w:szCs w:val="52"/>
    </w:rPr>
  </w:style>
  <w:style w:type="paragraph" w:styleId="Subttulo">
    <w:name w:val="Subtitle"/>
    <w:basedOn w:val="Normal"/>
    <w:next w:val="Normal"/>
    <w:link w:val="SubttuloChar"/>
    <w:uiPriority w:val="11"/>
    <w:qFormat/>
    <w:rsid w:val="00FC693F"/>
    <w:pPr>
      <w:keepNext/>
      <w:keepLines/>
      <w:numPr>
        <w:ilvl w:val="1"/>
      </w:numPr>
      <w:spacing w:after="180" w:line="276" w:lineRule="auto"/>
      <w:ind w:firstLine="709"/>
    </w:pPr>
    <w:rPr>
      <w:i/>
      <w:iCs/>
      <w:spacing w:val="15"/>
      <w:sz w:val="26"/>
      <w:szCs w:val="24"/>
    </w:rPr>
  </w:style>
  <w:style w:type="character" w:customStyle="1" w:styleId="SubttuloChar">
    <w:name w:val="Subtítulo Char"/>
    <w:basedOn w:val="Fontepargpadro"/>
    <w:link w:val="Subttulo"/>
    <w:uiPriority w:val="11"/>
    <w:rsid w:val="00FC693F"/>
    <w:rPr>
      <w:rFonts w:ascii="Times New Roman" w:hAnsi="Times New Roman" w:eastAsia="Times New Roman" w:cs="Times New Roman"/>
      <w:i/>
      <w:iCs/>
      <w:color w:val="000000"/>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rPr>
      <w:color w:val="000000"/>
    </w:rPr>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rPr>
      <w:color w:val="000000"/>
    </w:rPr>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TextodemacroChar">
    <w:name w:val="Texto de macro Char"/>
    <w:basedOn w:val="Fontepargpadro"/>
    <w:link w:val="Textodemacro"/>
    <w:uiPriority w:val="99"/>
    <w:rsid w:val="0029639D"/>
    <w:rPr>
      <w:rFonts w:ascii="Times New Roman" w:hAnsi="Times New Roman" w:eastAsia="Times New Roman" w:cs="Times New Roman"/>
      <w:color w:val="000000"/>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rPr>
  </w:style>
  <w:style w:type="character" w:customStyle="1" w:styleId="Ttulo4Char">
    <w:name w:val="Título 4 Char"/>
    <w:basedOn w:val="Fontepargpadro"/>
    <w:link w:val="Ttulo4"/>
    <w:uiPriority w:val="9"/>
    <w:semiHidden/>
    <w:rsid w:val="00FC693F"/>
    <w:rPr>
      <w:rFonts w:ascii="Times New Roman" w:hAnsi="Times New Roman" w:eastAsia="Times New Roman" w:cs="Times New Roman"/>
      <w:b/>
      <w:bCs/>
      <w:i/>
      <w:iCs/>
      <w:color w:val="000000"/>
    </w:rPr>
  </w:style>
  <w:style w:type="character" w:customStyle="1" w:styleId="Ttulo5Char">
    <w:name w:val="Título 5 Char"/>
    <w:basedOn w:val="Fontepargpadro"/>
    <w:link w:val="Ttulo5"/>
    <w:uiPriority w:val="9"/>
    <w:semiHidden/>
    <w:rsid w:val="00FC693F"/>
    <w:rPr>
      <w:rFonts w:ascii="Times New Roman" w:hAnsi="Times New Roman" w:eastAsia="Times New Roman" w:cs="Times New Roman"/>
      <w:color w:val="000000"/>
    </w:rPr>
  </w:style>
  <w:style w:type="character" w:customStyle="1" w:styleId="Ttulo6Char">
    <w:name w:val="Título 6 Char"/>
    <w:basedOn w:val="Fontepargpadro"/>
    <w:link w:val="Ttulo6"/>
    <w:uiPriority w:val="9"/>
    <w:semiHidden/>
    <w:rsid w:val="00FC693F"/>
    <w:rPr>
      <w:rFonts w:ascii="Times New Roman" w:hAnsi="Times New Roman" w:eastAsia="Times New Roman" w:cs="Times New Roman"/>
      <w:i/>
      <w:iCs/>
      <w:color w:val="000000"/>
    </w:rPr>
  </w:style>
  <w:style w:type="character" w:customStyle="1" w:styleId="Ttulo7Char">
    <w:name w:val="Título 7 Char"/>
    <w:basedOn w:val="Fontepargpadro"/>
    <w:link w:val="Ttulo7"/>
    <w:uiPriority w:val="9"/>
    <w:semiHidden/>
    <w:rsid w:val="00FC693F"/>
    <w:rPr>
      <w:rFonts w:ascii="Times New Roman" w:hAnsi="Times New Roman" w:eastAsia="Times New Roman" w:cs="Times New Roman"/>
      <w:i/>
      <w:iCs/>
      <w:color w:val="000000"/>
    </w:rPr>
  </w:style>
  <w:style w:type="character" w:customStyle="1" w:styleId="Ttulo8Char">
    <w:name w:val="Título 8 Char"/>
    <w:basedOn w:val="Fontepargpadro"/>
    <w:link w:val="Ttulo8"/>
    <w:uiPriority w:val="9"/>
    <w:semiHidden/>
    <w:rsid w:val="00FC693F"/>
    <w:rPr>
      <w:rFonts w:ascii="Times New Roman" w:hAnsi="Times New Roman" w:eastAsia="Times New Roman" w:cs="Times New Roman"/>
      <w:color w:val="000000"/>
      <w:sz w:val="20"/>
      <w:szCs w:val="20"/>
    </w:rPr>
  </w:style>
  <w:style w:type="character" w:customStyle="1" w:styleId="Ttulo9Char">
    <w:name w:val="Título 9 Char"/>
    <w:basedOn w:val="Fontepargpadro"/>
    <w:link w:val="Ttulo9"/>
    <w:uiPriority w:val="9"/>
    <w:semiHidden/>
    <w:rsid w:val="00FC693F"/>
    <w:rPr>
      <w:rFonts w:ascii="Times New Roman" w:hAnsi="Times New Roman" w:eastAsia="Times New Roman" w:cs="Times New Roman"/>
      <w:i/>
      <w:iCs/>
      <w:color w:val="000000"/>
      <w:sz w:val="20"/>
      <w:szCs w:val="20"/>
    </w:rPr>
  </w:style>
  <w:style w:type="paragraph" w:styleId="Legenda">
    <w:name w:val="caption"/>
    <w:basedOn w:val="Normal"/>
    <w:next w:val="Normal"/>
    <w:uiPriority w:val="35"/>
    <w:semiHidden/>
    <w:unhideWhenUsed/>
    <w:qFormat/>
    <w:rsid w:val="00FC693F"/>
    <w:pPr>
      <w:spacing w:line="240" w:lineRule="auto"/>
    </w:pPr>
    <w:rPr>
      <w:b/>
      <w:bCs/>
      <w:sz w:val="18"/>
      <w:szCs w:val="18"/>
    </w:rPr>
  </w:style>
  <w:style w:type="character" w:styleId="Forte">
    <w:name w:val="Strong"/>
    <w:basedOn w:val="Fontepargpadro"/>
    <w:uiPriority w:val="22"/>
    <w:qFormat/>
    <w:rsid w:val="00FC693F"/>
    <w:rPr>
      <w:b/>
      <w:bCs/>
      <w:color w:val="000000"/>
    </w:rPr>
  </w:style>
  <w:style w:type="character" w:styleId="nfase">
    <w:name w:val="Emphasis"/>
    <w:basedOn w:val="Fontepargpadro"/>
    <w:uiPriority w:val="20"/>
    <w:qFormat/>
    <w:rsid w:val="00FC693F"/>
    <w:rPr>
      <w:i/>
      <w:iCs/>
      <w:color w:val="000000"/>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rPr>
  </w:style>
  <w:style w:type="character" w:customStyle="1" w:styleId="CitaoIntensaChar">
    <w:name w:val="Citação Intensa Char"/>
    <w:basedOn w:val="Fontepargpadro"/>
    <w:link w:val="CitaoIntensa"/>
    <w:uiPriority w:val="30"/>
    <w:rsid w:val="00FC693F"/>
    <w:rPr>
      <w:b/>
      <w:bCs/>
      <w:i/>
      <w:iCs/>
      <w:color w:val="000000"/>
    </w:rPr>
  </w:style>
  <w:style w:type="character" w:styleId="nfaseSutil">
    <w:name w:val="Subtle Emphasis"/>
    <w:basedOn w:val="Fontepargpadro"/>
    <w:uiPriority w:val="19"/>
    <w:qFormat/>
    <w:rsid w:val="00FC693F"/>
    <w:rPr>
      <w:i/>
      <w:iCs/>
      <w:color w:val="000000"/>
    </w:rPr>
  </w:style>
  <w:style w:type="character" w:styleId="nfaseIntensa">
    <w:name w:val="Intense Emphasis"/>
    <w:basedOn w:val="Fontepargpadro"/>
    <w:uiPriority w:val="21"/>
    <w:qFormat/>
    <w:rsid w:val="00FC693F"/>
    <w:rPr>
      <w:b/>
      <w:bCs/>
      <w:i/>
      <w:iCs/>
      <w:color w:val="000000"/>
    </w:rPr>
  </w:style>
  <w:style w:type="character" w:styleId="RefernciaSutil">
    <w:name w:val="Subtle Reference"/>
    <w:basedOn w:val="Fontepargpadro"/>
    <w:uiPriority w:val="31"/>
    <w:qFormat/>
    <w:rsid w:val="00FC693F"/>
    <w:rPr>
      <w:smallCaps/>
      <w:color w:val="000000"/>
      <w:u w:val="single"/>
    </w:rPr>
  </w:style>
  <w:style w:type="character" w:styleId="RefernciaIntensa">
    <w:name w:val="Intense Reference"/>
    <w:basedOn w:val="Fontepargpadro"/>
    <w:uiPriority w:val="32"/>
    <w:qFormat/>
    <w:rsid w:val="00FC693F"/>
    <w:rPr>
      <w:b/>
      <w:bCs/>
      <w:smallCaps/>
      <w:color w:val="000000"/>
      <w:spacing w:val="5"/>
      <w:u w:val="single"/>
    </w:rPr>
  </w:style>
  <w:style w:type="character" w:styleId="TtulodoLivro">
    <w:name w:val="Book Title"/>
    <w:basedOn w:val="Fontepargpadro"/>
    <w:uiPriority w:val="33"/>
    <w:qFormat/>
    <w:rsid w:val="00FC693F"/>
    <w:rPr>
      <w:b/>
      <w:bCs/>
      <w:smallCaps/>
      <w:color w:val="000000"/>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mentoEscuro-nfase1">
    <w:name w:val="Colorful Shading Accent 1"/>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mentoColorido-nfase2">
    <w:name w:val="Colorful Shading Accent 2"/>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mentoColorido-nfase3">
    <w:name w:val="Colorful Shading Accent 3"/>
    <w:basedOn w:val="Tabe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mentoColorido-nfase5">
    <w:name w:val="Colorful Shading Accent 5"/>
    <w:basedOn w:val="Tabe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mentoColorido-nfase6">
    <w:name w:val="Colorful Shading Accent 6"/>
    <w:basedOn w:val="Tabe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Colorida">
    <w:name w:val="Colorful List"/>
    <w:basedOn w:val="Tabe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color w:val="000000"/>
    </w:rPr>
  </w:style>
  <w:style w:type="character" w:customStyle="1" w:styleId="HiperlinkVisitado1">
    <w:name w:val="HiperlinkVisitado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ogopaes1.github.io/aula-mos-ufape/" TargetMode="External"/><Relationship Id="rId13" Type="http://schemas.openxmlformats.org/officeDocument/2006/relationships/hyperlink" Target="https://doi.org/10.1038/s41467-024-54537-y" TargetMode="External"/><Relationship Id="rId18" Type="http://schemas.openxmlformats.org/officeDocument/2006/relationships/hyperlink" Target="https://doi.org/10.1111/gcb.7030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590/1809-4430-Eng.Agric.v45nespe120240189/2025" TargetMode="External"/><Relationship Id="rId7" Type="http://schemas.openxmlformats.org/officeDocument/2006/relationships/endnotes" Target="endnotes.xml"/><Relationship Id="rId12" Type="http://schemas.openxmlformats.org/officeDocument/2006/relationships/hyperlink" Target="https://doi.org/10.1007/s11104-024-06620-y" TargetMode="External"/><Relationship Id="rId17" Type="http://schemas.openxmlformats.org/officeDocument/2006/relationships/hyperlink" Target="https://doi.org/10.1038/s41586-024-07491-0" TargetMode="External"/><Relationship Id="rId25" Type="http://schemas.openxmlformats.org/officeDocument/2006/relationships/hyperlink" Target="https://doi.org/10.1186/s41073-019-0064-8" TargetMode="External"/><Relationship Id="rId2" Type="http://schemas.openxmlformats.org/officeDocument/2006/relationships/numbering" Target="numbering.xml"/><Relationship Id="rId16" Type="http://schemas.openxmlformats.org/officeDocument/2006/relationships/hyperlink" Target="https://doi.org/10.1038/s41586-023-06042-3" TargetMode="External"/><Relationship Id="rId20" Type="http://schemas.openxmlformats.org/officeDocument/2006/relationships/hyperlink" Target="https://doi.org/10.1016/j.geodrs.2023.e006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edobi.2024.150985" TargetMode="External"/><Relationship Id="rId24" Type="http://schemas.openxmlformats.org/officeDocument/2006/relationships/hyperlink" Target="https://doi.org/10.1038/s43247-025-02637-y" TargetMode="External"/><Relationship Id="rId5" Type="http://schemas.openxmlformats.org/officeDocument/2006/relationships/webSettings" Target="webSettings.xml"/><Relationship Id="rId15" Type="http://schemas.openxmlformats.org/officeDocument/2006/relationships/hyperlink" Target="https://doi.org/10.1016/j.apsoil.2024.105316" TargetMode="External"/><Relationship Id="rId23" Type="http://schemas.openxmlformats.org/officeDocument/2006/relationships/hyperlink" Target="https://doi.org/10.1073/pnas.2413032122" TargetMode="External"/><Relationship Id="rId28" Type="http://schemas.openxmlformats.org/officeDocument/2006/relationships/theme" Target="theme/theme1.xml"/><Relationship Id="rId10" Type="http://schemas.openxmlformats.org/officeDocument/2006/relationships/hyperlink" Target="https://doi.org/10.1016/j.catena.2023.107768" TargetMode="External"/><Relationship Id="rId19" Type="http://schemas.openxmlformats.org/officeDocument/2006/relationships/hyperlink" Target="https://doi.org/10.3390/agronomy13123026" TargetMode="External"/><Relationship Id="rId4" Type="http://schemas.openxmlformats.org/officeDocument/2006/relationships/settings" Target="settings.xml"/><Relationship Id="rId9" Type="http://schemas.openxmlformats.org/officeDocument/2006/relationships/hyperlink" Target="https://doi.org/10.1016/j.jaridenv.2025.105401" TargetMode="External"/><Relationship Id="rId14" Type="http://schemas.openxmlformats.org/officeDocument/2006/relationships/hyperlink" Target="https://doi.org/10.1016/j.micres.2024.127763" TargetMode="External"/><Relationship Id="rId22" Type="http://schemas.openxmlformats.org/officeDocument/2006/relationships/hyperlink" Target="https://doi.org/10.1590/1806-90882023000000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5707</Words>
  <Characters>33423</Characters>
  <Application>Microsoft Office Word</Application>
  <DocSecurity>0</DocSecurity>
  <Lines>562</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Quando o carbono indica recuperação funcional de solos da Caatinga</dc:title>
  <dc:subject>Direcionamento de escrita e metodologia da revisão crítica sobre solos da Caatinga</dc:subject>
  <dc:creator>Dell-G15</dc:creator>
  <cp:keywords>Caatinga; carbono; biomassa microbiana; fosfatases; revisão narrativa</cp:keywords>
  <cp:lastModifiedBy>Dell-G15</cp:lastModifiedBy>
  <cp:revision>5</cp:revision>
  <dcterms:created xsi:type="dcterms:W3CDTF">2026-10-20T23:37:47Z</dcterms:created>
  <dcterms:modified xsi:type="dcterms:W3CDTF">2026-10-21T00:06:25Z</dcterms:modified>
</cp:coreProperties>
</file>