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15E5" w14:textId="7F838A1C" w:rsidR="00954AA0" w:rsidRDefault="00E067E6" w:rsidP="00107BAF">
      <w:pPr>
        <w:spacing w:before="240"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067E6">
        <w:rPr>
          <w:rFonts w:ascii="Arial" w:hAnsi="Arial" w:cs="Arial"/>
          <w:b/>
          <w:bCs/>
          <w:sz w:val="24"/>
          <w:szCs w:val="24"/>
        </w:rPr>
        <w:t>PRODUTO E PROCESSO PARA CONTROLE DE ANTRACNOSE</w:t>
      </w:r>
      <w:r w:rsidR="0027408D">
        <w:rPr>
          <w:rFonts w:ascii="Arial" w:hAnsi="Arial" w:cs="Arial"/>
          <w:b/>
          <w:bCs/>
          <w:sz w:val="24"/>
          <w:szCs w:val="24"/>
        </w:rPr>
        <w:t>S</w:t>
      </w:r>
      <w:r w:rsidRPr="00E067E6">
        <w:rPr>
          <w:rFonts w:ascii="Arial" w:hAnsi="Arial" w:cs="Arial"/>
          <w:b/>
          <w:bCs/>
          <w:sz w:val="24"/>
          <w:szCs w:val="24"/>
        </w:rPr>
        <w:t xml:space="preserve"> </w:t>
      </w:r>
      <w:r w:rsidR="001642B6" w:rsidRPr="004425B9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1642B6" w:rsidRPr="00E067E6">
        <w:rPr>
          <w:rFonts w:ascii="Arial" w:hAnsi="Arial" w:cs="Arial"/>
          <w:b/>
          <w:bCs/>
          <w:i/>
          <w:iCs/>
          <w:sz w:val="24"/>
          <w:szCs w:val="24"/>
        </w:rPr>
        <w:t>Colletotrichum</w:t>
      </w:r>
      <w:proofErr w:type="spellEnd"/>
      <w:r w:rsidR="001642B6" w:rsidRPr="004425B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1642B6" w:rsidRPr="004425B9">
        <w:rPr>
          <w:rFonts w:ascii="Arial" w:hAnsi="Arial" w:cs="Arial"/>
          <w:b/>
          <w:bCs/>
          <w:sz w:val="24"/>
          <w:szCs w:val="24"/>
        </w:rPr>
        <w:t xml:space="preserve">spp.) </w:t>
      </w:r>
      <w:r w:rsidRPr="00E067E6">
        <w:rPr>
          <w:rFonts w:ascii="Arial" w:hAnsi="Arial" w:cs="Arial"/>
          <w:b/>
          <w:bCs/>
          <w:sz w:val="24"/>
          <w:szCs w:val="24"/>
        </w:rPr>
        <w:t>E FUSARIOSE</w:t>
      </w:r>
      <w:r w:rsidR="0027408D">
        <w:rPr>
          <w:rFonts w:ascii="Arial" w:hAnsi="Arial" w:cs="Arial"/>
          <w:b/>
          <w:bCs/>
          <w:sz w:val="24"/>
          <w:szCs w:val="24"/>
        </w:rPr>
        <w:t>S</w:t>
      </w:r>
      <w:r w:rsidRPr="00E067E6">
        <w:rPr>
          <w:rFonts w:ascii="Arial" w:hAnsi="Arial" w:cs="Arial"/>
          <w:b/>
          <w:bCs/>
          <w:sz w:val="24"/>
          <w:szCs w:val="24"/>
        </w:rPr>
        <w:t xml:space="preserve"> </w:t>
      </w:r>
      <w:r w:rsidR="001642B6" w:rsidRPr="004425B9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1642B6" w:rsidRPr="004425B9">
        <w:rPr>
          <w:rFonts w:ascii="Arial" w:hAnsi="Arial" w:cs="Arial"/>
          <w:b/>
          <w:bCs/>
          <w:i/>
          <w:iCs/>
          <w:sz w:val="24"/>
          <w:szCs w:val="24"/>
        </w:rPr>
        <w:t>Fusarium</w:t>
      </w:r>
      <w:proofErr w:type="spellEnd"/>
      <w:r w:rsidR="001642B6" w:rsidRPr="004425B9">
        <w:rPr>
          <w:rFonts w:ascii="Arial" w:hAnsi="Arial" w:cs="Arial"/>
          <w:b/>
          <w:bCs/>
          <w:sz w:val="24"/>
          <w:szCs w:val="24"/>
        </w:rPr>
        <w:t xml:space="preserve"> sp</w:t>
      </w:r>
      <w:r w:rsidR="00CC1DE5">
        <w:rPr>
          <w:rFonts w:ascii="Arial" w:hAnsi="Arial" w:cs="Arial"/>
          <w:b/>
          <w:bCs/>
          <w:sz w:val="24"/>
          <w:szCs w:val="24"/>
        </w:rPr>
        <w:t>p.</w:t>
      </w:r>
      <w:r w:rsidR="001642B6" w:rsidRPr="004425B9">
        <w:rPr>
          <w:rFonts w:ascii="Arial" w:hAnsi="Arial" w:cs="Arial"/>
          <w:b/>
          <w:bCs/>
          <w:sz w:val="24"/>
          <w:szCs w:val="24"/>
        </w:rPr>
        <w:t xml:space="preserve">) </w:t>
      </w:r>
      <w:r w:rsidR="0027408D">
        <w:rPr>
          <w:rFonts w:ascii="Arial" w:hAnsi="Arial" w:cs="Arial"/>
          <w:b/>
          <w:bCs/>
          <w:sz w:val="24"/>
          <w:szCs w:val="24"/>
        </w:rPr>
        <w:t>COM BASE</w:t>
      </w:r>
      <w:r w:rsidR="003931B6">
        <w:rPr>
          <w:rFonts w:ascii="Arial" w:hAnsi="Arial" w:cs="Arial"/>
          <w:b/>
          <w:bCs/>
          <w:sz w:val="24"/>
          <w:szCs w:val="24"/>
        </w:rPr>
        <w:t xml:space="preserve"> EM</w:t>
      </w:r>
      <w:r w:rsidR="00954AA0" w:rsidRPr="00954AA0">
        <w:rPr>
          <w:rFonts w:ascii="Arial" w:hAnsi="Arial" w:cs="Arial"/>
          <w:b/>
          <w:bCs/>
          <w:sz w:val="24"/>
          <w:szCs w:val="24"/>
        </w:rPr>
        <w:t xml:space="preserve"> EXTRATO</w:t>
      </w:r>
      <w:r w:rsidR="00E862D3">
        <w:rPr>
          <w:rFonts w:ascii="Arial" w:hAnsi="Arial" w:cs="Arial"/>
          <w:b/>
          <w:bCs/>
          <w:sz w:val="24"/>
          <w:szCs w:val="24"/>
        </w:rPr>
        <w:t>S</w:t>
      </w:r>
      <w:r w:rsidR="00954AA0" w:rsidRPr="00954AA0">
        <w:rPr>
          <w:rFonts w:ascii="Arial" w:hAnsi="Arial" w:cs="Arial"/>
          <w:b/>
          <w:bCs/>
          <w:sz w:val="24"/>
          <w:szCs w:val="24"/>
        </w:rPr>
        <w:t xml:space="preserve"> DE VELAME (</w:t>
      </w:r>
      <w:bookmarkStart w:id="0" w:name="_Hlk196819133"/>
      <w:proofErr w:type="spellStart"/>
      <w:r w:rsidR="00954AA0" w:rsidRPr="00AE222D">
        <w:rPr>
          <w:rFonts w:ascii="Arial" w:hAnsi="Arial" w:cs="Arial"/>
          <w:b/>
          <w:bCs/>
          <w:i/>
          <w:iCs/>
          <w:sz w:val="24"/>
          <w:szCs w:val="24"/>
        </w:rPr>
        <w:t>Croton</w:t>
      </w:r>
      <w:proofErr w:type="spellEnd"/>
      <w:r w:rsidR="00954AA0" w:rsidRPr="00AE222D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AE222D" w:rsidRPr="00AE222D">
        <w:rPr>
          <w:rFonts w:ascii="Arial" w:hAnsi="Arial" w:cs="Arial"/>
          <w:b/>
          <w:bCs/>
          <w:i/>
          <w:iCs/>
          <w:sz w:val="24"/>
          <w:szCs w:val="24"/>
        </w:rPr>
        <w:t>heliotropiifolius</w:t>
      </w:r>
      <w:proofErr w:type="spellEnd"/>
      <w:r w:rsidR="00BE4FF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BE4FF0" w:rsidRPr="00BE4FF0">
        <w:rPr>
          <w:rFonts w:ascii="Arial" w:hAnsi="Arial" w:cs="Arial"/>
          <w:b/>
          <w:bCs/>
          <w:sz w:val="24"/>
          <w:szCs w:val="24"/>
        </w:rPr>
        <w:t>Kunth</w:t>
      </w:r>
      <w:bookmarkEnd w:id="0"/>
      <w:proofErr w:type="spellEnd"/>
      <w:r w:rsidR="00954AA0" w:rsidRPr="00954AA0">
        <w:rPr>
          <w:rFonts w:ascii="Arial" w:hAnsi="Arial" w:cs="Arial"/>
          <w:b/>
          <w:bCs/>
          <w:sz w:val="24"/>
          <w:szCs w:val="24"/>
        </w:rPr>
        <w:t>)</w:t>
      </w:r>
    </w:p>
    <w:p w14:paraId="04D9281F" w14:textId="77777777" w:rsidR="00E862D3" w:rsidRPr="00E067E6" w:rsidRDefault="00E862D3" w:rsidP="00107BAF">
      <w:pPr>
        <w:spacing w:before="240"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FDA64E" w14:textId="77777777" w:rsidR="00E067E6" w:rsidRPr="00E067E6" w:rsidRDefault="00E067E6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067E6">
        <w:rPr>
          <w:rFonts w:ascii="Arial" w:hAnsi="Arial" w:cs="Arial"/>
          <w:b/>
          <w:bCs/>
          <w:sz w:val="24"/>
          <w:szCs w:val="24"/>
        </w:rPr>
        <w:t>Campo da invenção</w:t>
      </w:r>
    </w:p>
    <w:p w14:paraId="42E1F805" w14:textId="0259C6FC" w:rsidR="00E067E6" w:rsidRPr="00E067E6" w:rsidRDefault="00CC1DE5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[001]</w:t>
      </w:r>
      <w:r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>A presente invenção se situa no campo da tecnologia agrícola, especificamente no desenvolvimento de produto</w:t>
      </w:r>
      <w:r w:rsidR="009525A3">
        <w:rPr>
          <w:rFonts w:ascii="Arial" w:hAnsi="Arial" w:cs="Arial"/>
          <w:sz w:val="24"/>
          <w:szCs w:val="24"/>
        </w:rPr>
        <w:t>s</w:t>
      </w:r>
      <w:r w:rsidR="00E067E6" w:rsidRPr="00E067E6">
        <w:rPr>
          <w:rFonts w:ascii="Arial" w:hAnsi="Arial" w:cs="Arial"/>
          <w:sz w:val="24"/>
          <w:szCs w:val="24"/>
        </w:rPr>
        <w:t xml:space="preserve"> para aplicação foliar destinados ao controle de doenças fúngicas em culturas agrícolas. Mais particularmente, refere-se a um produto e processo </w:t>
      </w:r>
      <w:r w:rsidR="009525A3">
        <w:rPr>
          <w:rFonts w:ascii="Arial" w:hAnsi="Arial" w:cs="Arial"/>
          <w:sz w:val="24"/>
          <w:szCs w:val="24"/>
        </w:rPr>
        <w:t>baseado</w:t>
      </w:r>
      <w:r w:rsidR="0027408D">
        <w:rPr>
          <w:rFonts w:ascii="Arial" w:hAnsi="Arial" w:cs="Arial"/>
          <w:sz w:val="24"/>
          <w:szCs w:val="24"/>
        </w:rPr>
        <w:t>s</w:t>
      </w:r>
      <w:r w:rsidR="009525A3">
        <w:rPr>
          <w:rFonts w:ascii="Arial" w:hAnsi="Arial" w:cs="Arial"/>
          <w:sz w:val="24"/>
          <w:szCs w:val="24"/>
        </w:rPr>
        <w:t xml:space="preserve"> em extratos de velame (</w:t>
      </w:r>
      <w:proofErr w:type="spellStart"/>
      <w:r w:rsidR="009525A3" w:rsidRPr="00121299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AE222D" w:rsidRPr="00AE222D">
        <w:t xml:space="preserve"> </w:t>
      </w:r>
      <w:proofErr w:type="spellStart"/>
      <w:r w:rsidR="00AE222D" w:rsidRPr="00AE222D">
        <w:rPr>
          <w:rFonts w:ascii="Arial" w:hAnsi="Arial" w:cs="Arial"/>
          <w:i/>
          <w:iCs/>
          <w:sz w:val="24"/>
          <w:szCs w:val="24"/>
        </w:rPr>
        <w:t>heliotropiifolius</w:t>
      </w:r>
      <w:proofErr w:type="spellEnd"/>
      <w:r w:rsidR="009525A3">
        <w:rPr>
          <w:rFonts w:ascii="Arial" w:hAnsi="Arial" w:cs="Arial"/>
          <w:sz w:val="24"/>
          <w:szCs w:val="24"/>
        </w:rPr>
        <w:t xml:space="preserve">) </w:t>
      </w:r>
      <w:r w:rsidR="00E067E6" w:rsidRPr="00E067E6">
        <w:rPr>
          <w:rFonts w:ascii="Arial" w:hAnsi="Arial" w:cs="Arial"/>
          <w:sz w:val="24"/>
          <w:szCs w:val="24"/>
        </w:rPr>
        <w:t>para o controle da antracnose (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Colletotrichum</w:t>
      </w:r>
      <w:proofErr w:type="spellEnd"/>
      <w:r w:rsidR="00E067E6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7408D" w:rsidRPr="00E067E6">
        <w:rPr>
          <w:rFonts w:ascii="Arial" w:hAnsi="Arial" w:cs="Arial"/>
          <w:i/>
          <w:iCs/>
          <w:sz w:val="24"/>
          <w:szCs w:val="24"/>
        </w:rPr>
        <w:t>gloeosporioides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) e </w:t>
      </w:r>
      <w:r w:rsidR="00396180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fusariose</w:t>
      </w:r>
      <w:r w:rsidR="0027408D">
        <w:rPr>
          <w:rFonts w:ascii="Arial" w:hAnsi="Arial" w:cs="Arial"/>
          <w:sz w:val="24"/>
          <w:szCs w:val="24"/>
        </w:rPr>
        <w:t>s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E067E6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r w:rsidR="00E067E6" w:rsidRPr="00E067E6">
        <w:rPr>
          <w:rFonts w:ascii="Arial" w:hAnsi="Arial" w:cs="Arial"/>
          <w:sz w:val="24"/>
          <w:szCs w:val="24"/>
        </w:rPr>
        <w:t>spp.) na cultura da mandioca (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Manihot</w:t>
      </w:r>
      <w:proofErr w:type="spellEnd"/>
      <w:r w:rsidR="00E067E6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esculenta</w:t>
      </w:r>
      <w:proofErr w:type="spellEnd"/>
      <w:r w:rsidR="00E067E6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Crantz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>).</w:t>
      </w:r>
    </w:p>
    <w:p w14:paraId="71F4B10E" w14:textId="77777777" w:rsidR="00E067E6" w:rsidRPr="00E067E6" w:rsidRDefault="00E067E6" w:rsidP="00046981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067E6">
        <w:rPr>
          <w:rFonts w:ascii="Arial" w:hAnsi="Arial" w:cs="Arial"/>
          <w:b/>
          <w:bCs/>
          <w:sz w:val="24"/>
          <w:szCs w:val="24"/>
        </w:rPr>
        <w:t>Fundamentos da invenção</w:t>
      </w:r>
    </w:p>
    <w:p w14:paraId="53394CBD" w14:textId="57B9FDB4" w:rsidR="00E067E6" w:rsidRPr="00E067E6" w:rsidRDefault="00CC1DE5" w:rsidP="00046981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046981">
        <w:rPr>
          <w:rFonts w:ascii="Arial" w:hAnsi="Arial" w:cs="Arial"/>
          <w:sz w:val="24"/>
          <w:szCs w:val="24"/>
        </w:rPr>
        <w:t>[002]</w:t>
      </w:r>
      <w:r w:rsidRPr="00046981"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>A mandioca (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Manihot</w:t>
      </w:r>
      <w:proofErr w:type="spellEnd"/>
      <w:r w:rsidR="00E067E6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esculenta</w:t>
      </w:r>
      <w:proofErr w:type="spellEnd"/>
      <w:r w:rsidR="00E067E6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Crantz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) é uma cultura de grande importância socioeconômica, especialmente em países tropicais em desenvolvimento, sendo um alimento básico para mais de um bilhão de pessoas (EMBRAPA, Mandioca - Portal Embrapa, 2023; LEBOT et al., </w:t>
      </w:r>
      <w:r w:rsidR="00C62A29" w:rsidRPr="00E067E6">
        <w:rPr>
          <w:rFonts w:ascii="Arial" w:hAnsi="Arial" w:cs="Arial"/>
          <w:sz w:val="24"/>
          <w:szCs w:val="24"/>
        </w:rPr>
        <w:t xml:space="preserve">Tropical </w:t>
      </w:r>
      <w:r w:rsidR="00396180" w:rsidRPr="00E067E6">
        <w:rPr>
          <w:rFonts w:ascii="Arial" w:hAnsi="Arial" w:cs="Arial"/>
          <w:sz w:val="24"/>
          <w:szCs w:val="24"/>
        </w:rPr>
        <w:t xml:space="preserve">root </w:t>
      </w:r>
      <w:proofErr w:type="spellStart"/>
      <w:r w:rsidR="00396180" w:rsidRPr="00E067E6">
        <w:rPr>
          <w:rFonts w:ascii="Arial" w:hAnsi="Arial" w:cs="Arial"/>
          <w:sz w:val="24"/>
          <w:szCs w:val="24"/>
        </w:rPr>
        <w:t>and</w:t>
      </w:r>
      <w:proofErr w:type="spellEnd"/>
      <w:r w:rsidR="00396180" w:rsidRPr="00E0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180" w:rsidRPr="00E067E6">
        <w:rPr>
          <w:rFonts w:ascii="Arial" w:hAnsi="Arial" w:cs="Arial"/>
          <w:sz w:val="24"/>
          <w:szCs w:val="24"/>
        </w:rPr>
        <w:t>tuber</w:t>
      </w:r>
      <w:proofErr w:type="spellEnd"/>
      <w:r w:rsidR="00396180" w:rsidRPr="00E0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180" w:rsidRPr="00E067E6">
        <w:rPr>
          <w:rFonts w:ascii="Arial" w:hAnsi="Arial" w:cs="Arial"/>
          <w:sz w:val="24"/>
          <w:szCs w:val="24"/>
        </w:rPr>
        <w:t>crops</w:t>
      </w:r>
      <w:proofErr w:type="spellEnd"/>
      <w:r w:rsidR="00396180" w:rsidRPr="00E067E6">
        <w:rPr>
          <w:rFonts w:ascii="Arial" w:hAnsi="Arial" w:cs="Arial"/>
          <w:sz w:val="24"/>
          <w:szCs w:val="24"/>
        </w:rPr>
        <w:t xml:space="preserve">: cassava, </w:t>
      </w:r>
      <w:proofErr w:type="spellStart"/>
      <w:r w:rsidR="00396180" w:rsidRPr="00E067E6">
        <w:rPr>
          <w:rFonts w:ascii="Arial" w:hAnsi="Arial" w:cs="Arial"/>
          <w:sz w:val="24"/>
          <w:szCs w:val="24"/>
        </w:rPr>
        <w:t>sweet</w:t>
      </w:r>
      <w:proofErr w:type="spellEnd"/>
      <w:r w:rsidR="00396180" w:rsidRPr="00E0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180" w:rsidRPr="00E067E6">
        <w:rPr>
          <w:rFonts w:ascii="Arial" w:hAnsi="Arial" w:cs="Arial"/>
          <w:sz w:val="24"/>
          <w:szCs w:val="24"/>
        </w:rPr>
        <w:t>potat</w:t>
      </w:r>
      <w:r w:rsidR="00C62A29" w:rsidRPr="00E067E6">
        <w:rPr>
          <w:rFonts w:ascii="Arial" w:hAnsi="Arial" w:cs="Arial"/>
          <w:sz w:val="24"/>
          <w:szCs w:val="24"/>
        </w:rPr>
        <w:t>o</w:t>
      </w:r>
      <w:proofErr w:type="spellEnd"/>
      <w:r w:rsidR="00C62A29" w:rsidRPr="00E067E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96180" w:rsidRPr="00E067E6">
        <w:rPr>
          <w:rFonts w:ascii="Arial" w:hAnsi="Arial" w:cs="Arial"/>
          <w:sz w:val="24"/>
          <w:szCs w:val="24"/>
        </w:rPr>
        <w:t>yams</w:t>
      </w:r>
      <w:proofErr w:type="spellEnd"/>
      <w:r w:rsidR="00396180" w:rsidRPr="00E0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180" w:rsidRPr="00E067E6">
        <w:rPr>
          <w:rFonts w:ascii="Arial" w:hAnsi="Arial" w:cs="Arial"/>
          <w:sz w:val="24"/>
          <w:szCs w:val="24"/>
        </w:rPr>
        <w:t>and</w:t>
      </w:r>
      <w:proofErr w:type="spellEnd"/>
      <w:r w:rsidR="00396180" w:rsidRPr="00E0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6180" w:rsidRPr="00E067E6">
        <w:rPr>
          <w:rFonts w:ascii="Arial" w:hAnsi="Arial" w:cs="Arial"/>
          <w:sz w:val="24"/>
          <w:szCs w:val="24"/>
        </w:rPr>
        <w:t>aroids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, </w:t>
      </w:r>
      <w:r w:rsidR="00F24BC0" w:rsidRPr="00046981">
        <w:rPr>
          <w:rFonts w:ascii="Arial" w:hAnsi="Arial" w:cs="Arial"/>
          <w:sz w:val="24"/>
          <w:szCs w:val="24"/>
        </w:rPr>
        <w:t xml:space="preserve">p. </w:t>
      </w:r>
      <w:r w:rsidR="00E067E6" w:rsidRPr="00E067E6">
        <w:rPr>
          <w:rFonts w:ascii="Arial" w:hAnsi="Arial" w:cs="Arial"/>
          <w:sz w:val="24"/>
          <w:szCs w:val="24"/>
        </w:rPr>
        <w:t>73–88, 2022). Em 202</w:t>
      </w:r>
      <w:r w:rsidR="00F971CC" w:rsidRPr="00046981">
        <w:rPr>
          <w:rFonts w:ascii="Arial" w:hAnsi="Arial" w:cs="Arial"/>
          <w:sz w:val="24"/>
          <w:szCs w:val="24"/>
        </w:rPr>
        <w:t>3</w:t>
      </w:r>
      <w:r w:rsidR="00E067E6" w:rsidRPr="00E067E6">
        <w:rPr>
          <w:rFonts w:ascii="Arial" w:hAnsi="Arial" w:cs="Arial"/>
          <w:sz w:val="24"/>
          <w:szCs w:val="24"/>
        </w:rPr>
        <w:t xml:space="preserve">, o Brasil figurou </w:t>
      </w:r>
      <w:r w:rsidR="00F971CC" w:rsidRPr="00046981">
        <w:rPr>
          <w:rFonts w:ascii="Arial" w:hAnsi="Arial" w:cs="Arial"/>
          <w:sz w:val="24"/>
          <w:szCs w:val="24"/>
        </w:rPr>
        <w:t xml:space="preserve">entre os dez maiores </w:t>
      </w:r>
      <w:r w:rsidR="00E067E6" w:rsidRPr="00E067E6">
        <w:rPr>
          <w:rFonts w:ascii="Arial" w:hAnsi="Arial" w:cs="Arial"/>
          <w:sz w:val="24"/>
          <w:szCs w:val="24"/>
        </w:rPr>
        <w:t>produtor</w:t>
      </w:r>
      <w:r w:rsidR="00F971CC" w:rsidRPr="00046981">
        <w:rPr>
          <w:rFonts w:ascii="Arial" w:hAnsi="Arial" w:cs="Arial"/>
          <w:sz w:val="24"/>
          <w:szCs w:val="24"/>
        </w:rPr>
        <w:t>es</w:t>
      </w:r>
      <w:r w:rsidR="00E067E6" w:rsidRPr="00E067E6">
        <w:rPr>
          <w:rFonts w:ascii="Arial" w:hAnsi="Arial" w:cs="Arial"/>
          <w:sz w:val="24"/>
          <w:szCs w:val="24"/>
        </w:rPr>
        <w:t xml:space="preserve"> mundia</w:t>
      </w:r>
      <w:r w:rsidR="00B94150">
        <w:rPr>
          <w:rFonts w:ascii="Arial" w:hAnsi="Arial" w:cs="Arial"/>
          <w:sz w:val="24"/>
          <w:szCs w:val="24"/>
        </w:rPr>
        <w:t>is</w:t>
      </w:r>
      <w:r w:rsidR="00E067E6" w:rsidRPr="00E067E6">
        <w:rPr>
          <w:rFonts w:ascii="Arial" w:hAnsi="Arial" w:cs="Arial"/>
          <w:sz w:val="24"/>
          <w:szCs w:val="24"/>
        </w:rPr>
        <w:t xml:space="preserve"> de mandioca (</w:t>
      </w:r>
      <w:r w:rsidR="00DD4254" w:rsidRPr="00046981">
        <w:rPr>
          <w:rFonts w:ascii="Arial" w:hAnsi="Arial" w:cs="Arial"/>
          <w:sz w:val="24"/>
          <w:szCs w:val="24"/>
        </w:rPr>
        <w:t xml:space="preserve">FAOSTAT. </w:t>
      </w:r>
      <w:r w:rsidR="00DD4254" w:rsidRPr="00046981">
        <w:rPr>
          <w:rFonts w:ascii="Arial" w:hAnsi="Arial" w:cs="Arial"/>
          <w:sz w:val="24"/>
          <w:szCs w:val="24"/>
          <w:lang w:val="en-US"/>
        </w:rPr>
        <w:t>Production; Cassava; all Countries. Food and Agriculture Organization of the United Nations, 202</w:t>
      </w:r>
      <w:r w:rsidR="000A7662" w:rsidRPr="00046981">
        <w:rPr>
          <w:rFonts w:ascii="Arial" w:hAnsi="Arial" w:cs="Arial"/>
          <w:sz w:val="24"/>
          <w:szCs w:val="24"/>
          <w:lang w:val="en-US"/>
        </w:rPr>
        <w:t>3</w:t>
      </w:r>
      <w:r w:rsidR="00E067E6" w:rsidRPr="00E067E6">
        <w:rPr>
          <w:rFonts w:ascii="Arial" w:hAnsi="Arial" w:cs="Arial"/>
          <w:sz w:val="24"/>
          <w:szCs w:val="24"/>
          <w:lang w:val="en-US"/>
        </w:rPr>
        <w:t xml:space="preserve">). </w:t>
      </w:r>
      <w:r w:rsidR="00E067E6" w:rsidRPr="00E067E6">
        <w:rPr>
          <w:rFonts w:ascii="Arial" w:hAnsi="Arial" w:cs="Arial"/>
          <w:sz w:val="24"/>
          <w:szCs w:val="24"/>
        </w:rPr>
        <w:t xml:space="preserve">No entanto, a cultura enfrenta desafios significativos, incluindo o ataque de pragas e doenças, que podem levar a perdas substanciais na produção (OGWOK et al., Virus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Research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, </w:t>
      </w:r>
      <w:r w:rsidR="00D9392F" w:rsidRPr="00046981">
        <w:rPr>
          <w:rFonts w:ascii="Arial" w:hAnsi="Arial" w:cs="Arial"/>
          <w:sz w:val="24"/>
          <w:szCs w:val="24"/>
        </w:rPr>
        <w:t xml:space="preserve">v. </w:t>
      </w:r>
      <w:r w:rsidR="00E067E6" w:rsidRPr="00E067E6">
        <w:rPr>
          <w:rFonts w:ascii="Arial" w:hAnsi="Arial" w:cs="Arial"/>
          <w:sz w:val="24"/>
          <w:szCs w:val="24"/>
        </w:rPr>
        <w:t xml:space="preserve">215, </w:t>
      </w:r>
      <w:r w:rsidR="00D9392F" w:rsidRPr="00046981">
        <w:rPr>
          <w:rFonts w:ascii="Arial" w:hAnsi="Arial" w:cs="Arial"/>
          <w:sz w:val="24"/>
          <w:szCs w:val="24"/>
        </w:rPr>
        <w:t xml:space="preserve">p. </w:t>
      </w:r>
      <w:r w:rsidR="00E067E6" w:rsidRPr="00E067E6">
        <w:rPr>
          <w:rFonts w:ascii="Arial" w:hAnsi="Arial" w:cs="Arial"/>
          <w:sz w:val="24"/>
          <w:szCs w:val="24"/>
        </w:rPr>
        <w:t xml:space="preserve">1–11, 2016; LEBOT et al., Tropical Root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and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Tuber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Crops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: Cassava, Sweet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Potato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Yams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and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Aroids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, </w:t>
      </w:r>
      <w:r w:rsidR="00D96879" w:rsidRPr="00046981">
        <w:rPr>
          <w:rFonts w:ascii="Arial" w:hAnsi="Arial" w:cs="Arial"/>
          <w:sz w:val="24"/>
          <w:szCs w:val="24"/>
        </w:rPr>
        <w:t xml:space="preserve">p. </w:t>
      </w:r>
      <w:r w:rsidR="00E067E6" w:rsidRPr="00E067E6">
        <w:rPr>
          <w:rFonts w:ascii="Arial" w:hAnsi="Arial" w:cs="Arial"/>
          <w:sz w:val="24"/>
          <w:szCs w:val="24"/>
        </w:rPr>
        <w:t xml:space="preserve">73–88, 2020; FATHIMA et al., Food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and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Energy Security, </w:t>
      </w:r>
      <w:r w:rsidR="00442B9F" w:rsidRPr="00046981">
        <w:rPr>
          <w:rFonts w:ascii="Arial" w:hAnsi="Arial" w:cs="Arial"/>
          <w:sz w:val="24"/>
          <w:szCs w:val="24"/>
        </w:rPr>
        <w:t xml:space="preserve">v. </w:t>
      </w:r>
      <w:r w:rsidR="00E067E6" w:rsidRPr="00E067E6">
        <w:rPr>
          <w:rFonts w:ascii="Arial" w:hAnsi="Arial" w:cs="Arial"/>
          <w:sz w:val="24"/>
          <w:szCs w:val="24"/>
        </w:rPr>
        <w:t xml:space="preserve">12, </w:t>
      </w:r>
      <w:r w:rsidR="00442B9F" w:rsidRPr="00046981">
        <w:rPr>
          <w:rFonts w:ascii="Arial" w:hAnsi="Arial" w:cs="Arial"/>
          <w:sz w:val="24"/>
          <w:szCs w:val="24"/>
        </w:rPr>
        <w:t xml:space="preserve">n. 1, </w:t>
      </w:r>
      <w:proofErr w:type="spellStart"/>
      <w:r w:rsidR="00893A24" w:rsidRPr="00046981">
        <w:rPr>
          <w:rFonts w:ascii="Arial" w:hAnsi="Arial" w:cs="Arial"/>
          <w:sz w:val="24"/>
          <w:szCs w:val="24"/>
        </w:rPr>
        <w:t>article</w:t>
      </w:r>
      <w:proofErr w:type="spellEnd"/>
      <w:r w:rsidR="00893A24" w:rsidRPr="00046981">
        <w:rPr>
          <w:rFonts w:ascii="Arial" w:hAnsi="Arial" w:cs="Arial"/>
          <w:sz w:val="24"/>
          <w:szCs w:val="24"/>
        </w:rPr>
        <w:t xml:space="preserve"> </w:t>
      </w:r>
      <w:r w:rsidR="00E067E6" w:rsidRPr="00E067E6">
        <w:rPr>
          <w:rFonts w:ascii="Arial" w:hAnsi="Arial" w:cs="Arial"/>
          <w:sz w:val="24"/>
          <w:szCs w:val="24"/>
        </w:rPr>
        <w:t>e380, 2022).</w:t>
      </w:r>
    </w:p>
    <w:p w14:paraId="5841C2CE" w14:textId="608C503D" w:rsidR="00E067E6" w:rsidRPr="00E067E6" w:rsidRDefault="00893A24" w:rsidP="00046981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046981">
        <w:rPr>
          <w:rFonts w:ascii="Arial" w:hAnsi="Arial" w:cs="Arial"/>
          <w:sz w:val="24"/>
          <w:szCs w:val="24"/>
        </w:rPr>
        <w:t>[00</w:t>
      </w:r>
      <w:r w:rsidR="00A62548">
        <w:rPr>
          <w:rFonts w:ascii="Arial" w:hAnsi="Arial" w:cs="Arial"/>
          <w:sz w:val="24"/>
          <w:szCs w:val="24"/>
        </w:rPr>
        <w:t>3</w:t>
      </w:r>
      <w:r w:rsidRPr="00046981">
        <w:rPr>
          <w:rFonts w:ascii="Arial" w:hAnsi="Arial" w:cs="Arial"/>
          <w:sz w:val="24"/>
          <w:szCs w:val="24"/>
        </w:rPr>
        <w:t>]</w:t>
      </w:r>
      <w:r w:rsidRPr="00046981"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 xml:space="preserve">Na região Nordeste do Brasil, a produção de mandioca é particularmente afetada por uma variedade de patógenos, incluindo aqueles que causam podridão radicular, como 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Phytophthora</w:t>
      </w:r>
      <w:proofErr w:type="spellEnd"/>
      <w:r w:rsidR="00E067E6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drechsleri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E067E6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solani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, além da antracnose, causada por 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Colletotrichum</w:t>
      </w:r>
      <w:proofErr w:type="spellEnd"/>
      <w:r w:rsidR="00E067E6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gloeosporioides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(SILVA et al., Impacto potencial das mudanças climáticas sobre as doenças da mandioca no Brasil, </w:t>
      </w:r>
      <w:r w:rsidR="007601B2" w:rsidRPr="00046981">
        <w:rPr>
          <w:rFonts w:ascii="Arial" w:hAnsi="Arial" w:cs="Arial"/>
          <w:sz w:val="24"/>
          <w:szCs w:val="24"/>
        </w:rPr>
        <w:t xml:space="preserve">p. 263-272, </w:t>
      </w:r>
      <w:r w:rsidR="00E067E6" w:rsidRPr="00E067E6">
        <w:rPr>
          <w:rFonts w:ascii="Arial" w:hAnsi="Arial" w:cs="Arial"/>
          <w:sz w:val="24"/>
          <w:szCs w:val="24"/>
        </w:rPr>
        <w:t xml:space="preserve">2011; BELLÉ et al.,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Australasian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Plant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Dis</w:t>
      </w:r>
      <w:r w:rsidR="001428F2" w:rsidRPr="00046981">
        <w:rPr>
          <w:rFonts w:ascii="Arial" w:hAnsi="Arial" w:cs="Arial"/>
          <w:sz w:val="24"/>
          <w:szCs w:val="24"/>
        </w:rPr>
        <w:t>eases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. </w:t>
      </w:r>
      <w:r w:rsidR="00E067E6" w:rsidRPr="00E067E6">
        <w:rPr>
          <w:rFonts w:ascii="Arial" w:hAnsi="Arial" w:cs="Arial"/>
          <w:sz w:val="24"/>
          <w:szCs w:val="24"/>
          <w:lang w:val="en-US"/>
        </w:rPr>
        <w:t xml:space="preserve">Notes, </w:t>
      </w:r>
      <w:r w:rsidR="00114EEB" w:rsidRPr="00046981">
        <w:rPr>
          <w:rFonts w:ascii="Arial" w:hAnsi="Arial" w:cs="Arial"/>
          <w:sz w:val="24"/>
          <w:szCs w:val="24"/>
          <w:lang w:val="en-US"/>
        </w:rPr>
        <w:t xml:space="preserve">v. </w:t>
      </w:r>
      <w:r w:rsidR="00E067E6" w:rsidRPr="00E067E6">
        <w:rPr>
          <w:rFonts w:ascii="Arial" w:hAnsi="Arial" w:cs="Arial"/>
          <w:sz w:val="24"/>
          <w:szCs w:val="24"/>
          <w:lang w:val="en-US"/>
        </w:rPr>
        <w:t xml:space="preserve">14, </w:t>
      </w:r>
      <w:r w:rsidR="00114EEB" w:rsidRPr="00046981">
        <w:rPr>
          <w:rFonts w:ascii="Arial" w:hAnsi="Arial" w:cs="Arial"/>
          <w:sz w:val="24"/>
          <w:szCs w:val="24"/>
          <w:lang w:val="en-US"/>
        </w:rPr>
        <w:t xml:space="preserve">article </w:t>
      </w:r>
      <w:r w:rsidR="00E067E6" w:rsidRPr="00E067E6">
        <w:rPr>
          <w:rFonts w:ascii="Arial" w:hAnsi="Arial" w:cs="Arial"/>
          <w:sz w:val="24"/>
          <w:szCs w:val="24"/>
          <w:lang w:val="en-US"/>
        </w:rPr>
        <w:t xml:space="preserve">36, 2019; HUANG et al., </w:t>
      </w:r>
      <w:r w:rsidR="00BE7EC8" w:rsidRPr="00046981">
        <w:rPr>
          <w:rFonts w:ascii="Arial" w:hAnsi="Arial" w:cs="Arial"/>
          <w:sz w:val="24"/>
          <w:szCs w:val="24"/>
          <w:lang w:val="en-US"/>
        </w:rPr>
        <w:t xml:space="preserve">Egyptian Journal of </w:t>
      </w:r>
      <w:r w:rsidR="00BE7EC8" w:rsidRPr="00046981">
        <w:rPr>
          <w:rFonts w:ascii="Arial" w:hAnsi="Arial" w:cs="Arial"/>
          <w:sz w:val="24"/>
          <w:szCs w:val="24"/>
          <w:lang w:val="en-US"/>
        </w:rPr>
        <w:lastRenderedPageBreak/>
        <w:t>Biological Pest Control</w:t>
      </w:r>
      <w:r w:rsidR="00E067E6" w:rsidRPr="00E067E6">
        <w:rPr>
          <w:rFonts w:ascii="Arial" w:hAnsi="Arial" w:cs="Arial"/>
          <w:sz w:val="24"/>
          <w:szCs w:val="24"/>
          <w:lang w:val="en-US"/>
        </w:rPr>
        <w:t xml:space="preserve">, </w:t>
      </w:r>
      <w:r w:rsidR="002F685B" w:rsidRPr="00046981">
        <w:rPr>
          <w:rFonts w:ascii="Arial" w:hAnsi="Arial" w:cs="Arial"/>
          <w:sz w:val="24"/>
          <w:szCs w:val="24"/>
          <w:lang w:val="en-US"/>
        </w:rPr>
        <w:t xml:space="preserve">v. </w:t>
      </w:r>
      <w:r w:rsidR="00E067E6" w:rsidRPr="00E067E6">
        <w:rPr>
          <w:rFonts w:ascii="Arial" w:hAnsi="Arial" w:cs="Arial"/>
          <w:sz w:val="24"/>
          <w:szCs w:val="24"/>
          <w:lang w:val="en-US"/>
        </w:rPr>
        <w:t xml:space="preserve">30, </w:t>
      </w:r>
      <w:r w:rsidR="002F685B" w:rsidRPr="00046981">
        <w:rPr>
          <w:rFonts w:ascii="Arial" w:hAnsi="Arial" w:cs="Arial"/>
          <w:sz w:val="24"/>
          <w:szCs w:val="24"/>
          <w:lang w:val="en-US"/>
        </w:rPr>
        <w:t xml:space="preserve">article </w:t>
      </w:r>
      <w:r w:rsidR="00E067E6" w:rsidRPr="00E067E6">
        <w:rPr>
          <w:rFonts w:ascii="Arial" w:hAnsi="Arial" w:cs="Arial"/>
          <w:sz w:val="24"/>
          <w:szCs w:val="24"/>
          <w:lang w:val="en-US"/>
        </w:rPr>
        <w:t xml:space="preserve">104, 2020). </w:t>
      </w:r>
      <w:r w:rsidR="00E067E6" w:rsidRPr="00E067E6">
        <w:rPr>
          <w:rFonts w:ascii="Arial" w:hAnsi="Arial" w:cs="Arial"/>
          <w:sz w:val="24"/>
          <w:szCs w:val="24"/>
        </w:rPr>
        <w:t>A antracnose, em particular, pode causar graves danos, levando à desfolha e à morte da planta</w:t>
      </w:r>
      <w:r w:rsidR="00B37D63" w:rsidRPr="00046981">
        <w:rPr>
          <w:rFonts w:ascii="Arial" w:hAnsi="Arial" w:cs="Arial"/>
          <w:sz w:val="24"/>
          <w:szCs w:val="24"/>
        </w:rPr>
        <w:t>, afetando campos inteiros de produção</w:t>
      </w:r>
      <w:r w:rsidR="00E067E6" w:rsidRPr="00E067E6">
        <w:rPr>
          <w:rFonts w:ascii="Arial" w:hAnsi="Arial" w:cs="Arial"/>
          <w:sz w:val="24"/>
          <w:szCs w:val="24"/>
        </w:rPr>
        <w:t xml:space="preserve"> (PERUCH et al., Recomendações técnicas para a produção de mandioca de indústria e mesa em Santa Catarina, </w:t>
      </w:r>
      <w:r w:rsidR="00100F80" w:rsidRPr="00046981">
        <w:rPr>
          <w:rFonts w:ascii="Arial" w:hAnsi="Arial" w:cs="Arial"/>
          <w:sz w:val="24"/>
          <w:szCs w:val="24"/>
        </w:rPr>
        <w:t xml:space="preserve">p. </w:t>
      </w:r>
      <w:r w:rsidR="00E067E6" w:rsidRPr="00E067E6">
        <w:rPr>
          <w:rFonts w:ascii="Arial" w:hAnsi="Arial" w:cs="Arial"/>
          <w:sz w:val="24"/>
          <w:szCs w:val="24"/>
        </w:rPr>
        <w:t>62–67, 2018).</w:t>
      </w:r>
    </w:p>
    <w:p w14:paraId="6DDB3200" w14:textId="4E995DE6" w:rsidR="00E067E6" w:rsidRPr="00E067E6" w:rsidRDefault="003D505D" w:rsidP="00046981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046981">
        <w:rPr>
          <w:rFonts w:ascii="Arial" w:hAnsi="Arial" w:cs="Arial"/>
          <w:sz w:val="24"/>
          <w:szCs w:val="24"/>
        </w:rPr>
        <w:t>[00</w:t>
      </w:r>
      <w:r w:rsidR="00A62548">
        <w:rPr>
          <w:rFonts w:ascii="Arial" w:hAnsi="Arial" w:cs="Arial"/>
          <w:sz w:val="24"/>
          <w:szCs w:val="24"/>
        </w:rPr>
        <w:t>4</w:t>
      </w:r>
      <w:r w:rsidRPr="00046981">
        <w:rPr>
          <w:rFonts w:ascii="Arial" w:hAnsi="Arial" w:cs="Arial"/>
          <w:sz w:val="24"/>
          <w:szCs w:val="24"/>
        </w:rPr>
        <w:t>]</w:t>
      </w:r>
      <w:r w:rsidRPr="00046981"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 xml:space="preserve">O controle dessas doenças é essencial para garantir a produtividade da cultura da mandioca. No entanto, a disponibilidade limitada de produtos registrados para esse fim torna o uso de alternativas naturais uma necessidade crescente (CHOUDHURY et al., Indian </w:t>
      </w:r>
      <w:proofErr w:type="spellStart"/>
      <w:r w:rsidR="0070379C" w:rsidRPr="00046981">
        <w:rPr>
          <w:rFonts w:ascii="Arial" w:hAnsi="Arial" w:cs="Arial"/>
          <w:sz w:val="24"/>
          <w:szCs w:val="24"/>
        </w:rPr>
        <w:t>J</w:t>
      </w:r>
      <w:r w:rsidR="00E067E6" w:rsidRPr="00E067E6">
        <w:rPr>
          <w:rFonts w:ascii="Arial" w:hAnsi="Arial" w:cs="Arial"/>
          <w:sz w:val="24"/>
          <w:szCs w:val="24"/>
        </w:rPr>
        <w:t>ournal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of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79C" w:rsidRPr="00046981">
        <w:rPr>
          <w:rFonts w:ascii="Arial" w:hAnsi="Arial" w:cs="Arial"/>
          <w:sz w:val="24"/>
          <w:szCs w:val="24"/>
        </w:rPr>
        <w:t>A</w:t>
      </w:r>
      <w:r w:rsidR="00E067E6" w:rsidRPr="00E067E6">
        <w:rPr>
          <w:rFonts w:ascii="Arial" w:hAnsi="Arial" w:cs="Arial"/>
          <w:sz w:val="24"/>
          <w:szCs w:val="24"/>
        </w:rPr>
        <w:t>gricultural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79C" w:rsidRPr="00046981">
        <w:rPr>
          <w:rFonts w:ascii="Arial" w:hAnsi="Arial" w:cs="Arial"/>
          <w:sz w:val="24"/>
          <w:szCs w:val="24"/>
        </w:rPr>
        <w:t>R</w:t>
      </w:r>
      <w:r w:rsidR="00E067E6" w:rsidRPr="00E067E6">
        <w:rPr>
          <w:rFonts w:ascii="Arial" w:hAnsi="Arial" w:cs="Arial"/>
          <w:sz w:val="24"/>
          <w:szCs w:val="24"/>
        </w:rPr>
        <w:t>esearch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>,</w:t>
      </w:r>
      <w:r w:rsidR="00ED0D9B" w:rsidRPr="00046981">
        <w:rPr>
          <w:rFonts w:ascii="Arial" w:hAnsi="Arial" w:cs="Arial"/>
          <w:sz w:val="24"/>
          <w:szCs w:val="24"/>
        </w:rPr>
        <w:t xml:space="preserve"> v.</w:t>
      </w:r>
      <w:r w:rsidR="00E716C8" w:rsidRPr="00046981">
        <w:rPr>
          <w:rFonts w:ascii="Arial" w:hAnsi="Arial" w:cs="Arial"/>
          <w:sz w:val="24"/>
          <w:szCs w:val="24"/>
        </w:rPr>
        <w:t>52, n. 4, p. 341</w:t>
      </w:r>
      <w:r w:rsidR="00E716C8" w:rsidRPr="00E067E6">
        <w:rPr>
          <w:rFonts w:ascii="Arial" w:hAnsi="Arial" w:cs="Arial"/>
          <w:sz w:val="24"/>
          <w:szCs w:val="24"/>
        </w:rPr>
        <w:t>–</w:t>
      </w:r>
      <w:r w:rsidR="00E716C8" w:rsidRPr="00046981">
        <w:rPr>
          <w:rFonts w:ascii="Arial" w:hAnsi="Arial" w:cs="Arial"/>
          <w:sz w:val="24"/>
          <w:szCs w:val="24"/>
        </w:rPr>
        <w:t>346,</w:t>
      </w:r>
      <w:r w:rsidR="00E067E6" w:rsidRPr="00E067E6">
        <w:rPr>
          <w:rFonts w:ascii="Arial" w:hAnsi="Arial" w:cs="Arial"/>
          <w:sz w:val="24"/>
          <w:szCs w:val="24"/>
        </w:rPr>
        <w:t xml:space="preserve"> 2018; RANJITHA et al., </w:t>
      </w:r>
      <w:proofErr w:type="spellStart"/>
      <w:r w:rsidR="00AF0B95" w:rsidRPr="00046981">
        <w:rPr>
          <w:rFonts w:ascii="Arial" w:hAnsi="Arial" w:cs="Arial"/>
          <w:sz w:val="24"/>
          <w:szCs w:val="24"/>
        </w:rPr>
        <w:t>International</w:t>
      </w:r>
      <w:proofErr w:type="spellEnd"/>
      <w:r w:rsidR="00AF0B95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0B95" w:rsidRPr="00046981">
        <w:rPr>
          <w:rFonts w:ascii="Arial" w:hAnsi="Arial" w:cs="Arial"/>
          <w:sz w:val="24"/>
          <w:szCs w:val="24"/>
        </w:rPr>
        <w:t>Journal</w:t>
      </w:r>
      <w:proofErr w:type="spellEnd"/>
      <w:r w:rsidR="00AF0B95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0B95" w:rsidRPr="00046981">
        <w:rPr>
          <w:rFonts w:ascii="Arial" w:hAnsi="Arial" w:cs="Arial"/>
          <w:sz w:val="24"/>
          <w:szCs w:val="24"/>
        </w:rPr>
        <w:t>of</w:t>
      </w:r>
      <w:proofErr w:type="spellEnd"/>
      <w:r w:rsidR="00AF0B95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0B95" w:rsidRPr="00046981">
        <w:rPr>
          <w:rFonts w:ascii="Arial" w:hAnsi="Arial" w:cs="Arial"/>
          <w:sz w:val="24"/>
          <w:szCs w:val="24"/>
        </w:rPr>
        <w:t>Current</w:t>
      </w:r>
      <w:proofErr w:type="spellEnd"/>
      <w:r w:rsidR="00AF0B95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0B95" w:rsidRPr="00046981">
        <w:rPr>
          <w:rFonts w:ascii="Arial" w:hAnsi="Arial" w:cs="Arial"/>
          <w:sz w:val="24"/>
          <w:szCs w:val="24"/>
        </w:rPr>
        <w:t>Microbiology</w:t>
      </w:r>
      <w:proofErr w:type="spellEnd"/>
      <w:r w:rsidR="00AF0B95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0B95" w:rsidRPr="00046981">
        <w:rPr>
          <w:rFonts w:ascii="Arial" w:hAnsi="Arial" w:cs="Arial"/>
          <w:sz w:val="24"/>
          <w:szCs w:val="24"/>
        </w:rPr>
        <w:t>and</w:t>
      </w:r>
      <w:proofErr w:type="spellEnd"/>
      <w:r w:rsidR="00AF0B95" w:rsidRPr="00046981">
        <w:rPr>
          <w:rFonts w:ascii="Arial" w:hAnsi="Arial" w:cs="Arial"/>
          <w:sz w:val="24"/>
          <w:szCs w:val="24"/>
        </w:rPr>
        <w:t xml:space="preserve"> Applied </w:t>
      </w:r>
      <w:proofErr w:type="spellStart"/>
      <w:r w:rsidR="00AF0B95" w:rsidRPr="00046981">
        <w:rPr>
          <w:rFonts w:ascii="Arial" w:hAnsi="Arial" w:cs="Arial"/>
          <w:sz w:val="24"/>
          <w:szCs w:val="24"/>
        </w:rPr>
        <w:t>Sciences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, </w:t>
      </w:r>
      <w:r w:rsidR="00AF0B95" w:rsidRPr="00046981">
        <w:rPr>
          <w:rFonts w:ascii="Arial" w:hAnsi="Arial" w:cs="Arial"/>
          <w:sz w:val="24"/>
          <w:szCs w:val="24"/>
        </w:rPr>
        <w:t xml:space="preserve">v. </w:t>
      </w:r>
      <w:r w:rsidR="00E067E6" w:rsidRPr="00E067E6">
        <w:rPr>
          <w:rFonts w:ascii="Arial" w:hAnsi="Arial" w:cs="Arial"/>
          <w:sz w:val="24"/>
          <w:szCs w:val="24"/>
        </w:rPr>
        <w:t>8,</w:t>
      </w:r>
      <w:r w:rsidR="00685849" w:rsidRPr="00046981">
        <w:rPr>
          <w:rFonts w:ascii="Arial" w:hAnsi="Arial" w:cs="Arial"/>
          <w:sz w:val="24"/>
          <w:szCs w:val="24"/>
        </w:rPr>
        <w:t xml:space="preserve"> n. 5, p. </w:t>
      </w:r>
      <w:r w:rsidR="00E067E6" w:rsidRPr="00E067E6">
        <w:rPr>
          <w:rFonts w:ascii="Arial" w:hAnsi="Arial" w:cs="Arial"/>
          <w:sz w:val="24"/>
          <w:szCs w:val="24"/>
        </w:rPr>
        <w:t xml:space="preserve">1809-1816, 2019; SANTRA et al., </w:t>
      </w:r>
      <w:r w:rsidR="00C359B8" w:rsidRPr="00046981">
        <w:rPr>
          <w:rFonts w:ascii="Arial" w:hAnsi="Arial" w:cs="Arial"/>
          <w:sz w:val="24"/>
          <w:szCs w:val="24"/>
        </w:rPr>
        <w:t xml:space="preserve">Natural </w:t>
      </w:r>
      <w:proofErr w:type="spellStart"/>
      <w:r w:rsidR="00C359B8" w:rsidRPr="00046981">
        <w:rPr>
          <w:rFonts w:ascii="Arial" w:hAnsi="Arial" w:cs="Arial"/>
          <w:sz w:val="24"/>
          <w:szCs w:val="24"/>
        </w:rPr>
        <w:t>Bioactive</w:t>
      </w:r>
      <w:proofErr w:type="spellEnd"/>
      <w:r w:rsidR="00C359B8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9B8" w:rsidRPr="00046981">
        <w:rPr>
          <w:rFonts w:ascii="Arial" w:hAnsi="Arial" w:cs="Arial"/>
          <w:sz w:val="24"/>
          <w:szCs w:val="24"/>
        </w:rPr>
        <w:t>Products</w:t>
      </w:r>
      <w:proofErr w:type="spellEnd"/>
      <w:r w:rsidR="00C359B8" w:rsidRPr="0004698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C359B8" w:rsidRPr="00046981">
        <w:rPr>
          <w:rFonts w:ascii="Arial" w:hAnsi="Arial" w:cs="Arial"/>
          <w:sz w:val="24"/>
          <w:szCs w:val="24"/>
        </w:rPr>
        <w:t>Sustainable</w:t>
      </w:r>
      <w:proofErr w:type="spellEnd"/>
      <w:r w:rsidR="00C359B8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9B8" w:rsidRPr="00046981">
        <w:rPr>
          <w:rFonts w:ascii="Arial" w:hAnsi="Arial" w:cs="Arial"/>
          <w:sz w:val="24"/>
          <w:szCs w:val="24"/>
        </w:rPr>
        <w:t>Agriculture</w:t>
      </w:r>
      <w:proofErr w:type="spellEnd"/>
      <w:r w:rsidR="00C359B8" w:rsidRPr="00046981">
        <w:rPr>
          <w:rFonts w:ascii="Arial" w:hAnsi="Arial" w:cs="Arial"/>
          <w:sz w:val="24"/>
          <w:szCs w:val="24"/>
        </w:rPr>
        <w:t>. Springer</w:t>
      </w:r>
      <w:r w:rsidR="00E067E6" w:rsidRPr="00E067E6">
        <w:rPr>
          <w:rFonts w:ascii="Arial" w:hAnsi="Arial" w:cs="Arial"/>
          <w:sz w:val="24"/>
          <w:szCs w:val="24"/>
        </w:rPr>
        <w:t xml:space="preserve">, </w:t>
      </w:r>
      <w:r w:rsidR="00837477" w:rsidRPr="00046981">
        <w:rPr>
          <w:rFonts w:ascii="Arial" w:hAnsi="Arial" w:cs="Arial"/>
          <w:sz w:val="24"/>
          <w:szCs w:val="24"/>
        </w:rPr>
        <w:t xml:space="preserve">p. </w:t>
      </w:r>
      <w:r w:rsidR="00E067E6" w:rsidRPr="00E067E6">
        <w:rPr>
          <w:rFonts w:ascii="Arial" w:hAnsi="Arial" w:cs="Arial"/>
          <w:sz w:val="24"/>
          <w:szCs w:val="24"/>
        </w:rPr>
        <w:t>131-219, 2020). Extratos de plantas, ricos em compostos como taninos, flavonoides e alcaloides, têm demonstrado potencial no controle de patógenos fúngicos (CARVALHO et al., Rev</w:t>
      </w:r>
      <w:r w:rsidR="00CD1C43" w:rsidRPr="00046981">
        <w:rPr>
          <w:rFonts w:ascii="Arial" w:hAnsi="Arial" w:cs="Arial"/>
          <w:sz w:val="24"/>
          <w:szCs w:val="24"/>
        </w:rPr>
        <w:t>ista</w:t>
      </w:r>
      <w:r w:rsidR="00E067E6" w:rsidRPr="00E067E6">
        <w:rPr>
          <w:rFonts w:ascii="Arial" w:hAnsi="Arial" w:cs="Arial"/>
          <w:sz w:val="24"/>
          <w:szCs w:val="24"/>
        </w:rPr>
        <w:t xml:space="preserve"> Árvore, </w:t>
      </w:r>
      <w:r w:rsidR="00511122" w:rsidRPr="00046981">
        <w:rPr>
          <w:rFonts w:ascii="Arial" w:hAnsi="Arial" w:cs="Arial"/>
          <w:sz w:val="24"/>
          <w:szCs w:val="24"/>
        </w:rPr>
        <w:t xml:space="preserve">v. </w:t>
      </w:r>
      <w:r w:rsidR="00E067E6" w:rsidRPr="00E067E6">
        <w:rPr>
          <w:rFonts w:ascii="Arial" w:hAnsi="Arial" w:cs="Arial"/>
          <w:sz w:val="24"/>
          <w:szCs w:val="24"/>
        </w:rPr>
        <w:t>46</w:t>
      </w:r>
      <w:r w:rsidR="00511122" w:rsidRPr="000469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11122" w:rsidRPr="00046981">
        <w:rPr>
          <w:rFonts w:ascii="Arial" w:hAnsi="Arial" w:cs="Arial"/>
          <w:sz w:val="24"/>
          <w:szCs w:val="24"/>
        </w:rPr>
        <w:t>article</w:t>
      </w:r>
      <w:proofErr w:type="spellEnd"/>
      <w:r w:rsidR="00511122" w:rsidRPr="00046981">
        <w:rPr>
          <w:rFonts w:ascii="Arial" w:hAnsi="Arial" w:cs="Arial"/>
          <w:sz w:val="24"/>
          <w:szCs w:val="24"/>
        </w:rPr>
        <w:t xml:space="preserve"> </w:t>
      </w:r>
      <w:r w:rsidR="00E067E6" w:rsidRPr="00E067E6">
        <w:rPr>
          <w:rFonts w:ascii="Arial" w:hAnsi="Arial" w:cs="Arial"/>
          <w:sz w:val="24"/>
          <w:szCs w:val="24"/>
        </w:rPr>
        <w:t xml:space="preserve">e4610, 2022; SOUZA et al., Revista Fitos, </w:t>
      </w:r>
      <w:r w:rsidR="00F1423A" w:rsidRPr="00046981">
        <w:rPr>
          <w:rFonts w:ascii="Arial" w:hAnsi="Arial" w:cs="Arial"/>
          <w:sz w:val="24"/>
          <w:szCs w:val="24"/>
        </w:rPr>
        <w:t xml:space="preserve">v. </w:t>
      </w:r>
      <w:r w:rsidR="002830E6" w:rsidRPr="00046981">
        <w:rPr>
          <w:rFonts w:ascii="Arial" w:hAnsi="Arial" w:cs="Arial"/>
          <w:sz w:val="24"/>
          <w:szCs w:val="24"/>
        </w:rPr>
        <w:t xml:space="preserve">16, n. </w:t>
      </w:r>
      <w:r w:rsidR="00E067E6" w:rsidRPr="00E067E6">
        <w:rPr>
          <w:rFonts w:ascii="Arial" w:hAnsi="Arial" w:cs="Arial"/>
          <w:sz w:val="24"/>
          <w:szCs w:val="24"/>
        </w:rPr>
        <w:t>2,</w:t>
      </w:r>
      <w:r w:rsidR="00F1423A" w:rsidRPr="00046981">
        <w:rPr>
          <w:rFonts w:ascii="Arial" w:hAnsi="Arial" w:cs="Arial"/>
          <w:sz w:val="24"/>
          <w:szCs w:val="24"/>
        </w:rPr>
        <w:t xml:space="preserve"> p.</w:t>
      </w:r>
      <w:r w:rsidR="00E067E6" w:rsidRPr="00E067E6">
        <w:rPr>
          <w:rFonts w:ascii="Arial" w:hAnsi="Arial" w:cs="Arial"/>
          <w:sz w:val="24"/>
          <w:szCs w:val="24"/>
        </w:rPr>
        <w:t xml:space="preserve"> 212-226, 2022; SUBBA et al., </w:t>
      </w:r>
      <w:proofErr w:type="spellStart"/>
      <w:r w:rsidR="00750A7C" w:rsidRPr="00046981">
        <w:rPr>
          <w:rFonts w:ascii="Arial" w:hAnsi="Arial" w:cs="Arial"/>
          <w:sz w:val="24"/>
          <w:szCs w:val="24"/>
        </w:rPr>
        <w:t>Theoretical</w:t>
      </w:r>
      <w:proofErr w:type="spellEnd"/>
      <w:r w:rsidR="00750A7C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0A7C" w:rsidRPr="00046981">
        <w:rPr>
          <w:rFonts w:ascii="Arial" w:hAnsi="Arial" w:cs="Arial"/>
          <w:sz w:val="24"/>
          <w:szCs w:val="24"/>
        </w:rPr>
        <w:t>and</w:t>
      </w:r>
      <w:proofErr w:type="spellEnd"/>
      <w:r w:rsidR="00750A7C" w:rsidRPr="00046981">
        <w:rPr>
          <w:rFonts w:ascii="Arial" w:hAnsi="Arial" w:cs="Arial"/>
          <w:sz w:val="24"/>
          <w:szCs w:val="24"/>
        </w:rPr>
        <w:t xml:space="preserve"> Experimental Plant </w:t>
      </w:r>
      <w:proofErr w:type="spellStart"/>
      <w:r w:rsidR="00750A7C" w:rsidRPr="00046981">
        <w:rPr>
          <w:rFonts w:ascii="Arial" w:hAnsi="Arial" w:cs="Arial"/>
          <w:sz w:val="24"/>
          <w:szCs w:val="24"/>
        </w:rPr>
        <w:t>Physiology</w:t>
      </w:r>
      <w:proofErr w:type="spellEnd"/>
      <w:r w:rsidR="00750A7C" w:rsidRPr="00046981">
        <w:rPr>
          <w:rFonts w:ascii="Arial" w:hAnsi="Arial" w:cs="Arial"/>
          <w:sz w:val="24"/>
          <w:szCs w:val="24"/>
        </w:rPr>
        <w:t xml:space="preserve">, </w:t>
      </w:r>
      <w:r w:rsidR="009612CF" w:rsidRPr="00046981">
        <w:rPr>
          <w:rFonts w:ascii="Arial" w:hAnsi="Arial" w:cs="Arial"/>
          <w:sz w:val="24"/>
          <w:szCs w:val="24"/>
        </w:rPr>
        <w:t xml:space="preserve">v. </w:t>
      </w:r>
      <w:r w:rsidR="00E067E6" w:rsidRPr="00E067E6">
        <w:rPr>
          <w:rFonts w:ascii="Arial" w:hAnsi="Arial" w:cs="Arial"/>
          <w:sz w:val="24"/>
          <w:szCs w:val="24"/>
        </w:rPr>
        <w:t xml:space="preserve">34, </w:t>
      </w:r>
      <w:r w:rsidR="009612CF" w:rsidRPr="00046981">
        <w:rPr>
          <w:rFonts w:ascii="Arial" w:hAnsi="Arial" w:cs="Arial"/>
          <w:sz w:val="24"/>
          <w:szCs w:val="24"/>
        </w:rPr>
        <w:t xml:space="preserve">p. </w:t>
      </w:r>
      <w:r w:rsidR="00E067E6" w:rsidRPr="00E067E6">
        <w:rPr>
          <w:rFonts w:ascii="Arial" w:hAnsi="Arial" w:cs="Arial"/>
          <w:sz w:val="24"/>
          <w:szCs w:val="24"/>
        </w:rPr>
        <w:t>301–333, 2022).</w:t>
      </w:r>
      <w:r w:rsidR="00B37D63" w:rsidRPr="00046981">
        <w:rPr>
          <w:rFonts w:ascii="Arial" w:hAnsi="Arial" w:cs="Arial"/>
          <w:sz w:val="24"/>
          <w:szCs w:val="24"/>
        </w:rPr>
        <w:t xml:space="preserve"> No entanto, há a necessidade de se pesquisar novas espécies vegetais ricas em compostos secundários </w:t>
      </w:r>
      <w:r w:rsidR="00850431" w:rsidRPr="00046981">
        <w:rPr>
          <w:rFonts w:ascii="Arial" w:hAnsi="Arial" w:cs="Arial"/>
          <w:sz w:val="24"/>
          <w:szCs w:val="24"/>
        </w:rPr>
        <w:t xml:space="preserve">com potencial fungicida ou </w:t>
      </w:r>
      <w:proofErr w:type="spellStart"/>
      <w:r w:rsidR="00850431" w:rsidRPr="00046981">
        <w:rPr>
          <w:rFonts w:ascii="Arial" w:hAnsi="Arial" w:cs="Arial"/>
          <w:sz w:val="24"/>
          <w:szCs w:val="24"/>
        </w:rPr>
        <w:t>biocontrolador</w:t>
      </w:r>
      <w:proofErr w:type="spellEnd"/>
      <w:r w:rsidR="00850431" w:rsidRPr="00046981">
        <w:rPr>
          <w:rFonts w:ascii="Arial" w:hAnsi="Arial" w:cs="Arial"/>
          <w:sz w:val="24"/>
          <w:szCs w:val="24"/>
        </w:rPr>
        <w:t xml:space="preserve"> desses patógenos. </w:t>
      </w:r>
      <w:r w:rsidR="00B37D63" w:rsidRPr="00046981">
        <w:rPr>
          <w:rFonts w:ascii="Arial" w:hAnsi="Arial" w:cs="Arial"/>
          <w:sz w:val="24"/>
          <w:szCs w:val="24"/>
        </w:rPr>
        <w:t xml:space="preserve"> </w:t>
      </w:r>
    </w:p>
    <w:p w14:paraId="0D1A09B0" w14:textId="5611CA18" w:rsidR="00E067E6" w:rsidRPr="00046981" w:rsidRDefault="003261D7" w:rsidP="00046981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046981">
        <w:rPr>
          <w:rFonts w:ascii="Arial" w:hAnsi="Arial" w:cs="Arial"/>
          <w:sz w:val="24"/>
          <w:szCs w:val="24"/>
        </w:rPr>
        <w:t>[00</w:t>
      </w:r>
      <w:r w:rsidR="00A62548">
        <w:rPr>
          <w:rFonts w:ascii="Arial" w:hAnsi="Arial" w:cs="Arial"/>
          <w:sz w:val="24"/>
          <w:szCs w:val="24"/>
        </w:rPr>
        <w:t>5</w:t>
      </w:r>
      <w:r w:rsidRPr="00046981">
        <w:rPr>
          <w:rFonts w:ascii="Arial" w:hAnsi="Arial" w:cs="Arial"/>
          <w:sz w:val="24"/>
          <w:szCs w:val="24"/>
        </w:rPr>
        <w:t>]</w:t>
      </w:r>
      <w:r w:rsidRPr="00046981"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 xml:space="preserve">A Caatinga, bioma exclusivamente brasileiro, representa uma rica fonte de recursos naturais, com diversas espécies vegetais que possuem compostos bioativos com atividade antifúngica e antioxidante (DEMARTELAERE et al., Revista </w:t>
      </w:r>
      <w:r w:rsidR="00CE5DEB" w:rsidRPr="00046981">
        <w:rPr>
          <w:rFonts w:ascii="Arial" w:hAnsi="Arial" w:cs="Arial"/>
          <w:sz w:val="24"/>
          <w:szCs w:val="24"/>
        </w:rPr>
        <w:t>B</w:t>
      </w:r>
      <w:r w:rsidR="00E067E6" w:rsidRPr="00E067E6">
        <w:rPr>
          <w:rFonts w:ascii="Arial" w:hAnsi="Arial" w:cs="Arial"/>
          <w:sz w:val="24"/>
          <w:szCs w:val="24"/>
        </w:rPr>
        <w:t xml:space="preserve">rasileira de </w:t>
      </w:r>
      <w:r w:rsidR="00CE5DEB" w:rsidRPr="00046981">
        <w:rPr>
          <w:rFonts w:ascii="Arial" w:hAnsi="Arial" w:cs="Arial"/>
          <w:sz w:val="24"/>
          <w:szCs w:val="24"/>
        </w:rPr>
        <w:t>P</w:t>
      </w:r>
      <w:r w:rsidR="00E067E6" w:rsidRPr="00E067E6">
        <w:rPr>
          <w:rFonts w:ascii="Arial" w:hAnsi="Arial" w:cs="Arial"/>
          <w:sz w:val="24"/>
          <w:szCs w:val="24"/>
        </w:rPr>
        <w:t xml:space="preserve">lantas </w:t>
      </w:r>
      <w:r w:rsidR="00CE5DEB" w:rsidRPr="00046981">
        <w:rPr>
          <w:rFonts w:ascii="Arial" w:hAnsi="Arial" w:cs="Arial"/>
          <w:sz w:val="24"/>
          <w:szCs w:val="24"/>
        </w:rPr>
        <w:t>M</w:t>
      </w:r>
      <w:r w:rsidR="00E067E6" w:rsidRPr="00E067E6">
        <w:rPr>
          <w:rFonts w:ascii="Arial" w:hAnsi="Arial" w:cs="Arial"/>
          <w:sz w:val="24"/>
          <w:szCs w:val="24"/>
        </w:rPr>
        <w:t xml:space="preserve">edicinais, </w:t>
      </w:r>
      <w:r w:rsidR="00CE5DEB" w:rsidRPr="00046981">
        <w:rPr>
          <w:rFonts w:ascii="Arial" w:hAnsi="Arial" w:cs="Arial"/>
          <w:sz w:val="24"/>
          <w:szCs w:val="24"/>
        </w:rPr>
        <w:t xml:space="preserve">v. </w:t>
      </w:r>
      <w:r w:rsidR="00E067E6" w:rsidRPr="00E067E6">
        <w:rPr>
          <w:rFonts w:ascii="Arial" w:hAnsi="Arial" w:cs="Arial"/>
          <w:sz w:val="24"/>
          <w:szCs w:val="24"/>
        </w:rPr>
        <w:t xml:space="preserve">17, </w:t>
      </w:r>
      <w:r w:rsidR="00E90FA7" w:rsidRPr="00046981">
        <w:rPr>
          <w:rFonts w:ascii="Arial" w:hAnsi="Arial" w:cs="Arial"/>
          <w:sz w:val="24"/>
          <w:szCs w:val="24"/>
        </w:rPr>
        <w:t xml:space="preserve">n. 4, p. </w:t>
      </w:r>
      <w:r w:rsidR="00E067E6" w:rsidRPr="00E067E6">
        <w:rPr>
          <w:rFonts w:ascii="Arial" w:hAnsi="Arial" w:cs="Arial"/>
          <w:sz w:val="24"/>
          <w:szCs w:val="24"/>
        </w:rPr>
        <w:t xml:space="preserve">1041-1048, 2015; VENTUROSO et al., Summa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Phytopathologica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, </w:t>
      </w:r>
      <w:r w:rsidR="0039214B" w:rsidRPr="00046981">
        <w:rPr>
          <w:rFonts w:ascii="Arial" w:hAnsi="Arial" w:cs="Arial"/>
          <w:sz w:val="24"/>
          <w:szCs w:val="24"/>
        </w:rPr>
        <w:t xml:space="preserve">v. </w:t>
      </w:r>
      <w:r w:rsidR="00E067E6" w:rsidRPr="00E067E6">
        <w:rPr>
          <w:rFonts w:ascii="Arial" w:hAnsi="Arial" w:cs="Arial"/>
          <w:sz w:val="24"/>
          <w:szCs w:val="24"/>
        </w:rPr>
        <w:t xml:space="preserve">37, </w:t>
      </w:r>
      <w:r w:rsidR="00FB45F1" w:rsidRPr="00046981">
        <w:rPr>
          <w:rFonts w:ascii="Arial" w:hAnsi="Arial" w:cs="Arial"/>
          <w:sz w:val="24"/>
          <w:szCs w:val="24"/>
        </w:rPr>
        <w:t xml:space="preserve">n. 1, p. </w:t>
      </w:r>
      <w:r w:rsidR="00E067E6" w:rsidRPr="00E067E6">
        <w:rPr>
          <w:rFonts w:ascii="Arial" w:hAnsi="Arial" w:cs="Arial"/>
          <w:sz w:val="24"/>
          <w:szCs w:val="24"/>
        </w:rPr>
        <w:t xml:space="preserve">18-23, 2011; FERNANDES et al., </w:t>
      </w:r>
      <w:proofErr w:type="spellStart"/>
      <w:r w:rsidR="00ED3A1C" w:rsidRPr="00046981">
        <w:rPr>
          <w:rFonts w:ascii="Arial" w:hAnsi="Arial" w:cs="Arial"/>
          <w:sz w:val="24"/>
          <w:szCs w:val="24"/>
        </w:rPr>
        <w:t>Frontiers</w:t>
      </w:r>
      <w:proofErr w:type="spellEnd"/>
      <w:r w:rsidR="00ED3A1C" w:rsidRPr="00046981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ED3A1C" w:rsidRPr="00046981">
        <w:rPr>
          <w:rFonts w:ascii="Arial" w:hAnsi="Arial" w:cs="Arial"/>
          <w:sz w:val="24"/>
          <w:szCs w:val="24"/>
        </w:rPr>
        <w:t>Ecology</w:t>
      </w:r>
      <w:proofErr w:type="spellEnd"/>
      <w:r w:rsidR="00ED3A1C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3A1C" w:rsidRPr="00046981">
        <w:rPr>
          <w:rFonts w:ascii="Arial" w:hAnsi="Arial" w:cs="Arial"/>
          <w:sz w:val="24"/>
          <w:szCs w:val="24"/>
        </w:rPr>
        <w:t>and</w:t>
      </w:r>
      <w:proofErr w:type="spellEnd"/>
      <w:r w:rsidR="00ED3A1C" w:rsidRPr="00046981">
        <w:rPr>
          <w:rFonts w:ascii="Arial" w:hAnsi="Arial" w:cs="Arial"/>
          <w:sz w:val="24"/>
          <w:szCs w:val="24"/>
        </w:rPr>
        <w:t xml:space="preserve"> Evolution</w:t>
      </w:r>
      <w:r w:rsidR="00E067E6" w:rsidRPr="00E067E6">
        <w:rPr>
          <w:rFonts w:ascii="Arial" w:hAnsi="Arial" w:cs="Arial"/>
          <w:sz w:val="24"/>
          <w:szCs w:val="24"/>
        </w:rPr>
        <w:t xml:space="preserve">, </w:t>
      </w:r>
      <w:r w:rsidR="00400915" w:rsidRPr="00046981">
        <w:rPr>
          <w:rFonts w:ascii="Arial" w:hAnsi="Arial" w:cs="Arial"/>
          <w:sz w:val="24"/>
          <w:szCs w:val="24"/>
        </w:rPr>
        <w:t xml:space="preserve">v. </w:t>
      </w:r>
      <w:r w:rsidR="00E067E6" w:rsidRPr="00E067E6">
        <w:rPr>
          <w:rFonts w:ascii="Arial" w:hAnsi="Arial" w:cs="Arial"/>
          <w:sz w:val="24"/>
          <w:szCs w:val="24"/>
        </w:rPr>
        <w:t>10</w:t>
      </w:r>
      <w:r w:rsidR="00ED3A1C" w:rsidRPr="000469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D3A1C" w:rsidRPr="00046981">
        <w:rPr>
          <w:rFonts w:ascii="Arial" w:hAnsi="Arial" w:cs="Arial"/>
          <w:sz w:val="24"/>
          <w:szCs w:val="24"/>
        </w:rPr>
        <w:t>article</w:t>
      </w:r>
      <w:proofErr w:type="spellEnd"/>
      <w:r w:rsidR="00ED3A1C" w:rsidRPr="00046981">
        <w:rPr>
          <w:rFonts w:ascii="Arial" w:hAnsi="Arial" w:cs="Arial"/>
          <w:sz w:val="24"/>
          <w:szCs w:val="24"/>
        </w:rPr>
        <w:t xml:space="preserve"> </w:t>
      </w:r>
      <w:r w:rsidR="00E067E6" w:rsidRPr="00E067E6">
        <w:rPr>
          <w:rFonts w:ascii="Arial" w:hAnsi="Arial" w:cs="Arial"/>
          <w:sz w:val="24"/>
          <w:szCs w:val="24"/>
        </w:rPr>
        <w:t xml:space="preserve">723286, 2022; QUEIROZ, </w:t>
      </w:r>
      <w:r w:rsidR="005A4348" w:rsidRPr="00046981">
        <w:rPr>
          <w:rFonts w:ascii="Arial" w:hAnsi="Arial" w:cs="Arial"/>
          <w:sz w:val="24"/>
          <w:szCs w:val="24"/>
        </w:rPr>
        <w:t xml:space="preserve">Neotropical </w:t>
      </w:r>
      <w:proofErr w:type="spellStart"/>
      <w:r w:rsidR="005A4348" w:rsidRPr="00046981">
        <w:rPr>
          <w:rFonts w:ascii="Arial" w:hAnsi="Arial" w:cs="Arial"/>
          <w:sz w:val="24"/>
          <w:szCs w:val="24"/>
        </w:rPr>
        <w:t>Savannas</w:t>
      </w:r>
      <w:proofErr w:type="spellEnd"/>
      <w:r w:rsidR="005A4348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4348" w:rsidRPr="00046981">
        <w:rPr>
          <w:rFonts w:ascii="Arial" w:hAnsi="Arial" w:cs="Arial"/>
          <w:sz w:val="24"/>
          <w:szCs w:val="24"/>
        </w:rPr>
        <w:t>and</w:t>
      </w:r>
      <w:proofErr w:type="spellEnd"/>
      <w:r w:rsidR="005A4348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4348" w:rsidRPr="00046981">
        <w:rPr>
          <w:rFonts w:ascii="Arial" w:hAnsi="Arial" w:cs="Arial"/>
          <w:sz w:val="24"/>
          <w:szCs w:val="24"/>
        </w:rPr>
        <w:t>Seasonally</w:t>
      </w:r>
      <w:proofErr w:type="spellEnd"/>
      <w:r w:rsidR="005A4348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4348" w:rsidRPr="00046981">
        <w:rPr>
          <w:rFonts w:ascii="Arial" w:hAnsi="Arial" w:cs="Arial"/>
          <w:sz w:val="24"/>
          <w:szCs w:val="24"/>
        </w:rPr>
        <w:t>Dry</w:t>
      </w:r>
      <w:proofErr w:type="spellEnd"/>
      <w:r w:rsidR="005A4348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4348" w:rsidRPr="00046981">
        <w:rPr>
          <w:rFonts w:ascii="Arial" w:hAnsi="Arial" w:cs="Arial"/>
          <w:sz w:val="24"/>
          <w:szCs w:val="24"/>
        </w:rPr>
        <w:t>Forests</w:t>
      </w:r>
      <w:proofErr w:type="spellEnd"/>
      <w:r w:rsidR="005A4348" w:rsidRPr="00046981">
        <w:rPr>
          <w:rFonts w:ascii="Arial" w:hAnsi="Arial" w:cs="Arial"/>
          <w:sz w:val="24"/>
          <w:szCs w:val="24"/>
        </w:rPr>
        <w:t xml:space="preserve"> (1st </w:t>
      </w:r>
      <w:proofErr w:type="spellStart"/>
      <w:r w:rsidR="005A4348" w:rsidRPr="00046981">
        <w:rPr>
          <w:rFonts w:ascii="Arial" w:hAnsi="Arial" w:cs="Arial"/>
          <w:sz w:val="24"/>
          <w:szCs w:val="24"/>
        </w:rPr>
        <w:t>Edition</w:t>
      </w:r>
      <w:proofErr w:type="spellEnd"/>
      <w:r w:rsidR="005A4348" w:rsidRPr="00046981">
        <w:rPr>
          <w:rFonts w:ascii="Arial" w:hAnsi="Arial" w:cs="Arial"/>
          <w:sz w:val="24"/>
          <w:szCs w:val="24"/>
        </w:rPr>
        <w:t>)</w:t>
      </w:r>
      <w:r w:rsidR="001C46B7" w:rsidRPr="00046981">
        <w:rPr>
          <w:rFonts w:ascii="Arial" w:hAnsi="Arial" w:cs="Arial"/>
          <w:sz w:val="24"/>
          <w:szCs w:val="24"/>
        </w:rPr>
        <w:t>,</w:t>
      </w:r>
      <w:r w:rsidR="005A4348" w:rsidRPr="00046981">
        <w:rPr>
          <w:rFonts w:ascii="Arial" w:hAnsi="Arial" w:cs="Arial"/>
          <w:sz w:val="24"/>
          <w:szCs w:val="24"/>
        </w:rPr>
        <w:t xml:space="preserve"> CRC Press, Boca Raton</w:t>
      </w:r>
      <w:r w:rsidR="00E067E6" w:rsidRPr="00E067E6">
        <w:rPr>
          <w:rFonts w:ascii="Arial" w:hAnsi="Arial" w:cs="Arial"/>
          <w:sz w:val="24"/>
          <w:szCs w:val="24"/>
        </w:rPr>
        <w:t xml:space="preserve">, </w:t>
      </w:r>
      <w:r w:rsidR="005A4348" w:rsidRPr="00046981">
        <w:rPr>
          <w:rFonts w:ascii="Arial" w:hAnsi="Arial" w:cs="Arial"/>
          <w:sz w:val="24"/>
          <w:szCs w:val="24"/>
        </w:rPr>
        <w:t>cap</w:t>
      </w:r>
      <w:r w:rsidR="001C46B7" w:rsidRPr="00046981">
        <w:rPr>
          <w:rFonts w:ascii="Arial" w:hAnsi="Arial" w:cs="Arial"/>
          <w:sz w:val="24"/>
          <w:szCs w:val="24"/>
        </w:rPr>
        <w:t>.</w:t>
      </w:r>
      <w:r w:rsidR="005A4348" w:rsidRPr="00046981">
        <w:rPr>
          <w:rFonts w:ascii="Arial" w:hAnsi="Arial" w:cs="Arial"/>
          <w:sz w:val="24"/>
          <w:szCs w:val="24"/>
        </w:rPr>
        <w:t xml:space="preserve"> </w:t>
      </w:r>
      <w:r w:rsidR="00E067E6" w:rsidRPr="00E067E6">
        <w:rPr>
          <w:rFonts w:ascii="Arial" w:hAnsi="Arial" w:cs="Arial"/>
          <w:sz w:val="24"/>
          <w:szCs w:val="24"/>
        </w:rPr>
        <w:t>37, 2006). A exploração sustentável desses recursos pode oferecer uma alternativa promissora para o controle de doenças na cultura da mandioca</w:t>
      </w:r>
      <w:r w:rsidR="00B94150">
        <w:rPr>
          <w:rFonts w:ascii="Arial" w:hAnsi="Arial" w:cs="Arial"/>
          <w:sz w:val="24"/>
          <w:szCs w:val="24"/>
        </w:rPr>
        <w:t xml:space="preserve"> e outras de grande importância</w:t>
      </w:r>
      <w:r w:rsidR="00E067E6" w:rsidRPr="00E067E6">
        <w:rPr>
          <w:rFonts w:ascii="Arial" w:hAnsi="Arial" w:cs="Arial"/>
          <w:sz w:val="24"/>
          <w:szCs w:val="24"/>
        </w:rPr>
        <w:t>.</w:t>
      </w:r>
    </w:p>
    <w:p w14:paraId="2BD64D76" w14:textId="517111F6" w:rsidR="00050A37" w:rsidRPr="00046981" w:rsidRDefault="00351E76" w:rsidP="00046981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046981">
        <w:rPr>
          <w:rFonts w:ascii="Arial" w:hAnsi="Arial" w:cs="Arial"/>
          <w:sz w:val="24"/>
          <w:szCs w:val="24"/>
        </w:rPr>
        <w:t>[00</w:t>
      </w:r>
      <w:r w:rsidR="00A62548">
        <w:rPr>
          <w:rFonts w:ascii="Arial" w:hAnsi="Arial" w:cs="Arial"/>
          <w:sz w:val="24"/>
          <w:szCs w:val="24"/>
        </w:rPr>
        <w:t>6</w:t>
      </w:r>
      <w:r w:rsidRPr="00046981">
        <w:rPr>
          <w:rFonts w:ascii="Arial" w:hAnsi="Arial" w:cs="Arial"/>
          <w:sz w:val="24"/>
          <w:szCs w:val="24"/>
        </w:rPr>
        <w:t xml:space="preserve">] </w:t>
      </w:r>
      <w:r w:rsidR="009A67D3" w:rsidRPr="00046981">
        <w:rPr>
          <w:rFonts w:ascii="Arial" w:hAnsi="Arial" w:cs="Arial"/>
          <w:sz w:val="24"/>
          <w:szCs w:val="24"/>
        </w:rPr>
        <w:t xml:space="preserve">A exploração de espécies de </w:t>
      </w:r>
      <w:proofErr w:type="spellStart"/>
      <w:r w:rsidR="009A67D3" w:rsidRPr="00046981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9A67D3" w:rsidRPr="00046981">
        <w:rPr>
          <w:rFonts w:ascii="Arial" w:hAnsi="Arial" w:cs="Arial"/>
          <w:sz w:val="24"/>
          <w:szCs w:val="24"/>
        </w:rPr>
        <w:t xml:space="preserve"> spp.</w:t>
      </w:r>
      <w:r w:rsidR="00507813">
        <w:rPr>
          <w:rFonts w:ascii="Arial" w:hAnsi="Arial" w:cs="Arial"/>
          <w:sz w:val="24"/>
          <w:szCs w:val="24"/>
        </w:rPr>
        <w:t xml:space="preserve">, especialmente o </w:t>
      </w:r>
      <w:proofErr w:type="spellStart"/>
      <w:r w:rsidR="00507813" w:rsidRPr="00507813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507813" w:rsidRPr="0050781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07813" w:rsidRPr="00507813">
        <w:rPr>
          <w:rFonts w:ascii="Arial" w:hAnsi="Arial" w:cs="Arial"/>
          <w:i/>
          <w:iCs/>
          <w:sz w:val="24"/>
          <w:szCs w:val="24"/>
        </w:rPr>
        <w:t>heliotropiifolius</w:t>
      </w:r>
      <w:proofErr w:type="spellEnd"/>
      <w:r w:rsidR="00507813" w:rsidRPr="0050781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813" w:rsidRPr="00507813">
        <w:rPr>
          <w:rFonts w:ascii="Arial" w:hAnsi="Arial" w:cs="Arial"/>
          <w:sz w:val="24"/>
          <w:szCs w:val="24"/>
        </w:rPr>
        <w:t>Kunth</w:t>
      </w:r>
      <w:proofErr w:type="spellEnd"/>
      <w:r w:rsidR="008A1C95">
        <w:rPr>
          <w:rFonts w:ascii="Arial" w:hAnsi="Arial" w:cs="Arial"/>
          <w:sz w:val="24"/>
          <w:szCs w:val="24"/>
        </w:rPr>
        <w:t xml:space="preserve"> (família </w:t>
      </w:r>
      <w:r w:rsidR="008A1C95" w:rsidRPr="008A1C95">
        <w:rPr>
          <w:rFonts w:ascii="Arial" w:hAnsi="Arial" w:cs="Arial"/>
          <w:sz w:val="24"/>
          <w:szCs w:val="24"/>
        </w:rPr>
        <w:t>Euphorbiaceae</w:t>
      </w:r>
      <w:r w:rsidR="008A1C95">
        <w:rPr>
          <w:rFonts w:ascii="Arial" w:hAnsi="Arial" w:cs="Arial"/>
          <w:sz w:val="24"/>
          <w:szCs w:val="24"/>
        </w:rPr>
        <w:t>)</w:t>
      </w:r>
      <w:r w:rsidR="00507813">
        <w:rPr>
          <w:rFonts w:ascii="Arial" w:hAnsi="Arial" w:cs="Arial"/>
          <w:sz w:val="24"/>
          <w:szCs w:val="24"/>
        </w:rPr>
        <w:t xml:space="preserve">, conhecido como </w:t>
      </w:r>
      <w:r w:rsidR="00507813" w:rsidRPr="00507813">
        <w:rPr>
          <w:rFonts w:ascii="Arial" w:hAnsi="Arial" w:cs="Arial"/>
          <w:sz w:val="24"/>
          <w:szCs w:val="24"/>
        </w:rPr>
        <w:t xml:space="preserve">velame, </w:t>
      </w:r>
      <w:proofErr w:type="spellStart"/>
      <w:r w:rsidR="00507813" w:rsidRPr="00507813">
        <w:rPr>
          <w:rFonts w:ascii="Arial" w:hAnsi="Arial" w:cs="Arial"/>
          <w:sz w:val="24"/>
          <w:szCs w:val="24"/>
        </w:rPr>
        <w:t>velaminho</w:t>
      </w:r>
      <w:proofErr w:type="spellEnd"/>
      <w:r w:rsidR="00507813" w:rsidRPr="00507813">
        <w:rPr>
          <w:rFonts w:ascii="Arial" w:hAnsi="Arial" w:cs="Arial"/>
          <w:sz w:val="24"/>
          <w:szCs w:val="24"/>
        </w:rPr>
        <w:t xml:space="preserve"> ou velame-de-cheiro</w:t>
      </w:r>
      <w:r w:rsidR="00507813">
        <w:rPr>
          <w:rFonts w:ascii="Arial" w:hAnsi="Arial" w:cs="Arial"/>
          <w:sz w:val="24"/>
          <w:szCs w:val="24"/>
        </w:rPr>
        <w:t xml:space="preserve">, </w:t>
      </w:r>
      <w:r w:rsidR="00A072EA" w:rsidRPr="00046981">
        <w:rPr>
          <w:rFonts w:ascii="Arial" w:hAnsi="Arial" w:cs="Arial"/>
          <w:sz w:val="24"/>
          <w:szCs w:val="24"/>
        </w:rPr>
        <w:t>re</w:t>
      </w:r>
      <w:r w:rsidR="009A67D3" w:rsidRPr="00046981">
        <w:rPr>
          <w:rFonts w:ascii="Arial" w:hAnsi="Arial" w:cs="Arial"/>
          <w:sz w:val="24"/>
          <w:szCs w:val="24"/>
        </w:rPr>
        <w:t xml:space="preserve">presenta um potencial significativo para o desenvolvimento de produtos fitoterápicos destinados ao controle de fungos fitopatogênicos. Diversos estudos têm demonstrado que extratos vegetais de plantas da Caatinga, </w:t>
      </w:r>
      <w:r w:rsidR="00870B6C">
        <w:rPr>
          <w:rFonts w:ascii="Arial" w:hAnsi="Arial" w:cs="Arial"/>
          <w:sz w:val="24"/>
          <w:szCs w:val="24"/>
        </w:rPr>
        <w:t>abrangendo muitas</w:t>
      </w:r>
      <w:r w:rsidR="009A67D3" w:rsidRPr="00046981">
        <w:rPr>
          <w:rFonts w:ascii="Arial" w:hAnsi="Arial" w:cs="Arial"/>
          <w:sz w:val="24"/>
          <w:szCs w:val="24"/>
        </w:rPr>
        <w:t xml:space="preserve"> espécies </w:t>
      </w:r>
      <w:r w:rsidR="009A67D3" w:rsidRPr="00046981">
        <w:rPr>
          <w:rFonts w:ascii="Arial" w:hAnsi="Arial" w:cs="Arial"/>
          <w:sz w:val="24"/>
          <w:szCs w:val="24"/>
        </w:rPr>
        <w:lastRenderedPageBreak/>
        <w:t xml:space="preserve">de </w:t>
      </w:r>
      <w:proofErr w:type="spellStart"/>
      <w:r w:rsidR="009A67D3" w:rsidRPr="00046981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9A67D3" w:rsidRPr="00046981">
        <w:rPr>
          <w:rFonts w:ascii="Arial" w:hAnsi="Arial" w:cs="Arial"/>
          <w:sz w:val="24"/>
          <w:szCs w:val="24"/>
        </w:rPr>
        <w:t>, possuem compostos bioativos com atividades antifúngica e antioxidante (</w:t>
      </w:r>
      <w:r w:rsidR="0042050D" w:rsidRPr="00E067E6">
        <w:rPr>
          <w:rFonts w:ascii="Arial" w:hAnsi="Arial" w:cs="Arial"/>
          <w:sz w:val="24"/>
          <w:szCs w:val="24"/>
        </w:rPr>
        <w:t xml:space="preserve">DEMARTELAERE et al., Revista </w:t>
      </w:r>
      <w:r w:rsidR="0042050D" w:rsidRPr="00046981">
        <w:rPr>
          <w:rFonts w:ascii="Arial" w:hAnsi="Arial" w:cs="Arial"/>
          <w:sz w:val="24"/>
          <w:szCs w:val="24"/>
        </w:rPr>
        <w:t>B</w:t>
      </w:r>
      <w:r w:rsidR="0042050D" w:rsidRPr="00E067E6">
        <w:rPr>
          <w:rFonts w:ascii="Arial" w:hAnsi="Arial" w:cs="Arial"/>
          <w:sz w:val="24"/>
          <w:szCs w:val="24"/>
        </w:rPr>
        <w:t xml:space="preserve">rasileira de </w:t>
      </w:r>
      <w:r w:rsidR="0042050D" w:rsidRPr="00046981">
        <w:rPr>
          <w:rFonts w:ascii="Arial" w:hAnsi="Arial" w:cs="Arial"/>
          <w:sz w:val="24"/>
          <w:szCs w:val="24"/>
        </w:rPr>
        <w:t>P</w:t>
      </w:r>
      <w:r w:rsidR="0042050D" w:rsidRPr="00E067E6">
        <w:rPr>
          <w:rFonts w:ascii="Arial" w:hAnsi="Arial" w:cs="Arial"/>
          <w:sz w:val="24"/>
          <w:szCs w:val="24"/>
        </w:rPr>
        <w:t xml:space="preserve">lantas </w:t>
      </w:r>
      <w:r w:rsidR="0042050D" w:rsidRPr="00046981">
        <w:rPr>
          <w:rFonts w:ascii="Arial" w:hAnsi="Arial" w:cs="Arial"/>
          <w:sz w:val="24"/>
          <w:szCs w:val="24"/>
        </w:rPr>
        <w:t>M</w:t>
      </w:r>
      <w:r w:rsidR="0042050D" w:rsidRPr="00E067E6">
        <w:rPr>
          <w:rFonts w:ascii="Arial" w:hAnsi="Arial" w:cs="Arial"/>
          <w:sz w:val="24"/>
          <w:szCs w:val="24"/>
        </w:rPr>
        <w:t xml:space="preserve">edicinais, </w:t>
      </w:r>
      <w:r w:rsidR="0042050D" w:rsidRPr="00046981">
        <w:rPr>
          <w:rFonts w:ascii="Arial" w:hAnsi="Arial" w:cs="Arial"/>
          <w:sz w:val="24"/>
          <w:szCs w:val="24"/>
        </w:rPr>
        <w:t xml:space="preserve">v. </w:t>
      </w:r>
      <w:r w:rsidR="0042050D" w:rsidRPr="00E067E6">
        <w:rPr>
          <w:rFonts w:ascii="Arial" w:hAnsi="Arial" w:cs="Arial"/>
          <w:sz w:val="24"/>
          <w:szCs w:val="24"/>
        </w:rPr>
        <w:t xml:space="preserve">17, </w:t>
      </w:r>
      <w:r w:rsidR="0042050D" w:rsidRPr="00046981">
        <w:rPr>
          <w:rFonts w:ascii="Arial" w:hAnsi="Arial" w:cs="Arial"/>
          <w:sz w:val="24"/>
          <w:szCs w:val="24"/>
        </w:rPr>
        <w:t xml:space="preserve">n. 4, p. </w:t>
      </w:r>
      <w:r w:rsidR="0042050D" w:rsidRPr="00E067E6">
        <w:rPr>
          <w:rFonts w:ascii="Arial" w:hAnsi="Arial" w:cs="Arial"/>
          <w:sz w:val="24"/>
          <w:szCs w:val="24"/>
        </w:rPr>
        <w:t xml:space="preserve">1041-1048, 2015; VENTUROSO et al., Summa </w:t>
      </w:r>
      <w:proofErr w:type="spellStart"/>
      <w:r w:rsidR="0042050D" w:rsidRPr="00E067E6">
        <w:rPr>
          <w:rFonts w:ascii="Arial" w:hAnsi="Arial" w:cs="Arial"/>
          <w:sz w:val="24"/>
          <w:szCs w:val="24"/>
        </w:rPr>
        <w:t>Phytopathologica</w:t>
      </w:r>
      <w:proofErr w:type="spellEnd"/>
      <w:r w:rsidR="0042050D" w:rsidRPr="00E067E6">
        <w:rPr>
          <w:rFonts w:ascii="Arial" w:hAnsi="Arial" w:cs="Arial"/>
          <w:sz w:val="24"/>
          <w:szCs w:val="24"/>
        </w:rPr>
        <w:t xml:space="preserve">, </w:t>
      </w:r>
      <w:r w:rsidR="0042050D" w:rsidRPr="00046981">
        <w:rPr>
          <w:rFonts w:ascii="Arial" w:hAnsi="Arial" w:cs="Arial"/>
          <w:sz w:val="24"/>
          <w:szCs w:val="24"/>
        </w:rPr>
        <w:t xml:space="preserve">v. </w:t>
      </w:r>
      <w:r w:rsidR="0042050D" w:rsidRPr="00E067E6">
        <w:rPr>
          <w:rFonts w:ascii="Arial" w:hAnsi="Arial" w:cs="Arial"/>
          <w:sz w:val="24"/>
          <w:szCs w:val="24"/>
        </w:rPr>
        <w:t xml:space="preserve">37, </w:t>
      </w:r>
      <w:r w:rsidR="0042050D" w:rsidRPr="00046981">
        <w:rPr>
          <w:rFonts w:ascii="Arial" w:hAnsi="Arial" w:cs="Arial"/>
          <w:sz w:val="24"/>
          <w:szCs w:val="24"/>
        </w:rPr>
        <w:t xml:space="preserve">n. 1, p. </w:t>
      </w:r>
      <w:r w:rsidR="0042050D" w:rsidRPr="00E067E6">
        <w:rPr>
          <w:rFonts w:ascii="Arial" w:hAnsi="Arial" w:cs="Arial"/>
          <w:sz w:val="24"/>
          <w:szCs w:val="24"/>
        </w:rPr>
        <w:t>18-23, 2011</w:t>
      </w:r>
      <w:r w:rsidR="00701009" w:rsidRPr="00046981">
        <w:rPr>
          <w:rFonts w:ascii="Arial" w:hAnsi="Arial" w:cs="Arial"/>
          <w:sz w:val="24"/>
          <w:szCs w:val="24"/>
        </w:rPr>
        <w:t xml:space="preserve"> </w:t>
      </w:r>
      <w:r w:rsidR="00701009" w:rsidRPr="00E067E6">
        <w:rPr>
          <w:rFonts w:ascii="Arial" w:hAnsi="Arial" w:cs="Arial"/>
          <w:sz w:val="24"/>
          <w:szCs w:val="24"/>
        </w:rPr>
        <w:t xml:space="preserve">SOUZA et al., Revista Fitos, </w:t>
      </w:r>
      <w:r w:rsidR="00701009" w:rsidRPr="00046981">
        <w:rPr>
          <w:rFonts w:ascii="Arial" w:hAnsi="Arial" w:cs="Arial"/>
          <w:sz w:val="24"/>
          <w:szCs w:val="24"/>
        </w:rPr>
        <w:t xml:space="preserve">v. 16, n. </w:t>
      </w:r>
      <w:r w:rsidR="00701009" w:rsidRPr="00E067E6">
        <w:rPr>
          <w:rFonts w:ascii="Arial" w:hAnsi="Arial" w:cs="Arial"/>
          <w:sz w:val="24"/>
          <w:szCs w:val="24"/>
        </w:rPr>
        <w:t>2,</w:t>
      </w:r>
      <w:r w:rsidR="00701009" w:rsidRPr="00046981">
        <w:rPr>
          <w:rFonts w:ascii="Arial" w:hAnsi="Arial" w:cs="Arial"/>
          <w:sz w:val="24"/>
          <w:szCs w:val="24"/>
        </w:rPr>
        <w:t xml:space="preserve"> p.</w:t>
      </w:r>
      <w:r w:rsidR="00701009" w:rsidRPr="00E067E6">
        <w:rPr>
          <w:rFonts w:ascii="Arial" w:hAnsi="Arial" w:cs="Arial"/>
          <w:sz w:val="24"/>
          <w:szCs w:val="24"/>
        </w:rPr>
        <w:t xml:space="preserve"> 212-226, 2022</w:t>
      </w:r>
      <w:r w:rsidR="009A67D3" w:rsidRPr="00046981">
        <w:rPr>
          <w:rFonts w:ascii="Arial" w:hAnsi="Arial" w:cs="Arial"/>
          <w:sz w:val="24"/>
          <w:szCs w:val="24"/>
        </w:rPr>
        <w:t xml:space="preserve">). </w:t>
      </w:r>
    </w:p>
    <w:p w14:paraId="24F5FE9E" w14:textId="76206841" w:rsidR="00351E76" w:rsidRPr="00E067E6" w:rsidRDefault="00050A37" w:rsidP="00046981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046981">
        <w:rPr>
          <w:rFonts w:ascii="Arial" w:hAnsi="Arial" w:cs="Arial"/>
          <w:sz w:val="24"/>
          <w:szCs w:val="24"/>
        </w:rPr>
        <w:t>[00</w:t>
      </w:r>
      <w:r w:rsidR="00A62548">
        <w:rPr>
          <w:rFonts w:ascii="Arial" w:hAnsi="Arial" w:cs="Arial"/>
          <w:sz w:val="24"/>
          <w:szCs w:val="24"/>
        </w:rPr>
        <w:t>7</w:t>
      </w:r>
      <w:r w:rsidRPr="00046981">
        <w:rPr>
          <w:rFonts w:ascii="Arial" w:hAnsi="Arial" w:cs="Arial"/>
          <w:sz w:val="24"/>
          <w:szCs w:val="24"/>
        </w:rPr>
        <w:t>]</w:t>
      </w:r>
      <w:r w:rsidRPr="00046981">
        <w:rPr>
          <w:rFonts w:ascii="Arial" w:hAnsi="Arial" w:cs="Arial"/>
          <w:sz w:val="24"/>
          <w:szCs w:val="24"/>
        </w:rPr>
        <w:tab/>
      </w:r>
      <w:r w:rsidR="00832D7E" w:rsidRPr="00046981">
        <w:rPr>
          <w:rFonts w:ascii="Arial" w:hAnsi="Arial" w:cs="Arial"/>
          <w:sz w:val="24"/>
          <w:szCs w:val="24"/>
        </w:rPr>
        <w:t xml:space="preserve">Em relação ao gênero </w:t>
      </w:r>
      <w:proofErr w:type="spellStart"/>
      <w:r w:rsidR="00832D7E" w:rsidRPr="00046981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832D7E" w:rsidRPr="00046981">
        <w:rPr>
          <w:rFonts w:ascii="Arial" w:hAnsi="Arial" w:cs="Arial"/>
          <w:sz w:val="24"/>
          <w:szCs w:val="24"/>
        </w:rPr>
        <w:t xml:space="preserve">, </w:t>
      </w:r>
      <w:r w:rsidR="000839BA" w:rsidRPr="00046981">
        <w:rPr>
          <w:rFonts w:ascii="Arial" w:hAnsi="Arial" w:cs="Arial"/>
          <w:sz w:val="24"/>
          <w:szCs w:val="24"/>
        </w:rPr>
        <w:t>Pires et al. (</w:t>
      </w:r>
      <w:r w:rsidR="00536C07" w:rsidRPr="00046981">
        <w:rPr>
          <w:rFonts w:ascii="Arial" w:hAnsi="Arial" w:cs="Arial"/>
          <w:sz w:val="24"/>
          <w:szCs w:val="24"/>
        </w:rPr>
        <w:t xml:space="preserve">Pesquisa Agropecuária Tropical, v. 53, </w:t>
      </w:r>
      <w:proofErr w:type="spellStart"/>
      <w:r w:rsidR="00536C07" w:rsidRPr="00046981">
        <w:rPr>
          <w:rFonts w:ascii="Arial" w:hAnsi="Arial" w:cs="Arial"/>
          <w:sz w:val="24"/>
          <w:szCs w:val="24"/>
        </w:rPr>
        <w:t>article</w:t>
      </w:r>
      <w:proofErr w:type="spellEnd"/>
      <w:r w:rsidR="00536C07" w:rsidRPr="00046981">
        <w:rPr>
          <w:rFonts w:ascii="Arial" w:hAnsi="Arial" w:cs="Arial"/>
          <w:sz w:val="24"/>
          <w:szCs w:val="24"/>
        </w:rPr>
        <w:t xml:space="preserve"> e75126, 2023</w:t>
      </w:r>
      <w:r w:rsidR="000839BA" w:rsidRPr="00046981">
        <w:rPr>
          <w:rFonts w:ascii="Arial" w:hAnsi="Arial" w:cs="Arial"/>
          <w:sz w:val="24"/>
          <w:szCs w:val="24"/>
        </w:rPr>
        <w:t xml:space="preserve">) demonstraram que extratos </w:t>
      </w:r>
      <w:proofErr w:type="spellStart"/>
      <w:r w:rsidR="000839BA" w:rsidRPr="00046981">
        <w:rPr>
          <w:rFonts w:ascii="Arial" w:hAnsi="Arial" w:cs="Arial"/>
          <w:sz w:val="24"/>
          <w:szCs w:val="24"/>
        </w:rPr>
        <w:t>etanólicos</w:t>
      </w:r>
      <w:proofErr w:type="spellEnd"/>
      <w:r w:rsidR="000839BA" w:rsidRPr="00046981">
        <w:rPr>
          <w:rFonts w:ascii="Arial" w:hAnsi="Arial" w:cs="Arial"/>
          <w:sz w:val="24"/>
          <w:szCs w:val="24"/>
        </w:rPr>
        <w:t xml:space="preserve"> de espécies como </w:t>
      </w:r>
      <w:r w:rsidR="000839BA" w:rsidRPr="00046981">
        <w:rPr>
          <w:rFonts w:ascii="Arial" w:hAnsi="Arial" w:cs="Arial"/>
          <w:i/>
          <w:iCs/>
          <w:sz w:val="24"/>
          <w:szCs w:val="24"/>
        </w:rPr>
        <w:t xml:space="preserve">C. </w:t>
      </w:r>
      <w:proofErr w:type="spellStart"/>
      <w:r w:rsidR="000839BA" w:rsidRPr="00046981">
        <w:rPr>
          <w:rFonts w:ascii="Arial" w:hAnsi="Arial" w:cs="Arial"/>
          <w:i/>
          <w:iCs/>
          <w:sz w:val="24"/>
          <w:szCs w:val="24"/>
        </w:rPr>
        <w:t>zehntneri</w:t>
      </w:r>
      <w:proofErr w:type="spellEnd"/>
      <w:r w:rsidR="000839BA" w:rsidRPr="00046981">
        <w:rPr>
          <w:rFonts w:ascii="Arial" w:hAnsi="Arial" w:cs="Arial"/>
          <w:sz w:val="24"/>
          <w:szCs w:val="24"/>
        </w:rPr>
        <w:t xml:space="preserve"> inibiram em média 53,4% do crescimento micelial de fungos como </w:t>
      </w:r>
      <w:proofErr w:type="spellStart"/>
      <w:r w:rsidR="000839BA" w:rsidRPr="00046981">
        <w:rPr>
          <w:rFonts w:ascii="Arial" w:hAnsi="Arial" w:cs="Arial"/>
          <w:i/>
          <w:iCs/>
          <w:sz w:val="24"/>
          <w:szCs w:val="24"/>
        </w:rPr>
        <w:t>Colletotrichum</w:t>
      </w:r>
      <w:proofErr w:type="spellEnd"/>
      <w:r w:rsidR="000839BA" w:rsidRPr="0004698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839BA" w:rsidRPr="00046981">
        <w:rPr>
          <w:rFonts w:ascii="Arial" w:hAnsi="Arial" w:cs="Arial"/>
          <w:i/>
          <w:iCs/>
          <w:sz w:val="24"/>
          <w:szCs w:val="24"/>
        </w:rPr>
        <w:t>truncatum</w:t>
      </w:r>
      <w:proofErr w:type="spellEnd"/>
      <w:r w:rsidR="000839BA" w:rsidRPr="00046981">
        <w:rPr>
          <w:rFonts w:ascii="Arial" w:hAnsi="Arial" w:cs="Arial"/>
          <w:sz w:val="24"/>
          <w:szCs w:val="24"/>
        </w:rPr>
        <w:t xml:space="preserve">, </w:t>
      </w:r>
      <w:r w:rsidR="000839BA" w:rsidRPr="00046981">
        <w:rPr>
          <w:rFonts w:ascii="Arial" w:hAnsi="Arial" w:cs="Arial"/>
          <w:i/>
          <w:iCs/>
          <w:sz w:val="24"/>
          <w:szCs w:val="24"/>
        </w:rPr>
        <w:t xml:space="preserve">C. </w:t>
      </w:r>
      <w:proofErr w:type="spellStart"/>
      <w:r w:rsidR="000839BA" w:rsidRPr="00046981">
        <w:rPr>
          <w:rFonts w:ascii="Arial" w:hAnsi="Arial" w:cs="Arial"/>
          <w:i/>
          <w:iCs/>
          <w:sz w:val="24"/>
          <w:szCs w:val="24"/>
        </w:rPr>
        <w:t>siamense</w:t>
      </w:r>
      <w:proofErr w:type="spellEnd"/>
      <w:r w:rsidR="00536C07" w:rsidRPr="00046981">
        <w:rPr>
          <w:rFonts w:ascii="Arial" w:hAnsi="Arial" w:cs="Arial"/>
          <w:sz w:val="24"/>
          <w:szCs w:val="24"/>
        </w:rPr>
        <w:t>,</w:t>
      </w:r>
      <w:r w:rsidR="000839BA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39BA" w:rsidRPr="00046981">
        <w:rPr>
          <w:rFonts w:ascii="Arial" w:hAnsi="Arial" w:cs="Arial"/>
          <w:i/>
          <w:iCs/>
          <w:sz w:val="24"/>
          <w:szCs w:val="24"/>
        </w:rPr>
        <w:t>Lasiodiplodia</w:t>
      </w:r>
      <w:proofErr w:type="spellEnd"/>
      <w:r w:rsidR="000839BA" w:rsidRPr="0004698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839BA" w:rsidRPr="00046981">
        <w:rPr>
          <w:rFonts w:ascii="Arial" w:hAnsi="Arial" w:cs="Arial"/>
          <w:i/>
          <w:iCs/>
          <w:sz w:val="24"/>
          <w:szCs w:val="24"/>
        </w:rPr>
        <w:t>theobromae</w:t>
      </w:r>
      <w:proofErr w:type="spellEnd"/>
      <w:r w:rsidR="000839BA" w:rsidRPr="000469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39BA" w:rsidRPr="00046981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0839BA" w:rsidRPr="00046981">
        <w:rPr>
          <w:rFonts w:ascii="Arial" w:hAnsi="Arial" w:cs="Arial"/>
          <w:i/>
          <w:iCs/>
          <w:sz w:val="24"/>
          <w:szCs w:val="24"/>
        </w:rPr>
        <w:t xml:space="preserve"> sacchari</w:t>
      </w:r>
      <w:r w:rsidR="000839BA" w:rsidRPr="00046981">
        <w:rPr>
          <w:rFonts w:ascii="Arial" w:hAnsi="Arial" w:cs="Arial"/>
          <w:sz w:val="24"/>
          <w:szCs w:val="24"/>
        </w:rPr>
        <w:t xml:space="preserve">, </w:t>
      </w:r>
      <w:r w:rsidR="000839BA" w:rsidRPr="00046981">
        <w:rPr>
          <w:rFonts w:ascii="Arial" w:hAnsi="Arial" w:cs="Arial"/>
          <w:i/>
          <w:iCs/>
          <w:sz w:val="24"/>
          <w:szCs w:val="24"/>
        </w:rPr>
        <w:t xml:space="preserve">F. </w:t>
      </w:r>
      <w:proofErr w:type="spellStart"/>
      <w:r w:rsidR="000839BA" w:rsidRPr="00046981">
        <w:rPr>
          <w:rFonts w:ascii="Arial" w:hAnsi="Arial" w:cs="Arial"/>
          <w:i/>
          <w:iCs/>
          <w:sz w:val="24"/>
          <w:szCs w:val="24"/>
        </w:rPr>
        <w:t>udum</w:t>
      </w:r>
      <w:proofErr w:type="spellEnd"/>
      <w:r w:rsidR="000839BA" w:rsidRPr="00046981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839BA" w:rsidRPr="00046981">
        <w:rPr>
          <w:rFonts w:ascii="Arial" w:hAnsi="Arial" w:cs="Arial"/>
          <w:i/>
          <w:iCs/>
          <w:sz w:val="24"/>
          <w:szCs w:val="24"/>
        </w:rPr>
        <w:t>Thielaviopsis</w:t>
      </w:r>
      <w:proofErr w:type="spellEnd"/>
      <w:r w:rsidR="000839BA" w:rsidRPr="0004698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839BA" w:rsidRPr="00046981">
        <w:rPr>
          <w:rFonts w:ascii="Arial" w:hAnsi="Arial" w:cs="Arial"/>
          <w:i/>
          <w:iCs/>
          <w:sz w:val="24"/>
          <w:szCs w:val="24"/>
        </w:rPr>
        <w:t>ethacetica</w:t>
      </w:r>
      <w:proofErr w:type="spellEnd"/>
      <w:r w:rsidR="000839BA" w:rsidRPr="00046981">
        <w:rPr>
          <w:rFonts w:ascii="Arial" w:hAnsi="Arial" w:cs="Arial"/>
          <w:sz w:val="24"/>
          <w:szCs w:val="24"/>
        </w:rPr>
        <w:t>, em concentrações de 2.000 µg mL</w:t>
      </w:r>
      <w:r w:rsidR="000839BA" w:rsidRPr="00046981">
        <w:rPr>
          <w:rFonts w:ascii="Cambria Math" w:hAnsi="Cambria Math" w:cs="Cambria Math"/>
          <w:sz w:val="24"/>
          <w:szCs w:val="24"/>
        </w:rPr>
        <w:t>⁻</w:t>
      </w:r>
      <w:r w:rsidR="000839BA" w:rsidRPr="00046981">
        <w:rPr>
          <w:rFonts w:ascii="Arial" w:hAnsi="Arial" w:cs="Arial"/>
          <w:sz w:val="24"/>
          <w:szCs w:val="24"/>
        </w:rPr>
        <w:t>¹ (~0,2% m:v). Adicionalmente, Santos et al. (</w:t>
      </w:r>
      <w:r w:rsidR="00484A6A" w:rsidRPr="00046981">
        <w:rPr>
          <w:rFonts w:ascii="Arial" w:hAnsi="Arial" w:cs="Arial"/>
          <w:sz w:val="24"/>
          <w:szCs w:val="24"/>
        </w:rPr>
        <w:t xml:space="preserve">Revista </w:t>
      </w:r>
      <w:proofErr w:type="spellStart"/>
      <w:r w:rsidR="00484A6A" w:rsidRPr="00046981">
        <w:rPr>
          <w:rFonts w:ascii="Arial" w:hAnsi="Arial" w:cs="Arial"/>
          <w:sz w:val="24"/>
          <w:szCs w:val="24"/>
        </w:rPr>
        <w:t>Delos</w:t>
      </w:r>
      <w:proofErr w:type="spellEnd"/>
      <w:r w:rsidR="00484A6A" w:rsidRPr="00046981">
        <w:rPr>
          <w:rFonts w:ascii="Arial" w:hAnsi="Arial" w:cs="Arial"/>
          <w:sz w:val="24"/>
          <w:szCs w:val="24"/>
        </w:rPr>
        <w:t xml:space="preserve">, v. 17, n. 55, </w:t>
      </w:r>
      <w:r w:rsidR="000839BA" w:rsidRPr="00046981">
        <w:rPr>
          <w:rFonts w:ascii="Arial" w:hAnsi="Arial" w:cs="Arial"/>
          <w:sz w:val="24"/>
          <w:szCs w:val="24"/>
        </w:rPr>
        <w:t xml:space="preserve">2024) observaram que óleo essencial de </w:t>
      </w:r>
      <w:proofErr w:type="spellStart"/>
      <w:r w:rsidR="000839BA" w:rsidRPr="00046981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0839BA" w:rsidRPr="00046981">
        <w:rPr>
          <w:rFonts w:ascii="Arial" w:hAnsi="Arial" w:cs="Arial"/>
          <w:sz w:val="24"/>
          <w:szCs w:val="24"/>
        </w:rPr>
        <w:t xml:space="preserve"> sp.</w:t>
      </w:r>
      <w:r w:rsidR="008312CE" w:rsidRPr="00046981">
        <w:rPr>
          <w:rFonts w:ascii="Arial" w:hAnsi="Arial" w:cs="Arial"/>
          <w:sz w:val="24"/>
          <w:szCs w:val="24"/>
        </w:rPr>
        <w:t>,</w:t>
      </w:r>
      <w:r w:rsidR="000839BA" w:rsidRPr="00046981">
        <w:rPr>
          <w:rFonts w:ascii="Arial" w:hAnsi="Arial" w:cs="Arial"/>
          <w:sz w:val="24"/>
          <w:szCs w:val="24"/>
        </w:rPr>
        <w:t xml:space="preserve"> aplicados a 4,0 </w:t>
      </w:r>
      <w:proofErr w:type="spellStart"/>
      <w:r w:rsidR="000839BA" w:rsidRPr="00046981">
        <w:rPr>
          <w:rFonts w:ascii="Arial" w:hAnsi="Arial" w:cs="Arial"/>
          <w:sz w:val="24"/>
          <w:szCs w:val="24"/>
        </w:rPr>
        <w:t>mL</w:t>
      </w:r>
      <w:proofErr w:type="spellEnd"/>
      <w:r w:rsidR="000839BA" w:rsidRPr="00046981">
        <w:rPr>
          <w:rFonts w:ascii="Arial" w:hAnsi="Arial" w:cs="Arial"/>
          <w:sz w:val="24"/>
          <w:szCs w:val="24"/>
        </w:rPr>
        <w:t xml:space="preserve"> kg</w:t>
      </w:r>
      <w:r w:rsidR="000839BA" w:rsidRPr="00046981">
        <w:rPr>
          <w:rFonts w:ascii="Cambria Math" w:hAnsi="Cambria Math" w:cs="Cambria Math"/>
          <w:sz w:val="24"/>
          <w:szCs w:val="24"/>
        </w:rPr>
        <w:t>⁻</w:t>
      </w:r>
      <w:r w:rsidR="000839BA" w:rsidRPr="00046981">
        <w:rPr>
          <w:rFonts w:ascii="Arial" w:hAnsi="Arial" w:cs="Arial"/>
          <w:sz w:val="24"/>
          <w:szCs w:val="24"/>
        </w:rPr>
        <w:t>¹ (~0,34% m:m) em sementes de feijão-caupi</w:t>
      </w:r>
      <w:r w:rsidR="008312CE" w:rsidRPr="00046981">
        <w:rPr>
          <w:rFonts w:ascii="Arial" w:hAnsi="Arial" w:cs="Arial"/>
          <w:sz w:val="24"/>
          <w:szCs w:val="24"/>
        </w:rPr>
        <w:t>,</w:t>
      </w:r>
      <w:r w:rsidR="000839BA" w:rsidRPr="00046981">
        <w:rPr>
          <w:rFonts w:ascii="Arial" w:hAnsi="Arial" w:cs="Arial"/>
          <w:sz w:val="24"/>
          <w:szCs w:val="24"/>
        </w:rPr>
        <w:t xml:space="preserve"> reduziram o crescimento de </w:t>
      </w:r>
      <w:proofErr w:type="spellStart"/>
      <w:r w:rsidR="000839BA" w:rsidRPr="00046981">
        <w:rPr>
          <w:rFonts w:ascii="Arial" w:hAnsi="Arial" w:cs="Arial"/>
          <w:i/>
          <w:iCs/>
          <w:sz w:val="24"/>
          <w:szCs w:val="24"/>
        </w:rPr>
        <w:t>Sclerotium</w:t>
      </w:r>
      <w:proofErr w:type="spellEnd"/>
      <w:r w:rsidR="000839BA" w:rsidRPr="0004698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0839BA" w:rsidRPr="00046981">
        <w:rPr>
          <w:rFonts w:ascii="Arial" w:hAnsi="Arial" w:cs="Arial"/>
          <w:i/>
          <w:iCs/>
          <w:sz w:val="24"/>
          <w:szCs w:val="24"/>
        </w:rPr>
        <w:t>rolfsii</w:t>
      </w:r>
      <w:proofErr w:type="spellEnd"/>
      <w:r w:rsidR="000839BA" w:rsidRPr="00046981">
        <w:rPr>
          <w:rFonts w:ascii="Arial" w:hAnsi="Arial" w:cs="Arial"/>
          <w:sz w:val="24"/>
          <w:szCs w:val="24"/>
        </w:rPr>
        <w:t xml:space="preserve"> em 40%, </w:t>
      </w:r>
      <w:r w:rsidR="00484A6A" w:rsidRPr="00046981">
        <w:rPr>
          <w:rFonts w:ascii="Arial" w:hAnsi="Arial" w:cs="Arial"/>
          <w:sz w:val="24"/>
          <w:szCs w:val="24"/>
        </w:rPr>
        <w:t>reforçando o potencial antimicrobiano dos extratos de velame</w:t>
      </w:r>
      <w:r w:rsidR="000839BA" w:rsidRPr="00046981">
        <w:rPr>
          <w:rFonts w:ascii="Arial" w:hAnsi="Arial" w:cs="Arial"/>
          <w:sz w:val="24"/>
          <w:szCs w:val="24"/>
        </w:rPr>
        <w:t xml:space="preserve">. </w:t>
      </w:r>
      <w:r w:rsidR="009A67D3" w:rsidRPr="00046981">
        <w:rPr>
          <w:rFonts w:ascii="Arial" w:hAnsi="Arial" w:cs="Arial"/>
          <w:sz w:val="24"/>
          <w:szCs w:val="24"/>
        </w:rPr>
        <w:t xml:space="preserve">A presença de compostos como </w:t>
      </w:r>
      <w:proofErr w:type="spellStart"/>
      <w:r w:rsidR="009A67D3" w:rsidRPr="00046981">
        <w:rPr>
          <w:rFonts w:ascii="Arial" w:hAnsi="Arial" w:cs="Arial"/>
          <w:sz w:val="24"/>
          <w:szCs w:val="24"/>
        </w:rPr>
        <w:t>terpenoides</w:t>
      </w:r>
      <w:proofErr w:type="spellEnd"/>
      <w:r w:rsidR="009A67D3" w:rsidRPr="00046981">
        <w:rPr>
          <w:rFonts w:ascii="Arial" w:hAnsi="Arial" w:cs="Arial"/>
          <w:sz w:val="24"/>
          <w:szCs w:val="24"/>
        </w:rPr>
        <w:t xml:space="preserve"> e fenólicos confere aos extratos de </w:t>
      </w:r>
      <w:proofErr w:type="spellStart"/>
      <w:r w:rsidR="009A67D3" w:rsidRPr="00046981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9A67D3" w:rsidRPr="00046981">
        <w:rPr>
          <w:rFonts w:ascii="Arial" w:hAnsi="Arial" w:cs="Arial"/>
          <w:sz w:val="24"/>
          <w:szCs w:val="24"/>
        </w:rPr>
        <w:t xml:space="preserve"> spp. </w:t>
      </w:r>
      <w:r w:rsidR="001D3A77" w:rsidRPr="00046981">
        <w:rPr>
          <w:rFonts w:ascii="Arial" w:hAnsi="Arial" w:cs="Arial"/>
          <w:sz w:val="24"/>
          <w:szCs w:val="24"/>
        </w:rPr>
        <w:t xml:space="preserve">e a outras espécies vegetais </w:t>
      </w:r>
      <w:r w:rsidR="009A67D3" w:rsidRPr="00046981">
        <w:rPr>
          <w:rFonts w:ascii="Arial" w:hAnsi="Arial" w:cs="Arial"/>
          <w:sz w:val="24"/>
          <w:szCs w:val="24"/>
        </w:rPr>
        <w:t xml:space="preserve">a capacidade de inibir o crescimento e desenvolvimento de fungos como </w:t>
      </w:r>
      <w:proofErr w:type="spellStart"/>
      <w:r w:rsidR="009A67D3" w:rsidRPr="00046981">
        <w:rPr>
          <w:rFonts w:ascii="Arial" w:hAnsi="Arial" w:cs="Arial"/>
          <w:i/>
          <w:iCs/>
          <w:sz w:val="24"/>
          <w:szCs w:val="24"/>
        </w:rPr>
        <w:t>Colletotrichum</w:t>
      </w:r>
      <w:proofErr w:type="spellEnd"/>
      <w:r w:rsidR="009A67D3" w:rsidRPr="0004698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9A67D3" w:rsidRPr="00046981">
        <w:rPr>
          <w:rFonts w:ascii="Arial" w:hAnsi="Arial" w:cs="Arial"/>
          <w:i/>
          <w:iCs/>
          <w:sz w:val="24"/>
          <w:szCs w:val="24"/>
        </w:rPr>
        <w:t>gloeosporioides</w:t>
      </w:r>
      <w:proofErr w:type="spellEnd"/>
      <w:r w:rsidR="009A67D3" w:rsidRPr="00046981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A67D3" w:rsidRPr="00046981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9A67D3" w:rsidRPr="00046981">
        <w:rPr>
          <w:rFonts w:ascii="Arial" w:hAnsi="Arial" w:cs="Arial"/>
          <w:sz w:val="24"/>
          <w:szCs w:val="24"/>
        </w:rPr>
        <w:t xml:space="preserve"> spp.</w:t>
      </w:r>
      <w:r w:rsidR="00211323" w:rsidRPr="00046981">
        <w:rPr>
          <w:rFonts w:ascii="Arial" w:hAnsi="Arial" w:cs="Arial"/>
          <w:sz w:val="24"/>
          <w:szCs w:val="24"/>
        </w:rPr>
        <w:t xml:space="preserve"> (</w:t>
      </w:r>
      <w:r w:rsidR="00CC100D" w:rsidRPr="00046981">
        <w:rPr>
          <w:rFonts w:ascii="Arial" w:hAnsi="Arial" w:cs="Arial"/>
          <w:sz w:val="24"/>
          <w:szCs w:val="24"/>
        </w:rPr>
        <w:t xml:space="preserve">ELSHAFIE </w:t>
      </w:r>
      <w:r w:rsidR="00CF4D58" w:rsidRPr="00046981">
        <w:rPr>
          <w:rFonts w:ascii="Arial" w:hAnsi="Arial" w:cs="Arial"/>
          <w:sz w:val="24"/>
          <w:szCs w:val="24"/>
        </w:rPr>
        <w:t xml:space="preserve">et al., </w:t>
      </w:r>
      <w:proofErr w:type="spellStart"/>
      <w:r w:rsidR="00D1502F" w:rsidRPr="00046981">
        <w:rPr>
          <w:rFonts w:ascii="Arial" w:hAnsi="Arial" w:cs="Arial"/>
          <w:sz w:val="24"/>
          <w:szCs w:val="24"/>
        </w:rPr>
        <w:t>Journal</w:t>
      </w:r>
      <w:proofErr w:type="spellEnd"/>
      <w:r w:rsidR="00D1502F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502F" w:rsidRPr="00046981">
        <w:rPr>
          <w:rFonts w:ascii="Arial" w:hAnsi="Arial" w:cs="Arial"/>
          <w:sz w:val="24"/>
          <w:szCs w:val="24"/>
        </w:rPr>
        <w:t>of</w:t>
      </w:r>
      <w:proofErr w:type="spellEnd"/>
      <w:r w:rsidR="00D1502F" w:rsidRPr="00046981">
        <w:rPr>
          <w:rFonts w:ascii="Arial" w:hAnsi="Arial" w:cs="Arial"/>
          <w:sz w:val="24"/>
          <w:szCs w:val="24"/>
        </w:rPr>
        <w:t xml:space="preserve"> Medicinal Food, v. 29, n. 3, </w:t>
      </w:r>
      <w:r w:rsidR="00FD64A1" w:rsidRPr="00046981">
        <w:rPr>
          <w:rFonts w:ascii="Arial" w:hAnsi="Arial" w:cs="Arial"/>
          <w:sz w:val="24"/>
          <w:szCs w:val="24"/>
        </w:rPr>
        <w:t xml:space="preserve">p. 266-273, 2016; </w:t>
      </w:r>
      <w:r w:rsidR="00CC100D" w:rsidRPr="00046981">
        <w:rPr>
          <w:rFonts w:ascii="Arial" w:hAnsi="Arial" w:cs="Arial"/>
          <w:sz w:val="24"/>
          <w:szCs w:val="24"/>
        </w:rPr>
        <w:t xml:space="preserve">MOHAMED et al., </w:t>
      </w:r>
      <w:r w:rsidR="002E5561" w:rsidRPr="00046981">
        <w:rPr>
          <w:rFonts w:ascii="Arial" w:hAnsi="Arial" w:cs="Arial"/>
          <w:sz w:val="24"/>
          <w:szCs w:val="24"/>
        </w:rPr>
        <w:t xml:space="preserve">Processes, v. 8, n. 3, </w:t>
      </w:r>
      <w:proofErr w:type="spellStart"/>
      <w:r w:rsidR="00C17ED2" w:rsidRPr="00046981">
        <w:rPr>
          <w:rFonts w:ascii="Arial" w:hAnsi="Arial" w:cs="Arial"/>
          <w:sz w:val="24"/>
          <w:szCs w:val="24"/>
        </w:rPr>
        <w:t>article</w:t>
      </w:r>
      <w:proofErr w:type="spellEnd"/>
      <w:r w:rsidR="00C17ED2" w:rsidRPr="00046981">
        <w:rPr>
          <w:rFonts w:ascii="Arial" w:hAnsi="Arial" w:cs="Arial"/>
          <w:sz w:val="24"/>
          <w:szCs w:val="24"/>
        </w:rPr>
        <w:t xml:space="preserve"> 330, 2020</w:t>
      </w:r>
      <w:r w:rsidR="00211323" w:rsidRPr="00046981">
        <w:rPr>
          <w:rFonts w:ascii="Arial" w:hAnsi="Arial" w:cs="Arial"/>
          <w:sz w:val="24"/>
          <w:szCs w:val="24"/>
        </w:rPr>
        <w:t>)</w:t>
      </w:r>
      <w:r w:rsidR="009A67D3" w:rsidRPr="00046981">
        <w:rPr>
          <w:rFonts w:ascii="Arial" w:hAnsi="Arial" w:cs="Arial"/>
          <w:sz w:val="24"/>
          <w:szCs w:val="24"/>
        </w:rPr>
        <w:t>, agentes causadores de doenças de grande impacto econômico na cultura da mandioca</w:t>
      </w:r>
      <w:r w:rsidR="00484A6A" w:rsidRPr="00046981">
        <w:rPr>
          <w:rFonts w:ascii="Arial" w:hAnsi="Arial" w:cs="Arial"/>
          <w:sz w:val="24"/>
          <w:szCs w:val="24"/>
        </w:rPr>
        <w:t xml:space="preserve"> e </w:t>
      </w:r>
      <w:r w:rsidR="00EE68D3">
        <w:rPr>
          <w:rFonts w:ascii="Arial" w:hAnsi="Arial" w:cs="Arial"/>
          <w:sz w:val="24"/>
          <w:szCs w:val="24"/>
        </w:rPr>
        <w:t xml:space="preserve">em </w:t>
      </w:r>
      <w:r w:rsidR="00484A6A" w:rsidRPr="00046981">
        <w:rPr>
          <w:rFonts w:ascii="Arial" w:hAnsi="Arial" w:cs="Arial"/>
          <w:sz w:val="24"/>
          <w:szCs w:val="24"/>
        </w:rPr>
        <w:t>outras de grande relevância no cenário mundial</w:t>
      </w:r>
      <w:r w:rsidR="009A67D3" w:rsidRPr="00046981">
        <w:rPr>
          <w:rFonts w:ascii="Arial" w:hAnsi="Arial" w:cs="Arial"/>
          <w:sz w:val="24"/>
          <w:szCs w:val="24"/>
        </w:rPr>
        <w:t xml:space="preserve">. Além disso, a facilidade de acesso a essas plantas na região do Agreste de Pernambuco, onde </w:t>
      </w:r>
      <w:r w:rsidR="00484A6A" w:rsidRPr="00046981">
        <w:rPr>
          <w:rFonts w:ascii="Arial" w:hAnsi="Arial" w:cs="Arial"/>
          <w:sz w:val="24"/>
          <w:szCs w:val="24"/>
        </w:rPr>
        <w:t>espécies de</w:t>
      </w:r>
      <w:r w:rsidR="009A67D3" w:rsidRPr="000469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67D3" w:rsidRPr="00046981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9A67D3" w:rsidRPr="00046981">
        <w:rPr>
          <w:rFonts w:ascii="Arial" w:hAnsi="Arial" w:cs="Arial"/>
          <w:i/>
          <w:iCs/>
          <w:sz w:val="24"/>
          <w:szCs w:val="24"/>
        </w:rPr>
        <w:t xml:space="preserve"> </w:t>
      </w:r>
      <w:r w:rsidR="00484A6A" w:rsidRPr="00046981">
        <w:rPr>
          <w:rFonts w:ascii="Arial" w:hAnsi="Arial" w:cs="Arial"/>
          <w:sz w:val="24"/>
          <w:szCs w:val="24"/>
        </w:rPr>
        <w:t>spp.</w:t>
      </w:r>
      <w:r w:rsidR="009A67D3" w:rsidRPr="00046981">
        <w:rPr>
          <w:rFonts w:ascii="Arial" w:hAnsi="Arial" w:cs="Arial"/>
          <w:sz w:val="24"/>
          <w:szCs w:val="24"/>
        </w:rPr>
        <w:t xml:space="preserve"> </w:t>
      </w:r>
      <w:r w:rsidR="00484A6A" w:rsidRPr="00046981">
        <w:rPr>
          <w:rFonts w:ascii="Arial" w:hAnsi="Arial" w:cs="Arial"/>
          <w:sz w:val="24"/>
          <w:szCs w:val="24"/>
        </w:rPr>
        <w:t>são</w:t>
      </w:r>
      <w:r w:rsidR="009A67D3" w:rsidRPr="00046981">
        <w:rPr>
          <w:rFonts w:ascii="Arial" w:hAnsi="Arial" w:cs="Arial"/>
          <w:sz w:val="24"/>
          <w:szCs w:val="24"/>
        </w:rPr>
        <w:t xml:space="preserve"> frequentemente considerad</w:t>
      </w:r>
      <w:r w:rsidR="00484A6A" w:rsidRPr="00046981">
        <w:rPr>
          <w:rFonts w:ascii="Arial" w:hAnsi="Arial" w:cs="Arial"/>
          <w:sz w:val="24"/>
          <w:szCs w:val="24"/>
        </w:rPr>
        <w:t>as</w:t>
      </w:r>
      <w:r w:rsidR="009A67D3" w:rsidRPr="00046981">
        <w:rPr>
          <w:rFonts w:ascii="Arial" w:hAnsi="Arial" w:cs="Arial"/>
          <w:sz w:val="24"/>
          <w:szCs w:val="24"/>
        </w:rPr>
        <w:t xml:space="preserve"> invasora</w:t>
      </w:r>
      <w:r w:rsidR="00484A6A" w:rsidRPr="00046981">
        <w:rPr>
          <w:rFonts w:ascii="Arial" w:hAnsi="Arial" w:cs="Arial"/>
          <w:sz w:val="24"/>
          <w:szCs w:val="24"/>
        </w:rPr>
        <w:t>s (plantas daninhas)</w:t>
      </w:r>
      <w:r w:rsidR="009A67D3" w:rsidRPr="00046981">
        <w:rPr>
          <w:rFonts w:ascii="Arial" w:hAnsi="Arial" w:cs="Arial"/>
          <w:sz w:val="24"/>
          <w:szCs w:val="24"/>
        </w:rPr>
        <w:t>, torna a utilização de seus extratos uma alternativa promissora e sustentável para o controle de fitopatógenos (</w:t>
      </w:r>
      <w:r w:rsidR="00702220" w:rsidRPr="00E067E6">
        <w:rPr>
          <w:rFonts w:ascii="Arial" w:hAnsi="Arial" w:cs="Arial"/>
          <w:sz w:val="24"/>
          <w:szCs w:val="24"/>
        </w:rPr>
        <w:t>CARVALHO et al., Rev</w:t>
      </w:r>
      <w:r w:rsidR="00702220" w:rsidRPr="00046981">
        <w:rPr>
          <w:rFonts w:ascii="Arial" w:hAnsi="Arial" w:cs="Arial"/>
          <w:sz w:val="24"/>
          <w:szCs w:val="24"/>
        </w:rPr>
        <w:t>ista</w:t>
      </w:r>
      <w:r w:rsidR="00702220" w:rsidRPr="00E067E6">
        <w:rPr>
          <w:rFonts w:ascii="Arial" w:hAnsi="Arial" w:cs="Arial"/>
          <w:sz w:val="24"/>
          <w:szCs w:val="24"/>
        </w:rPr>
        <w:t xml:space="preserve"> Árvore, </w:t>
      </w:r>
      <w:r w:rsidR="00702220" w:rsidRPr="00046981">
        <w:rPr>
          <w:rFonts w:ascii="Arial" w:hAnsi="Arial" w:cs="Arial"/>
          <w:sz w:val="24"/>
          <w:szCs w:val="24"/>
        </w:rPr>
        <w:t xml:space="preserve">v. </w:t>
      </w:r>
      <w:r w:rsidR="00702220" w:rsidRPr="00E067E6">
        <w:rPr>
          <w:rFonts w:ascii="Arial" w:hAnsi="Arial" w:cs="Arial"/>
          <w:sz w:val="24"/>
          <w:szCs w:val="24"/>
        </w:rPr>
        <w:t>46</w:t>
      </w:r>
      <w:r w:rsidR="00702220" w:rsidRPr="000469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02220" w:rsidRPr="00046981">
        <w:rPr>
          <w:rFonts w:ascii="Arial" w:hAnsi="Arial" w:cs="Arial"/>
          <w:sz w:val="24"/>
          <w:szCs w:val="24"/>
        </w:rPr>
        <w:t>article</w:t>
      </w:r>
      <w:proofErr w:type="spellEnd"/>
      <w:r w:rsidR="00702220" w:rsidRPr="00046981">
        <w:rPr>
          <w:rFonts w:ascii="Arial" w:hAnsi="Arial" w:cs="Arial"/>
          <w:sz w:val="24"/>
          <w:szCs w:val="24"/>
        </w:rPr>
        <w:t xml:space="preserve"> </w:t>
      </w:r>
      <w:r w:rsidR="00702220" w:rsidRPr="00E067E6">
        <w:rPr>
          <w:rFonts w:ascii="Arial" w:hAnsi="Arial" w:cs="Arial"/>
          <w:sz w:val="24"/>
          <w:szCs w:val="24"/>
        </w:rPr>
        <w:t>e4610, 2022</w:t>
      </w:r>
      <w:r w:rsidR="00D674F0" w:rsidRPr="00046981">
        <w:rPr>
          <w:rFonts w:ascii="Arial" w:hAnsi="Arial" w:cs="Arial"/>
          <w:sz w:val="24"/>
          <w:szCs w:val="24"/>
        </w:rPr>
        <w:t xml:space="preserve">; </w:t>
      </w:r>
      <w:r w:rsidR="00EC1B78" w:rsidRPr="00046981">
        <w:rPr>
          <w:rFonts w:ascii="Arial" w:hAnsi="Arial" w:cs="Arial"/>
          <w:sz w:val="24"/>
          <w:szCs w:val="24"/>
        </w:rPr>
        <w:t xml:space="preserve">PIRES et al., </w:t>
      </w:r>
      <w:r w:rsidR="00B71A2C" w:rsidRPr="00046981">
        <w:rPr>
          <w:rFonts w:ascii="Arial" w:hAnsi="Arial" w:cs="Arial"/>
          <w:sz w:val="24"/>
          <w:szCs w:val="24"/>
        </w:rPr>
        <w:t>Pesquisa Agropecuária Tropical</w:t>
      </w:r>
      <w:r w:rsidR="00EC1B78" w:rsidRPr="00046981">
        <w:rPr>
          <w:rFonts w:ascii="Arial" w:hAnsi="Arial" w:cs="Arial"/>
          <w:sz w:val="24"/>
          <w:szCs w:val="24"/>
        </w:rPr>
        <w:t xml:space="preserve">, v. 53, </w:t>
      </w:r>
      <w:proofErr w:type="spellStart"/>
      <w:r w:rsidR="00EC1B78" w:rsidRPr="00046981">
        <w:rPr>
          <w:rFonts w:ascii="Arial" w:hAnsi="Arial" w:cs="Arial"/>
          <w:sz w:val="24"/>
          <w:szCs w:val="24"/>
        </w:rPr>
        <w:t>article</w:t>
      </w:r>
      <w:proofErr w:type="spellEnd"/>
      <w:r w:rsidR="00EC1B78" w:rsidRPr="00046981">
        <w:rPr>
          <w:rFonts w:ascii="Arial" w:hAnsi="Arial" w:cs="Arial"/>
          <w:sz w:val="24"/>
          <w:szCs w:val="24"/>
        </w:rPr>
        <w:t xml:space="preserve"> e75126, 2023</w:t>
      </w:r>
      <w:r w:rsidR="0007715E" w:rsidRPr="00046981">
        <w:rPr>
          <w:rFonts w:ascii="Arial" w:hAnsi="Arial" w:cs="Arial"/>
          <w:sz w:val="24"/>
          <w:szCs w:val="24"/>
        </w:rPr>
        <w:t xml:space="preserve">; SANTOS et al., Revista </w:t>
      </w:r>
      <w:proofErr w:type="spellStart"/>
      <w:r w:rsidR="0007715E" w:rsidRPr="00046981">
        <w:rPr>
          <w:rFonts w:ascii="Arial" w:hAnsi="Arial" w:cs="Arial"/>
          <w:sz w:val="24"/>
          <w:szCs w:val="24"/>
        </w:rPr>
        <w:t>Delos</w:t>
      </w:r>
      <w:proofErr w:type="spellEnd"/>
      <w:r w:rsidR="0007715E" w:rsidRPr="00046981">
        <w:rPr>
          <w:rFonts w:ascii="Arial" w:hAnsi="Arial" w:cs="Arial"/>
          <w:sz w:val="24"/>
          <w:szCs w:val="24"/>
        </w:rPr>
        <w:t xml:space="preserve">, </w:t>
      </w:r>
      <w:r w:rsidR="003E7C45" w:rsidRPr="00046981">
        <w:rPr>
          <w:rFonts w:ascii="Arial" w:hAnsi="Arial" w:cs="Arial"/>
          <w:sz w:val="24"/>
          <w:szCs w:val="24"/>
        </w:rPr>
        <w:t xml:space="preserve">v. </w:t>
      </w:r>
      <w:r w:rsidR="0007715E" w:rsidRPr="00046981">
        <w:rPr>
          <w:rFonts w:ascii="Arial" w:hAnsi="Arial" w:cs="Arial"/>
          <w:sz w:val="24"/>
          <w:szCs w:val="24"/>
        </w:rPr>
        <w:t>17</w:t>
      </w:r>
      <w:r w:rsidR="003E7C45" w:rsidRPr="00046981">
        <w:rPr>
          <w:rFonts w:ascii="Arial" w:hAnsi="Arial" w:cs="Arial"/>
          <w:sz w:val="24"/>
          <w:szCs w:val="24"/>
        </w:rPr>
        <w:t xml:space="preserve">, n. </w:t>
      </w:r>
      <w:r w:rsidR="0007715E" w:rsidRPr="00046981">
        <w:rPr>
          <w:rFonts w:ascii="Arial" w:hAnsi="Arial" w:cs="Arial"/>
          <w:sz w:val="24"/>
          <w:szCs w:val="24"/>
        </w:rPr>
        <w:t xml:space="preserve">55, </w:t>
      </w:r>
      <w:proofErr w:type="spellStart"/>
      <w:r w:rsidR="003E7C45" w:rsidRPr="00046981">
        <w:rPr>
          <w:rFonts w:ascii="Arial" w:hAnsi="Arial" w:cs="Arial"/>
          <w:sz w:val="24"/>
          <w:szCs w:val="24"/>
        </w:rPr>
        <w:t>article</w:t>
      </w:r>
      <w:proofErr w:type="spellEnd"/>
      <w:r w:rsidR="003E7C45" w:rsidRPr="00046981">
        <w:rPr>
          <w:rFonts w:ascii="Arial" w:hAnsi="Arial" w:cs="Arial"/>
          <w:sz w:val="24"/>
          <w:szCs w:val="24"/>
        </w:rPr>
        <w:t xml:space="preserve"> </w:t>
      </w:r>
      <w:r w:rsidR="0007715E" w:rsidRPr="00046981">
        <w:rPr>
          <w:rFonts w:ascii="Arial" w:hAnsi="Arial" w:cs="Arial"/>
          <w:sz w:val="24"/>
          <w:szCs w:val="24"/>
        </w:rPr>
        <w:t>e1451, 20</w:t>
      </w:r>
      <w:r w:rsidR="003E7C45" w:rsidRPr="00046981">
        <w:rPr>
          <w:rFonts w:ascii="Arial" w:hAnsi="Arial" w:cs="Arial"/>
          <w:sz w:val="24"/>
          <w:szCs w:val="24"/>
        </w:rPr>
        <w:t>24</w:t>
      </w:r>
      <w:r w:rsidR="009A67D3" w:rsidRPr="00046981">
        <w:rPr>
          <w:rFonts w:ascii="Arial" w:hAnsi="Arial" w:cs="Arial"/>
          <w:sz w:val="24"/>
          <w:szCs w:val="24"/>
        </w:rPr>
        <w:t>).</w:t>
      </w:r>
      <w:r w:rsidR="0069536F">
        <w:rPr>
          <w:rFonts w:ascii="Arial" w:hAnsi="Arial" w:cs="Arial"/>
          <w:sz w:val="24"/>
          <w:szCs w:val="24"/>
        </w:rPr>
        <w:t xml:space="preserve"> </w:t>
      </w:r>
    </w:p>
    <w:p w14:paraId="0EF17C2E" w14:textId="59E89C43" w:rsidR="00F42D45" w:rsidRDefault="000449AB" w:rsidP="00F42D45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704BE5">
        <w:rPr>
          <w:rFonts w:ascii="Arial" w:hAnsi="Arial" w:cs="Arial"/>
          <w:sz w:val="24"/>
          <w:szCs w:val="24"/>
        </w:rPr>
        <w:t>[0</w:t>
      </w:r>
      <w:r w:rsidR="00704BE5">
        <w:rPr>
          <w:rFonts w:ascii="Arial" w:hAnsi="Arial" w:cs="Arial"/>
          <w:sz w:val="24"/>
          <w:szCs w:val="24"/>
        </w:rPr>
        <w:t>0</w:t>
      </w:r>
      <w:r w:rsidR="00A62548">
        <w:rPr>
          <w:rFonts w:ascii="Arial" w:hAnsi="Arial" w:cs="Arial"/>
          <w:sz w:val="24"/>
          <w:szCs w:val="24"/>
        </w:rPr>
        <w:t>8</w:t>
      </w:r>
      <w:r w:rsidRPr="00704BE5">
        <w:rPr>
          <w:rFonts w:ascii="Arial" w:hAnsi="Arial" w:cs="Arial"/>
          <w:sz w:val="24"/>
          <w:szCs w:val="24"/>
        </w:rPr>
        <w:t>]</w:t>
      </w:r>
      <w:r w:rsidRPr="00704BE5">
        <w:rPr>
          <w:rFonts w:ascii="Arial" w:hAnsi="Arial" w:cs="Arial"/>
          <w:sz w:val="24"/>
          <w:szCs w:val="24"/>
        </w:rPr>
        <w:tab/>
      </w:r>
      <w:r w:rsidR="0001290F" w:rsidRPr="00704BE5">
        <w:rPr>
          <w:rFonts w:ascii="Arial" w:hAnsi="Arial" w:cs="Arial"/>
          <w:sz w:val="24"/>
          <w:szCs w:val="24"/>
        </w:rPr>
        <w:t>Apesar</w:t>
      </w:r>
      <w:r w:rsidR="0001290F">
        <w:rPr>
          <w:rFonts w:ascii="Arial" w:hAnsi="Arial" w:cs="Arial"/>
          <w:sz w:val="24"/>
          <w:szCs w:val="24"/>
        </w:rPr>
        <w:t xml:space="preserve"> d</w:t>
      </w:r>
      <w:r w:rsidR="00CC2A49">
        <w:rPr>
          <w:rFonts w:ascii="Arial" w:hAnsi="Arial" w:cs="Arial"/>
          <w:sz w:val="24"/>
          <w:szCs w:val="24"/>
        </w:rPr>
        <w:t>o enorme potencial biotecnológico e aplicabilidade dos e</w:t>
      </w:r>
      <w:r w:rsidR="008A1C95">
        <w:rPr>
          <w:rFonts w:ascii="Arial" w:hAnsi="Arial" w:cs="Arial"/>
          <w:sz w:val="24"/>
          <w:szCs w:val="24"/>
        </w:rPr>
        <w:t>x</w:t>
      </w:r>
      <w:r w:rsidR="00CC2A49">
        <w:rPr>
          <w:rFonts w:ascii="Arial" w:hAnsi="Arial" w:cs="Arial"/>
          <w:sz w:val="24"/>
          <w:szCs w:val="24"/>
        </w:rPr>
        <w:t>tratos d</w:t>
      </w:r>
      <w:r w:rsidR="00451700">
        <w:rPr>
          <w:rFonts w:ascii="Arial" w:hAnsi="Arial" w:cs="Arial"/>
          <w:sz w:val="24"/>
          <w:szCs w:val="24"/>
        </w:rPr>
        <w:t xml:space="preserve">as </w:t>
      </w:r>
      <w:r w:rsidR="00CC3074">
        <w:rPr>
          <w:rFonts w:ascii="Arial" w:hAnsi="Arial" w:cs="Arial"/>
          <w:sz w:val="24"/>
          <w:szCs w:val="24"/>
        </w:rPr>
        <w:t xml:space="preserve">espécies de </w:t>
      </w:r>
      <w:proofErr w:type="spellStart"/>
      <w:r w:rsidR="00CC2A49" w:rsidRPr="00CC2A49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CC2A49">
        <w:rPr>
          <w:rFonts w:ascii="Arial" w:hAnsi="Arial" w:cs="Arial"/>
          <w:sz w:val="24"/>
          <w:szCs w:val="24"/>
        </w:rPr>
        <w:t xml:space="preserve"> spp., </w:t>
      </w:r>
      <w:r w:rsidR="00953151">
        <w:rPr>
          <w:rFonts w:ascii="Arial" w:hAnsi="Arial" w:cs="Arial"/>
          <w:sz w:val="24"/>
          <w:szCs w:val="24"/>
        </w:rPr>
        <w:t xml:space="preserve">poucos </w:t>
      </w:r>
      <w:r w:rsidR="00CC3074">
        <w:rPr>
          <w:rFonts w:ascii="Arial" w:hAnsi="Arial" w:cs="Arial"/>
          <w:sz w:val="24"/>
          <w:szCs w:val="24"/>
        </w:rPr>
        <w:t xml:space="preserve">registros de patentes </w:t>
      </w:r>
      <w:r w:rsidR="00451700">
        <w:rPr>
          <w:rFonts w:ascii="Arial" w:hAnsi="Arial" w:cs="Arial"/>
          <w:sz w:val="24"/>
          <w:szCs w:val="24"/>
        </w:rPr>
        <w:t xml:space="preserve">foram encontrados </w:t>
      </w:r>
      <w:r w:rsidR="00CC3074">
        <w:rPr>
          <w:rFonts w:ascii="Arial" w:hAnsi="Arial" w:cs="Arial"/>
          <w:sz w:val="24"/>
          <w:szCs w:val="24"/>
        </w:rPr>
        <w:t xml:space="preserve">no banco de dados do Instituto Nacional da Propriedade Industrial (INPI). Dentre os 32 </w:t>
      </w:r>
      <w:r w:rsidR="000A6AAC">
        <w:rPr>
          <w:rFonts w:ascii="Arial" w:hAnsi="Arial" w:cs="Arial"/>
          <w:sz w:val="24"/>
          <w:szCs w:val="24"/>
        </w:rPr>
        <w:t xml:space="preserve">depósitos </w:t>
      </w:r>
      <w:r w:rsidR="00CC3074">
        <w:rPr>
          <w:rFonts w:ascii="Arial" w:hAnsi="Arial" w:cs="Arial"/>
          <w:sz w:val="24"/>
          <w:szCs w:val="24"/>
        </w:rPr>
        <w:t>encontrados</w:t>
      </w:r>
      <w:r w:rsidR="000A6AAC">
        <w:rPr>
          <w:rFonts w:ascii="Arial" w:hAnsi="Arial" w:cs="Arial"/>
          <w:sz w:val="24"/>
          <w:szCs w:val="24"/>
        </w:rPr>
        <w:t xml:space="preserve">, apenas dois </w:t>
      </w:r>
      <w:r w:rsidR="006C6645">
        <w:rPr>
          <w:rFonts w:ascii="Arial" w:hAnsi="Arial" w:cs="Arial"/>
          <w:sz w:val="24"/>
          <w:szCs w:val="24"/>
        </w:rPr>
        <w:t xml:space="preserve">relataram o uso de espécies de </w:t>
      </w:r>
      <w:proofErr w:type="spellStart"/>
      <w:r w:rsidR="006C6645" w:rsidRPr="006C6645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6C6645">
        <w:rPr>
          <w:rFonts w:ascii="Arial" w:hAnsi="Arial" w:cs="Arial"/>
          <w:i/>
          <w:iCs/>
          <w:sz w:val="24"/>
          <w:szCs w:val="24"/>
        </w:rPr>
        <w:t xml:space="preserve"> </w:t>
      </w:r>
      <w:r w:rsidR="006C6645" w:rsidRPr="006C6645">
        <w:rPr>
          <w:rFonts w:ascii="Arial" w:hAnsi="Arial" w:cs="Arial"/>
          <w:sz w:val="24"/>
          <w:szCs w:val="24"/>
        </w:rPr>
        <w:t>para</w:t>
      </w:r>
      <w:r w:rsidR="006C6645">
        <w:rPr>
          <w:rFonts w:ascii="Arial" w:hAnsi="Arial" w:cs="Arial"/>
          <w:sz w:val="24"/>
          <w:szCs w:val="24"/>
        </w:rPr>
        <w:t xml:space="preserve"> formulações </w:t>
      </w:r>
      <w:r w:rsidR="00E20AA7">
        <w:rPr>
          <w:rFonts w:ascii="Arial" w:hAnsi="Arial" w:cs="Arial"/>
          <w:sz w:val="24"/>
          <w:szCs w:val="24"/>
        </w:rPr>
        <w:t xml:space="preserve">antifúngicas. </w:t>
      </w:r>
      <w:r w:rsidR="00857E9E">
        <w:rPr>
          <w:rFonts w:ascii="Arial" w:hAnsi="Arial" w:cs="Arial"/>
          <w:sz w:val="24"/>
          <w:szCs w:val="24"/>
        </w:rPr>
        <w:t xml:space="preserve">No entanto, essas invenções fizeram uso de óleos essenciais de espécies </w:t>
      </w:r>
      <w:r w:rsidR="00726FF3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726FF3" w:rsidRPr="00726FF3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726FF3">
        <w:rPr>
          <w:rFonts w:ascii="Arial" w:hAnsi="Arial" w:cs="Arial"/>
          <w:sz w:val="24"/>
          <w:szCs w:val="24"/>
        </w:rPr>
        <w:t xml:space="preserve"> </w:t>
      </w:r>
      <w:r w:rsidR="00857E9E">
        <w:rPr>
          <w:rFonts w:ascii="Arial" w:hAnsi="Arial" w:cs="Arial"/>
          <w:sz w:val="24"/>
          <w:szCs w:val="24"/>
        </w:rPr>
        <w:t>distintas da empregada n</w:t>
      </w:r>
      <w:r w:rsidR="009945C2">
        <w:rPr>
          <w:rFonts w:ascii="Arial" w:hAnsi="Arial" w:cs="Arial"/>
          <w:sz w:val="24"/>
          <w:szCs w:val="24"/>
        </w:rPr>
        <w:t>a presente invenção</w:t>
      </w:r>
      <w:r w:rsidR="00726FF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26FF3" w:rsidRPr="00726FF3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726FF3" w:rsidRPr="00726FF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726FF3" w:rsidRPr="00726FF3">
        <w:rPr>
          <w:rFonts w:ascii="Arial" w:hAnsi="Arial" w:cs="Arial"/>
          <w:i/>
          <w:iCs/>
          <w:sz w:val="24"/>
          <w:szCs w:val="24"/>
        </w:rPr>
        <w:t>heliotropiifolius</w:t>
      </w:r>
      <w:proofErr w:type="spellEnd"/>
      <w:r w:rsidR="00726FF3">
        <w:rPr>
          <w:rFonts w:ascii="Arial" w:hAnsi="Arial" w:cs="Arial"/>
          <w:sz w:val="24"/>
          <w:szCs w:val="24"/>
        </w:rPr>
        <w:t>)</w:t>
      </w:r>
      <w:r w:rsidR="009945C2">
        <w:rPr>
          <w:rFonts w:ascii="Arial" w:hAnsi="Arial" w:cs="Arial"/>
          <w:sz w:val="24"/>
          <w:szCs w:val="24"/>
        </w:rPr>
        <w:t>. O primeiro</w:t>
      </w:r>
      <w:r w:rsidR="004A3B87">
        <w:rPr>
          <w:rFonts w:ascii="Arial" w:hAnsi="Arial" w:cs="Arial"/>
          <w:sz w:val="24"/>
          <w:szCs w:val="24"/>
        </w:rPr>
        <w:t xml:space="preserve"> pedido</w:t>
      </w:r>
      <w:r w:rsidR="009945C2">
        <w:rPr>
          <w:rFonts w:ascii="Arial" w:hAnsi="Arial" w:cs="Arial"/>
          <w:sz w:val="24"/>
          <w:szCs w:val="24"/>
        </w:rPr>
        <w:t xml:space="preserve"> (</w:t>
      </w:r>
      <w:r w:rsidR="009945C2" w:rsidRPr="009945C2">
        <w:rPr>
          <w:rFonts w:ascii="Arial" w:hAnsi="Arial" w:cs="Arial"/>
          <w:sz w:val="24"/>
          <w:szCs w:val="24"/>
        </w:rPr>
        <w:t>BR 10 2019 025251 0</w:t>
      </w:r>
      <w:r w:rsidR="009945C2">
        <w:rPr>
          <w:rFonts w:ascii="Arial" w:hAnsi="Arial" w:cs="Arial"/>
          <w:sz w:val="24"/>
          <w:szCs w:val="24"/>
        </w:rPr>
        <w:t xml:space="preserve">), </w:t>
      </w:r>
      <w:r w:rsidR="00726FF3">
        <w:rPr>
          <w:rFonts w:ascii="Arial" w:hAnsi="Arial" w:cs="Arial"/>
          <w:sz w:val="24"/>
          <w:szCs w:val="24"/>
        </w:rPr>
        <w:t xml:space="preserve">consistiu </w:t>
      </w:r>
      <w:r w:rsidR="00AE40BF">
        <w:rPr>
          <w:rFonts w:ascii="Arial" w:hAnsi="Arial" w:cs="Arial"/>
          <w:sz w:val="24"/>
          <w:szCs w:val="24"/>
        </w:rPr>
        <w:t>no relato de</w:t>
      </w:r>
      <w:r w:rsidR="009945C2">
        <w:rPr>
          <w:rFonts w:ascii="Arial" w:hAnsi="Arial" w:cs="Arial"/>
          <w:sz w:val="24"/>
          <w:szCs w:val="24"/>
        </w:rPr>
        <w:t xml:space="preserve"> </w:t>
      </w:r>
      <w:r w:rsidR="00726FF3">
        <w:rPr>
          <w:rFonts w:ascii="Arial" w:hAnsi="Arial" w:cs="Arial"/>
          <w:sz w:val="24"/>
          <w:szCs w:val="24"/>
        </w:rPr>
        <w:t>formulaç</w:t>
      </w:r>
      <w:r w:rsidR="00AE40BF">
        <w:rPr>
          <w:rFonts w:ascii="Arial" w:hAnsi="Arial" w:cs="Arial"/>
          <w:sz w:val="24"/>
          <w:szCs w:val="24"/>
        </w:rPr>
        <w:t>ões</w:t>
      </w:r>
      <w:r w:rsidR="00726FF3">
        <w:rPr>
          <w:rFonts w:ascii="Arial" w:hAnsi="Arial" w:cs="Arial"/>
          <w:sz w:val="24"/>
          <w:szCs w:val="24"/>
        </w:rPr>
        <w:t xml:space="preserve"> baseada</w:t>
      </w:r>
      <w:r w:rsidR="00CF445E">
        <w:rPr>
          <w:rFonts w:ascii="Arial" w:hAnsi="Arial" w:cs="Arial"/>
          <w:sz w:val="24"/>
          <w:szCs w:val="24"/>
        </w:rPr>
        <w:t>s</w:t>
      </w:r>
      <w:r w:rsidR="00726FF3">
        <w:rPr>
          <w:rFonts w:ascii="Arial" w:hAnsi="Arial" w:cs="Arial"/>
          <w:sz w:val="24"/>
          <w:szCs w:val="24"/>
        </w:rPr>
        <w:t xml:space="preserve"> no </w:t>
      </w:r>
      <w:r w:rsidR="00726FF3">
        <w:rPr>
          <w:rFonts w:ascii="Arial" w:hAnsi="Arial" w:cs="Arial"/>
          <w:sz w:val="24"/>
          <w:szCs w:val="24"/>
        </w:rPr>
        <w:lastRenderedPageBreak/>
        <w:t xml:space="preserve">uso </w:t>
      </w:r>
      <w:r w:rsidR="0029256B">
        <w:rPr>
          <w:rFonts w:ascii="Arial" w:hAnsi="Arial" w:cs="Arial"/>
          <w:sz w:val="24"/>
          <w:szCs w:val="24"/>
        </w:rPr>
        <w:t xml:space="preserve">de </w:t>
      </w:r>
      <w:r w:rsidR="009945C2" w:rsidRPr="009945C2">
        <w:rPr>
          <w:rFonts w:ascii="Arial" w:hAnsi="Arial" w:cs="Arial"/>
          <w:sz w:val="24"/>
          <w:szCs w:val="24"/>
        </w:rPr>
        <w:t>óle</w:t>
      </w:r>
      <w:r w:rsidR="0029256B">
        <w:rPr>
          <w:rFonts w:ascii="Arial" w:hAnsi="Arial" w:cs="Arial"/>
          <w:sz w:val="24"/>
          <w:szCs w:val="24"/>
        </w:rPr>
        <w:t>o</w:t>
      </w:r>
      <w:r w:rsidR="009945C2" w:rsidRPr="009945C2">
        <w:rPr>
          <w:rFonts w:ascii="Arial" w:hAnsi="Arial" w:cs="Arial"/>
          <w:sz w:val="24"/>
          <w:szCs w:val="24"/>
        </w:rPr>
        <w:t xml:space="preserve"> essencia</w:t>
      </w:r>
      <w:r w:rsidR="0029256B">
        <w:rPr>
          <w:rFonts w:ascii="Arial" w:hAnsi="Arial" w:cs="Arial"/>
          <w:sz w:val="24"/>
          <w:szCs w:val="24"/>
        </w:rPr>
        <w:t xml:space="preserve">l </w:t>
      </w:r>
      <w:r w:rsidR="009945C2" w:rsidRPr="009945C2">
        <w:rPr>
          <w:rFonts w:ascii="Arial" w:hAnsi="Arial" w:cs="Arial"/>
          <w:sz w:val="24"/>
          <w:szCs w:val="24"/>
        </w:rPr>
        <w:t>d</w:t>
      </w:r>
      <w:r w:rsidR="0029256B">
        <w:rPr>
          <w:rFonts w:ascii="Arial" w:hAnsi="Arial" w:cs="Arial"/>
          <w:sz w:val="24"/>
          <w:szCs w:val="24"/>
        </w:rPr>
        <w:t>e</w:t>
      </w:r>
      <w:r w:rsidR="009945C2" w:rsidRPr="0099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256B" w:rsidRPr="0029256B">
        <w:rPr>
          <w:rFonts w:ascii="Arial" w:hAnsi="Arial" w:cs="Arial"/>
          <w:i/>
          <w:iCs/>
          <w:sz w:val="24"/>
          <w:szCs w:val="24"/>
        </w:rPr>
        <w:t>C</w:t>
      </w:r>
      <w:r w:rsidR="009945C2" w:rsidRPr="0029256B">
        <w:rPr>
          <w:rFonts w:ascii="Arial" w:hAnsi="Arial" w:cs="Arial"/>
          <w:i/>
          <w:iCs/>
          <w:sz w:val="24"/>
          <w:szCs w:val="24"/>
        </w:rPr>
        <w:t>roton</w:t>
      </w:r>
      <w:proofErr w:type="spellEnd"/>
      <w:r w:rsidR="009945C2" w:rsidRPr="0029256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9945C2" w:rsidRPr="0029256B">
        <w:rPr>
          <w:rFonts w:ascii="Arial" w:hAnsi="Arial" w:cs="Arial"/>
          <w:i/>
          <w:iCs/>
          <w:sz w:val="24"/>
          <w:szCs w:val="24"/>
        </w:rPr>
        <w:t>argirophyloides</w:t>
      </w:r>
      <w:proofErr w:type="spellEnd"/>
      <w:r w:rsidR="009945C2" w:rsidRPr="009945C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256B">
        <w:rPr>
          <w:rFonts w:ascii="Arial" w:hAnsi="Arial" w:cs="Arial"/>
          <w:sz w:val="24"/>
          <w:szCs w:val="24"/>
        </w:rPr>
        <w:t>M</w:t>
      </w:r>
      <w:r w:rsidR="009945C2" w:rsidRPr="009945C2">
        <w:rPr>
          <w:rFonts w:ascii="Arial" w:hAnsi="Arial" w:cs="Arial"/>
          <w:sz w:val="24"/>
          <w:szCs w:val="24"/>
        </w:rPr>
        <w:t>ull</w:t>
      </w:r>
      <w:proofErr w:type="spellEnd"/>
      <w:r w:rsidR="009945C2" w:rsidRPr="009945C2">
        <w:rPr>
          <w:rFonts w:ascii="Arial" w:hAnsi="Arial" w:cs="Arial"/>
          <w:sz w:val="24"/>
          <w:szCs w:val="24"/>
        </w:rPr>
        <w:t xml:space="preserve">. </w:t>
      </w:r>
      <w:r w:rsidR="0029256B">
        <w:rPr>
          <w:rFonts w:ascii="Arial" w:hAnsi="Arial" w:cs="Arial"/>
          <w:sz w:val="24"/>
          <w:szCs w:val="24"/>
        </w:rPr>
        <w:t>A</w:t>
      </w:r>
      <w:r w:rsidR="009945C2" w:rsidRPr="009945C2">
        <w:rPr>
          <w:rFonts w:ascii="Arial" w:hAnsi="Arial" w:cs="Arial"/>
          <w:sz w:val="24"/>
          <w:szCs w:val="24"/>
        </w:rPr>
        <w:t>rg.</w:t>
      </w:r>
      <w:r w:rsidR="00A159E7">
        <w:rPr>
          <w:rFonts w:ascii="Arial" w:hAnsi="Arial" w:cs="Arial"/>
          <w:sz w:val="24"/>
          <w:szCs w:val="24"/>
        </w:rPr>
        <w:t xml:space="preserve"> (</w:t>
      </w:r>
      <w:r w:rsidR="00CF445E">
        <w:rPr>
          <w:rFonts w:ascii="Arial" w:hAnsi="Arial" w:cs="Arial"/>
          <w:sz w:val="24"/>
          <w:szCs w:val="24"/>
        </w:rPr>
        <w:t>vulgarmente “</w:t>
      </w:r>
      <w:proofErr w:type="spellStart"/>
      <w:r w:rsidR="00A159E7" w:rsidRPr="00A159E7">
        <w:rPr>
          <w:rFonts w:ascii="Arial" w:hAnsi="Arial" w:cs="Arial"/>
          <w:sz w:val="24"/>
          <w:szCs w:val="24"/>
        </w:rPr>
        <w:t>sacatinga</w:t>
      </w:r>
      <w:proofErr w:type="spellEnd"/>
      <w:r w:rsidR="00CF445E">
        <w:rPr>
          <w:rFonts w:ascii="Arial" w:hAnsi="Arial" w:cs="Arial"/>
          <w:sz w:val="24"/>
          <w:szCs w:val="24"/>
        </w:rPr>
        <w:t>”</w:t>
      </w:r>
      <w:r w:rsidR="00A159E7">
        <w:rPr>
          <w:rFonts w:ascii="Arial" w:hAnsi="Arial" w:cs="Arial"/>
          <w:sz w:val="24"/>
          <w:szCs w:val="24"/>
        </w:rPr>
        <w:t>)</w:t>
      </w:r>
      <w:r w:rsidR="009945C2" w:rsidRPr="009945C2">
        <w:rPr>
          <w:rFonts w:ascii="Arial" w:hAnsi="Arial" w:cs="Arial"/>
          <w:sz w:val="24"/>
          <w:szCs w:val="24"/>
        </w:rPr>
        <w:t xml:space="preserve"> </w:t>
      </w:r>
      <w:r w:rsidR="009742C4">
        <w:rPr>
          <w:rFonts w:ascii="Arial" w:hAnsi="Arial" w:cs="Arial"/>
          <w:sz w:val="24"/>
          <w:szCs w:val="24"/>
        </w:rPr>
        <w:t>para o controle de</w:t>
      </w:r>
      <w:r w:rsidR="00FC6CA1">
        <w:rPr>
          <w:rFonts w:ascii="Arial" w:hAnsi="Arial" w:cs="Arial"/>
          <w:sz w:val="24"/>
          <w:szCs w:val="24"/>
        </w:rPr>
        <w:t xml:space="preserve"> espécies de</w:t>
      </w:r>
      <w:r w:rsidR="009742C4">
        <w:rPr>
          <w:rFonts w:ascii="Arial" w:hAnsi="Arial" w:cs="Arial"/>
          <w:sz w:val="24"/>
          <w:szCs w:val="24"/>
        </w:rPr>
        <w:t xml:space="preserve"> fungos </w:t>
      </w:r>
      <w:r w:rsidR="00FC6CA1">
        <w:rPr>
          <w:rFonts w:ascii="Arial" w:hAnsi="Arial" w:cs="Arial"/>
          <w:sz w:val="24"/>
          <w:szCs w:val="24"/>
        </w:rPr>
        <w:t xml:space="preserve">do gênero </w:t>
      </w:r>
      <w:proofErr w:type="spellStart"/>
      <w:r w:rsidR="00FC6CA1" w:rsidRPr="00AE40BF">
        <w:rPr>
          <w:rFonts w:ascii="Arial" w:hAnsi="Arial" w:cs="Arial"/>
          <w:i/>
          <w:iCs/>
          <w:sz w:val="24"/>
          <w:szCs w:val="24"/>
        </w:rPr>
        <w:t>Candida</w:t>
      </w:r>
      <w:proofErr w:type="spellEnd"/>
      <w:r w:rsidR="00FC6CA1">
        <w:rPr>
          <w:rFonts w:ascii="Arial" w:hAnsi="Arial" w:cs="Arial"/>
          <w:i/>
          <w:iCs/>
          <w:sz w:val="24"/>
          <w:szCs w:val="24"/>
        </w:rPr>
        <w:t xml:space="preserve">, </w:t>
      </w:r>
      <w:r w:rsidR="009742C4">
        <w:rPr>
          <w:rFonts w:ascii="Arial" w:hAnsi="Arial" w:cs="Arial"/>
          <w:sz w:val="24"/>
          <w:szCs w:val="24"/>
        </w:rPr>
        <w:t xml:space="preserve">patogênicos </w:t>
      </w:r>
      <w:r w:rsidR="00AE40BF">
        <w:rPr>
          <w:rFonts w:ascii="Arial" w:hAnsi="Arial" w:cs="Arial"/>
          <w:sz w:val="24"/>
          <w:szCs w:val="24"/>
        </w:rPr>
        <w:t>de humanos</w:t>
      </w:r>
      <w:r w:rsidR="00FC6CA1">
        <w:rPr>
          <w:rFonts w:ascii="Arial" w:hAnsi="Arial" w:cs="Arial"/>
          <w:i/>
          <w:iCs/>
          <w:sz w:val="24"/>
          <w:szCs w:val="24"/>
        </w:rPr>
        <w:t>.</w:t>
      </w:r>
      <w:r w:rsidR="00FC6CA1">
        <w:rPr>
          <w:rFonts w:ascii="Arial" w:hAnsi="Arial" w:cs="Arial"/>
          <w:sz w:val="24"/>
          <w:szCs w:val="24"/>
        </w:rPr>
        <w:t xml:space="preserve"> </w:t>
      </w:r>
      <w:r w:rsidR="003F5E2B">
        <w:rPr>
          <w:rFonts w:ascii="Arial" w:hAnsi="Arial" w:cs="Arial"/>
          <w:sz w:val="24"/>
          <w:szCs w:val="24"/>
        </w:rPr>
        <w:t xml:space="preserve">O segundo </w:t>
      </w:r>
      <w:r w:rsidR="0015440B">
        <w:rPr>
          <w:rFonts w:ascii="Arial" w:hAnsi="Arial" w:cs="Arial"/>
          <w:sz w:val="24"/>
          <w:szCs w:val="24"/>
        </w:rPr>
        <w:t>pedido</w:t>
      </w:r>
      <w:r w:rsidR="003F5E2B">
        <w:rPr>
          <w:rFonts w:ascii="Arial" w:hAnsi="Arial" w:cs="Arial"/>
          <w:sz w:val="24"/>
          <w:szCs w:val="24"/>
        </w:rPr>
        <w:t xml:space="preserve"> (</w:t>
      </w:r>
      <w:r w:rsidR="003F5E2B" w:rsidRPr="003F5E2B">
        <w:rPr>
          <w:rFonts w:ascii="Arial" w:hAnsi="Arial" w:cs="Arial"/>
          <w:sz w:val="24"/>
          <w:szCs w:val="24"/>
        </w:rPr>
        <w:t>BR 10 2017 000272 1</w:t>
      </w:r>
      <w:r w:rsidR="003F5E2B">
        <w:rPr>
          <w:rFonts w:ascii="Arial" w:hAnsi="Arial" w:cs="Arial"/>
          <w:sz w:val="24"/>
          <w:szCs w:val="24"/>
        </w:rPr>
        <w:t xml:space="preserve">) foi uma </w:t>
      </w:r>
      <w:r w:rsidR="00CF445E">
        <w:rPr>
          <w:rFonts w:ascii="Arial" w:hAnsi="Arial" w:cs="Arial"/>
          <w:sz w:val="24"/>
          <w:szCs w:val="24"/>
        </w:rPr>
        <w:t xml:space="preserve">formulação </w:t>
      </w:r>
      <w:r w:rsidR="006A7BFA">
        <w:rPr>
          <w:rFonts w:ascii="Arial" w:hAnsi="Arial" w:cs="Arial"/>
          <w:sz w:val="24"/>
          <w:szCs w:val="24"/>
        </w:rPr>
        <w:t xml:space="preserve">baseada no óleo essencial de </w:t>
      </w:r>
      <w:proofErr w:type="spellStart"/>
      <w:r w:rsidR="002E2B21" w:rsidRPr="002E2B21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2E2B21" w:rsidRPr="002E2B2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E2B21" w:rsidRPr="002E2B21">
        <w:rPr>
          <w:rFonts w:ascii="Arial" w:hAnsi="Arial" w:cs="Arial"/>
          <w:i/>
          <w:iCs/>
          <w:sz w:val="24"/>
          <w:szCs w:val="24"/>
        </w:rPr>
        <w:t>tetradenius</w:t>
      </w:r>
      <w:proofErr w:type="spellEnd"/>
      <w:r w:rsidR="002E2B21">
        <w:rPr>
          <w:rFonts w:ascii="Arial" w:hAnsi="Arial" w:cs="Arial"/>
          <w:i/>
          <w:iCs/>
          <w:sz w:val="24"/>
          <w:szCs w:val="24"/>
        </w:rPr>
        <w:t xml:space="preserve"> </w:t>
      </w:r>
      <w:r w:rsidR="002E2B21">
        <w:rPr>
          <w:rFonts w:ascii="Arial" w:hAnsi="Arial" w:cs="Arial"/>
          <w:sz w:val="24"/>
          <w:szCs w:val="24"/>
        </w:rPr>
        <w:t xml:space="preserve">para o controle do fungo fitopatogênico </w:t>
      </w:r>
      <w:proofErr w:type="spellStart"/>
      <w:r w:rsidR="002E2B21" w:rsidRPr="002E2B21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2E2B21" w:rsidRPr="002E2B2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E2B21" w:rsidRPr="002E2B21">
        <w:rPr>
          <w:rFonts w:ascii="Arial" w:hAnsi="Arial" w:cs="Arial"/>
          <w:i/>
          <w:iCs/>
          <w:sz w:val="24"/>
          <w:szCs w:val="24"/>
        </w:rPr>
        <w:t>solani</w:t>
      </w:r>
      <w:proofErr w:type="spellEnd"/>
      <w:r w:rsidR="00C3509A">
        <w:rPr>
          <w:rFonts w:ascii="Arial" w:hAnsi="Arial" w:cs="Arial"/>
          <w:sz w:val="24"/>
          <w:szCs w:val="24"/>
        </w:rPr>
        <w:t xml:space="preserve">. No entanto, além da espécie de </w:t>
      </w:r>
      <w:proofErr w:type="spellStart"/>
      <w:r w:rsidR="00C3509A" w:rsidRPr="00205D32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C3509A">
        <w:rPr>
          <w:rFonts w:ascii="Arial" w:hAnsi="Arial" w:cs="Arial"/>
          <w:sz w:val="24"/>
          <w:szCs w:val="24"/>
        </w:rPr>
        <w:t xml:space="preserve"> ser diferente da </w:t>
      </w:r>
      <w:r w:rsidR="00205D32">
        <w:rPr>
          <w:rFonts w:ascii="Arial" w:hAnsi="Arial" w:cs="Arial"/>
          <w:sz w:val="24"/>
          <w:szCs w:val="24"/>
        </w:rPr>
        <w:t>utilizada na presente reivindicação</w:t>
      </w:r>
      <w:r w:rsidR="000964FB">
        <w:rPr>
          <w:rFonts w:ascii="Arial" w:hAnsi="Arial" w:cs="Arial"/>
          <w:sz w:val="24"/>
          <w:szCs w:val="24"/>
        </w:rPr>
        <w:t>,</w:t>
      </w:r>
      <w:r w:rsidR="00205D32">
        <w:rPr>
          <w:rFonts w:ascii="Arial" w:hAnsi="Arial" w:cs="Arial"/>
          <w:sz w:val="24"/>
          <w:szCs w:val="24"/>
        </w:rPr>
        <w:t xml:space="preserve"> </w:t>
      </w:r>
      <w:r w:rsidR="000964FB">
        <w:rPr>
          <w:rFonts w:ascii="Arial" w:hAnsi="Arial" w:cs="Arial"/>
          <w:sz w:val="24"/>
          <w:szCs w:val="24"/>
        </w:rPr>
        <w:t>s</w:t>
      </w:r>
      <w:r w:rsidR="00205D32">
        <w:rPr>
          <w:rFonts w:ascii="Arial" w:hAnsi="Arial" w:cs="Arial"/>
          <w:sz w:val="24"/>
          <w:szCs w:val="24"/>
        </w:rPr>
        <w:t xml:space="preserve">ua formulação e métodos de avaliação </w:t>
      </w:r>
      <w:r w:rsidR="000964FB">
        <w:rPr>
          <w:rFonts w:ascii="Arial" w:hAnsi="Arial" w:cs="Arial"/>
          <w:sz w:val="24"/>
          <w:szCs w:val="24"/>
        </w:rPr>
        <w:t xml:space="preserve">também </w:t>
      </w:r>
      <w:r w:rsidR="00205D32">
        <w:rPr>
          <w:rFonts w:ascii="Arial" w:hAnsi="Arial" w:cs="Arial"/>
          <w:sz w:val="24"/>
          <w:szCs w:val="24"/>
        </w:rPr>
        <w:t>foram distintos</w:t>
      </w:r>
      <w:r w:rsidR="00803F56">
        <w:rPr>
          <w:rFonts w:ascii="Arial" w:hAnsi="Arial" w:cs="Arial"/>
          <w:sz w:val="24"/>
          <w:szCs w:val="24"/>
        </w:rPr>
        <w:t xml:space="preserve">. </w:t>
      </w:r>
      <w:r w:rsidR="00661111">
        <w:rPr>
          <w:rFonts w:ascii="Arial" w:hAnsi="Arial" w:cs="Arial"/>
          <w:sz w:val="24"/>
          <w:szCs w:val="24"/>
        </w:rPr>
        <w:t xml:space="preserve">Quanto aos outros 30 depósitos relacionados a produtos derivados de </w:t>
      </w:r>
      <w:proofErr w:type="spellStart"/>
      <w:r w:rsidR="00661111" w:rsidRPr="00A15C2B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661111">
        <w:rPr>
          <w:rFonts w:ascii="Arial" w:hAnsi="Arial" w:cs="Arial"/>
          <w:sz w:val="24"/>
          <w:szCs w:val="24"/>
        </w:rPr>
        <w:t xml:space="preserve"> spp., a finalidade variou, predominando os produtos com atividades bactericida, inseticida, larvicida, produção de biofilmes, aplicações odontológicas e medicinais diversas, mas nenhum mencionou a espécie </w:t>
      </w:r>
      <w:proofErr w:type="spellStart"/>
      <w:r w:rsidR="00661111" w:rsidRPr="00664008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661111" w:rsidRPr="0066400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61111" w:rsidRPr="00664008">
        <w:rPr>
          <w:rFonts w:ascii="Arial" w:hAnsi="Arial" w:cs="Arial"/>
          <w:i/>
          <w:iCs/>
          <w:sz w:val="24"/>
          <w:szCs w:val="24"/>
        </w:rPr>
        <w:t>heliotropiifolius</w:t>
      </w:r>
      <w:proofErr w:type="spellEnd"/>
      <w:r w:rsidR="00661111">
        <w:rPr>
          <w:rFonts w:ascii="Arial" w:hAnsi="Arial" w:cs="Arial"/>
          <w:i/>
          <w:iCs/>
          <w:sz w:val="24"/>
          <w:szCs w:val="24"/>
        </w:rPr>
        <w:t xml:space="preserve">, </w:t>
      </w:r>
      <w:r w:rsidR="00661111">
        <w:rPr>
          <w:rFonts w:ascii="Arial" w:hAnsi="Arial" w:cs="Arial"/>
          <w:sz w:val="24"/>
          <w:szCs w:val="24"/>
        </w:rPr>
        <w:t>revelando a exclusividade do uso de extratos dessa espécie em nossa invenção.</w:t>
      </w:r>
      <w:r w:rsidR="00F42D45">
        <w:rPr>
          <w:rFonts w:ascii="Arial" w:hAnsi="Arial" w:cs="Arial"/>
          <w:sz w:val="24"/>
          <w:szCs w:val="24"/>
        </w:rPr>
        <w:t xml:space="preserve"> Pesquisas adicionais também foram feitas nos bancos de dados US-PGPUB, USPA e USOCR, </w:t>
      </w:r>
      <w:r w:rsidR="001E4881">
        <w:rPr>
          <w:rFonts w:ascii="Arial" w:hAnsi="Arial" w:cs="Arial"/>
          <w:sz w:val="24"/>
          <w:szCs w:val="24"/>
        </w:rPr>
        <w:t xml:space="preserve">feitas através da plataforma </w:t>
      </w:r>
      <w:r w:rsidR="001E4881" w:rsidRPr="001E4881">
        <w:rPr>
          <w:rFonts w:ascii="Arial" w:hAnsi="Arial" w:cs="Arial"/>
          <w:sz w:val="24"/>
          <w:szCs w:val="24"/>
        </w:rPr>
        <w:t>https://ppubs.uspto.gov/</w:t>
      </w:r>
      <w:r w:rsidR="001E4881">
        <w:rPr>
          <w:rFonts w:ascii="Arial" w:hAnsi="Arial" w:cs="Arial"/>
          <w:sz w:val="24"/>
          <w:szCs w:val="24"/>
        </w:rPr>
        <w:t xml:space="preserve">, </w:t>
      </w:r>
      <w:r w:rsidR="00F42D45">
        <w:rPr>
          <w:rFonts w:ascii="Arial" w:hAnsi="Arial" w:cs="Arial"/>
          <w:sz w:val="24"/>
          <w:szCs w:val="24"/>
        </w:rPr>
        <w:t xml:space="preserve">mas </w:t>
      </w:r>
      <w:r w:rsidR="00E34CD1">
        <w:rPr>
          <w:rFonts w:ascii="Arial" w:hAnsi="Arial" w:cs="Arial"/>
          <w:sz w:val="24"/>
          <w:szCs w:val="24"/>
        </w:rPr>
        <w:t xml:space="preserve">não foi encontrado </w:t>
      </w:r>
      <w:r w:rsidR="00F42D45">
        <w:rPr>
          <w:rFonts w:ascii="Arial" w:hAnsi="Arial" w:cs="Arial"/>
          <w:sz w:val="24"/>
          <w:szCs w:val="24"/>
        </w:rPr>
        <w:t>nenhum</w:t>
      </w:r>
      <w:r w:rsidR="00E34CD1">
        <w:rPr>
          <w:rFonts w:ascii="Arial" w:hAnsi="Arial" w:cs="Arial"/>
          <w:sz w:val="24"/>
          <w:szCs w:val="24"/>
        </w:rPr>
        <w:t xml:space="preserve"> registro fazendo </w:t>
      </w:r>
      <w:r w:rsidR="00F42D45">
        <w:rPr>
          <w:rFonts w:ascii="Arial" w:hAnsi="Arial" w:cs="Arial"/>
          <w:sz w:val="24"/>
          <w:szCs w:val="24"/>
        </w:rPr>
        <w:t xml:space="preserve">menção ao uso de </w:t>
      </w:r>
      <w:proofErr w:type="spellStart"/>
      <w:r w:rsidR="00F42D45" w:rsidRPr="00AF7347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F42D45" w:rsidRPr="00AF734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F42D45" w:rsidRPr="00AF7347">
        <w:rPr>
          <w:rFonts w:ascii="Arial" w:hAnsi="Arial" w:cs="Arial"/>
          <w:i/>
          <w:iCs/>
          <w:sz w:val="24"/>
          <w:szCs w:val="24"/>
        </w:rPr>
        <w:t>heliotropiifolius</w:t>
      </w:r>
      <w:proofErr w:type="spellEnd"/>
      <w:r w:rsidR="00F42D45" w:rsidRPr="00F42D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2D45" w:rsidRPr="00F42D45">
        <w:rPr>
          <w:rFonts w:ascii="Arial" w:hAnsi="Arial" w:cs="Arial"/>
          <w:sz w:val="24"/>
          <w:szCs w:val="24"/>
        </w:rPr>
        <w:t>Kunth</w:t>
      </w:r>
      <w:proofErr w:type="spellEnd"/>
      <w:r w:rsidR="00F42D45" w:rsidRPr="00F42D45">
        <w:rPr>
          <w:rFonts w:ascii="Arial" w:hAnsi="Arial" w:cs="Arial"/>
          <w:sz w:val="24"/>
          <w:szCs w:val="24"/>
        </w:rPr>
        <w:t xml:space="preserve"> para formulações </w:t>
      </w:r>
      <w:r w:rsidR="00E34CD1">
        <w:rPr>
          <w:rFonts w:ascii="Arial" w:hAnsi="Arial" w:cs="Arial"/>
          <w:sz w:val="24"/>
          <w:szCs w:val="24"/>
        </w:rPr>
        <w:t>ou</w:t>
      </w:r>
      <w:r w:rsidR="00F42D45" w:rsidRPr="00F42D45">
        <w:rPr>
          <w:rFonts w:ascii="Arial" w:hAnsi="Arial" w:cs="Arial"/>
          <w:sz w:val="24"/>
          <w:szCs w:val="24"/>
        </w:rPr>
        <w:t xml:space="preserve"> obtenç</w:t>
      </w:r>
      <w:r w:rsidR="00E34CD1">
        <w:rPr>
          <w:rFonts w:ascii="Arial" w:hAnsi="Arial" w:cs="Arial"/>
          <w:sz w:val="24"/>
          <w:szCs w:val="24"/>
        </w:rPr>
        <w:t>ão</w:t>
      </w:r>
      <w:r w:rsidR="00F42D45" w:rsidRPr="00F42D45">
        <w:rPr>
          <w:rFonts w:ascii="Arial" w:hAnsi="Arial" w:cs="Arial"/>
          <w:sz w:val="24"/>
          <w:szCs w:val="24"/>
        </w:rPr>
        <w:t xml:space="preserve"> de qualquer tipo de produto.</w:t>
      </w:r>
    </w:p>
    <w:p w14:paraId="4EABDCE8" w14:textId="378D8A80" w:rsidR="00AF7347" w:rsidRDefault="00D028C9" w:rsidP="00046981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</w:t>
      </w:r>
      <w:r w:rsidR="00704BE5">
        <w:rPr>
          <w:rFonts w:ascii="Arial" w:hAnsi="Arial" w:cs="Arial"/>
          <w:sz w:val="24"/>
          <w:szCs w:val="24"/>
        </w:rPr>
        <w:t>0</w:t>
      </w:r>
      <w:r w:rsidR="00A62548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AF7347" w:rsidRPr="00AF7347">
        <w:rPr>
          <w:rFonts w:ascii="Arial" w:hAnsi="Arial" w:cs="Arial"/>
          <w:sz w:val="24"/>
          <w:szCs w:val="24"/>
        </w:rPr>
        <w:t xml:space="preserve">Embora a patente BR 10 2017 000272 1 relate o controle de </w:t>
      </w:r>
      <w:proofErr w:type="spellStart"/>
      <w:r w:rsidR="00AF7347" w:rsidRPr="00AF7347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AF7347" w:rsidRPr="00AF734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AF7347" w:rsidRPr="00AF7347">
        <w:rPr>
          <w:rFonts w:ascii="Arial" w:hAnsi="Arial" w:cs="Arial"/>
          <w:i/>
          <w:iCs/>
          <w:sz w:val="24"/>
          <w:szCs w:val="24"/>
        </w:rPr>
        <w:t>solani</w:t>
      </w:r>
      <w:proofErr w:type="spellEnd"/>
      <w:r w:rsidR="00AF7347" w:rsidRPr="00AF7347">
        <w:rPr>
          <w:rFonts w:ascii="Arial" w:hAnsi="Arial" w:cs="Arial"/>
          <w:sz w:val="24"/>
          <w:szCs w:val="24"/>
        </w:rPr>
        <w:t xml:space="preserve"> com óleo essencial de </w:t>
      </w:r>
      <w:proofErr w:type="spellStart"/>
      <w:r w:rsidR="00AF7347" w:rsidRPr="00AF7347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AF7347" w:rsidRPr="00AF734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AF7347" w:rsidRPr="00AF7347">
        <w:rPr>
          <w:rFonts w:ascii="Arial" w:hAnsi="Arial" w:cs="Arial"/>
          <w:i/>
          <w:iCs/>
          <w:sz w:val="24"/>
          <w:szCs w:val="24"/>
        </w:rPr>
        <w:t>tetradenius</w:t>
      </w:r>
      <w:proofErr w:type="spellEnd"/>
      <w:r w:rsidR="00AF7347" w:rsidRPr="00AF7347">
        <w:rPr>
          <w:rFonts w:ascii="Arial" w:hAnsi="Arial" w:cs="Arial"/>
          <w:sz w:val="24"/>
          <w:szCs w:val="24"/>
        </w:rPr>
        <w:t xml:space="preserve">, é crucial considerar a alta variabilidade genética e fisiológica dentro da espécie </w:t>
      </w:r>
      <w:proofErr w:type="spellStart"/>
      <w:r w:rsidR="00AF7347" w:rsidRPr="00AF7347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AF7347" w:rsidRPr="00E90338">
        <w:rPr>
          <w:rFonts w:ascii="Arial" w:hAnsi="Arial" w:cs="Arial"/>
          <w:i/>
          <w:iCs/>
          <w:sz w:val="24"/>
          <w:szCs w:val="24"/>
        </w:rPr>
        <w:t>.</w:t>
      </w:r>
      <w:r w:rsidR="00AF7347" w:rsidRPr="00AF7347">
        <w:rPr>
          <w:rFonts w:ascii="Arial" w:hAnsi="Arial" w:cs="Arial"/>
          <w:sz w:val="24"/>
          <w:szCs w:val="24"/>
        </w:rPr>
        <w:t xml:space="preserve"> Estudos têm demonstrado a existência de diversas formas especiais (</w:t>
      </w:r>
      <w:proofErr w:type="spellStart"/>
      <w:r w:rsidR="00AF7347" w:rsidRPr="00AF7347">
        <w:rPr>
          <w:rFonts w:ascii="Arial" w:hAnsi="Arial" w:cs="Arial"/>
          <w:i/>
          <w:iCs/>
          <w:sz w:val="24"/>
          <w:szCs w:val="24"/>
        </w:rPr>
        <w:t>formae</w:t>
      </w:r>
      <w:proofErr w:type="spellEnd"/>
      <w:r w:rsidR="00AF7347" w:rsidRPr="00AF7347">
        <w:rPr>
          <w:rFonts w:ascii="Arial" w:hAnsi="Arial" w:cs="Arial"/>
          <w:i/>
          <w:iCs/>
          <w:sz w:val="24"/>
          <w:szCs w:val="24"/>
        </w:rPr>
        <w:t xml:space="preserve"> speciales</w:t>
      </w:r>
      <w:r w:rsidR="00AF7347" w:rsidRPr="00AF7347">
        <w:rPr>
          <w:rFonts w:ascii="Arial" w:hAnsi="Arial" w:cs="Arial"/>
          <w:sz w:val="24"/>
          <w:szCs w:val="24"/>
        </w:rPr>
        <w:t xml:space="preserve">) e raças patogênicas de </w:t>
      </w:r>
      <w:r w:rsidR="00AF7347" w:rsidRPr="00AF7347">
        <w:rPr>
          <w:rFonts w:ascii="Arial" w:hAnsi="Arial" w:cs="Arial"/>
          <w:i/>
          <w:iCs/>
          <w:sz w:val="24"/>
          <w:szCs w:val="24"/>
        </w:rPr>
        <w:t xml:space="preserve">F. </w:t>
      </w:r>
      <w:proofErr w:type="spellStart"/>
      <w:r w:rsidR="00AF7347" w:rsidRPr="00AF7347">
        <w:rPr>
          <w:rFonts w:ascii="Arial" w:hAnsi="Arial" w:cs="Arial"/>
          <w:i/>
          <w:iCs/>
          <w:sz w:val="24"/>
          <w:szCs w:val="24"/>
        </w:rPr>
        <w:t>solani</w:t>
      </w:r>
      <w:proofErr w:type="spellEnd"/>
      <w:r w:rsidR="00AF7347" w:rsidRPr="00AF7347">
        <w:rPr>
          <w:rFonts w:ascii="Arial" w:hAnsi="Arial" w:cs="Arial"/>
          <w:sz w:val="24"/>
          <w:szCs w:val="24"/>
        </w:rPr>
        <w:t>, cada uma com especificidade para diferentes hospedeiros e sensibilidade variável a compostos antimicrobianos (O’Donnell</w:t>
      </w:r>
      <w:r w:rsidR="00CA5C74">
        <w:rPr>
          <w:rFonts w:ascii="Arial" w:hAnsi="Arial" w:cs="Arial"/>
          <w:sz w:val="24"/>
          <w:szCs w:val="24"/>
        </w:rPr>
        <w:t xml:space="preserve"> et al., </w:t>
      </w:r>
      <w:r w:rsidR="00C376B0" w:rsidRPr="00C376B0">
        <w:rPr>
          <w:rFonts w:ascii="Arial" w:hAnsi="Arial" w:cs="Arial"/>
          <w:sz w:val="24"/>
          <w:szCs w:val="24"/>
        </w:rPr>
        <w:t>Clin Microbiol</w:t>
      </w:r>
      <w:r w:rsidR="00CA5C74">
        <w:rPr>
          <w:rFonts w:ascii="Arial" w:hAnsi="Arial" w:cs="Arial"/>
          <w:sz w:val="24"/>
          <w:szCs w:val="24"/>
        </w:rPr>
        <w:t xml:space="preserve">., v. </w:t>
      </w:r>
      <w:r w:rsidR="00C376B0" w:rsidRPr="00C376B0">
        <w:rPr>
          <w:rFonts w:ascii="Arial" w:hAnsi="Arial" w:cs="Arial"/>
          <w:sz w:val="24"/>
          <w:szCs w:val="24"/>
        </w:rPr>
        <w:t>46</w:t>
      </w:r>
      <w:r w:rsidR="00CA5C74">
        <w:rPr>
          <w:rFonts w:ascii="Arial" w:hAnsi="Arial" w:cs="Arial"/>
          <w:sz w:val="24"/>
          <w:szCs w:val="24"/>
        </w:rPr>
        <w:t xml:space="preserve">, n. </w:t>
      </w:r>
      <w:r w:rsidR="00C376B0" w:rsidRPr="00C376B0">
        <w:rPr>
          <w:rFonts w:ascii="Arial" w:hAnsi="Arial" w:cs="Arial"/>
          <w:sz w:val="24"/>
          <w:szCs w:val="24"/>
        </w:rPr>
        <w:t>8</w:t>
      </w:r>
      <w:r w:rsidR="00CA5C74">
        <w:rPr>
          <w:rFonts w:ascii="Arial" w:hAnsi="Arial" w:cs="Arial"/>
          <w:sz w:val="24"/>
          <w:szCs w:val="24"/>
        </w:rPr>
        <w:t xml:space="preserve">, p. </w:t>
      </w:r>
      <w:r w:rsidR="00C376B0" w:rsidRPr="00C376B0">
        <w:rPr>
          <w:rFonts w:ascii="Arial" w:hAnsi="Arial" w:cs="Arial"/>
          <w:sz w:val="24"/>
          <w:szCs w:val="24"/>
        </w:rPr>
        <w:t>2477-</w:t>
      </w:r>
      <w:r w:rsidR="00CA5C74">
        <w:rPr>
          <w:rFonts w:ascii="Arial" w:hAnsi="Arial" w:cs="Arial"/>
          <w:sz w:val="24"/>
          <w:szCs w:val="24"/>
        </w:rPr>
        <w:t>24</w:t>
      </w:r>
      <w:r w:rsidR="00C376B0" w:rsidRPr="00C376B0">
        <w:rPr>
          <w:rFonts w:ascii="Arial" w:hAnsi="Arial" w:cs="Arial"/>
          <w:sz w:val="24"/>
          <w:szCs w:val="24"/>
        </w:rPr>
        <w:t>90</w:t>
      </w:r>
      <w:r w:rsidR="00C376B0">
        <w:rPr>
          <w:rFonts w:ascii="Arial" w:hAnsi="Arial" w:cs="Arial"/>
          <w:sz w:val="24"/>
          <w:szCs w:val="24"/>
        </w:rPr>
        <w:t>, 20</w:t>
      </w:r>
      <w:r w:rsidR="00CA5C74">
        <w:rPr>
          <w:rFonts w:ascii="Arial" w:hAnsi="Arial" w:cs="Arial"/>
          <w:sz w:val="24"/>
          <w:szCs w:val="24"/>
        </w:rPr>
        <w:t>08</w:t>
      </w:r>
      <w:r w:rsidR="00AF7347" w:rsidRPr="00AF7347">
        <w:rPr>
          <w:rFonts w:ascii="Arial" w:hAnsi="Arial" w:cs="Arial"/>
          <w:sz w:val="24"/>
          <w:szCs w:val="24"/>
        </w:rPr>
        <w:t xml:space="preserve">). Portanto, a eficácia da formulação proposta na presente patente, baseada em extrato de </w:t>
      </w:r>
      <w:proofErr w:type="spellStart"/>
      <w:r w:rsidR="00AF7347" w:rsidRPr="00AF7347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AF7347" w:rsidRPr="00AF734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AF7347" w:rsidRPr="00AF7347">
        <w:rPr>
          <w:rFonts w:ascii="Arial" w:hAnsi="Arial" w:cs="Arial"/>
          <w:i/>
          <w:iCs/>
          <w:sz w:val="24"/>
          <w:szCs w:val="24"/>
        </w:rPr>
        <w:t>heliotropiifolius</w:t>
      </w:r>
      <w:proofErr w:type="spellEnd"/>
      <w:r w:rsidR="00AF7347" w:rsidRPr="00AF7347">
        <w:rPr>
          <w:rFonts w:ascii="Arial" w:hAnsi="Arial" w:cs="Arial"/>
          <w:sz w:val="24"/>
          <w:szCs w:val="24"/>
        </w:rPr>
        <w:t xml:space="preserve">, </w:t>
      </w:r>
      <w:r w:rsidR="00B817DB">
        <w:rPr>
          <w:rFonts w:ascii="Arial" w:hAnsi="Arial" w:cs="Arial"/>
          <w:sz w:val="24"/>
          <w:szCs w:val="24"/>
        </w:rPr>
        <w:t xml:space="preserve">foi testada em isolados obtidos diretamente </w:t>
      </w:r>
      <w:r w:rsidR="00F5600D">
        <w:rPr>
          <w:rFonts w:ascii="Arial" w:hAnsi="Arial" w:cs="Arial"/>
          <w:sz w:val="24"/>
          <w:szCs w:val="24"/>
        </w:rPr>
        <w:t>de plantas de mandioca infectadas, sendo caracterizado</w:t>
      </w:r>
      <w:r w:rsidR="008E0A7E">
        <w:rPr>
          <w:rFonts w:ascii="Arial" w:hAnsi="Arial" w:cs="Arial"/>
          <w:sz w:val="24"/>
          <w:szCs w:val="24"/>
        </w:rPr>
        <w:t>s</w:t>
      </w:r>
      <w:r w:rsidR="00F5600D">
        <w:rPr>
          <w:rFonts w:ascii="Arial" w:hAnsi="Arial" w:cs="Arial"/>
          <w:sz w:val="24"/>
          <w:szCs w:val="24"/>
        </w:rPr>
        <w:t xml:space="preserve"> geneticamente</w:t>
      </w:r>
      <w:r w:rsidR="008E0A7E">
        <w:rPr>
          <w:rFonts w:ascii="Arial" w:hAnsi="Arial" w:cs="Arial"/>
          <w:sz w:val="24"/>
          <w:szCs w:val="24"/>
        </w:rPr>
        <w:t xml:space="preserve"> e comparados em banco de dados </w:t>
      </w:r>
      <w:r w:rsidR="00A15C2B">
        <w:rPr>
          <w:rFonts w:ascii="Arial" w:hAnsi="Arial" w:cs="Arial"/>
          <w:sz w:val="24"/>
          <w:szCs w:val="24"/>
        </w:rPr>
        <w:t>especializado</w:t>
      </w:r>
      <w:r w:rsidR="00F5600D">
        <w:rPr>
          <w:rFonts w:ascii="Arial" w:hAnsi="Arial" w:cs="Arial"/>
          <w:sz w:val="24"/>
          <w:szCs w:val="24"/>
        </w:rPr>
        <w:t>, como será demonstrado mais adiante.</w:t>
      </w:r>
    </w:p>
    <w:p w14:paraId="6ADED85B" w14:textId="0063FBC2" w:rsidR="00D028C9" w:rsidRPr="00E067E6" w:rsidRDefault="00D028C9" w:rsidP="00D028C9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046981">
        <w:rPr>
          <w:rFonts w:ascii="Arial" w:hAnsi="Arial" w:cs="Arial"/>
          <w:sz w:val="24"/>
          <w:szCs w:val="24"/>
        </w:rPr>
        <w:t>[0</w:t>
      </w:r>
      <w:r w:rsidR="00A62548">
        <w:rPr>
          <w:rFonts w:ascii="Arial" w:hAnsi="Arial" w:cs="Arial"/>
          <w:sz w:val="24"/>
          <w:szCs w:val="24"/>
        </w:rPr>
        <w:t>10</w:t>
      </w:r>
      <w:r w:rsidRPr="00046981">
        <w:rPr>
          <w:rFonts w:ascii="Arial" w:hAnsi="Arial" w:cs="Arial"/>
          <w:sz w:val="24"/>
          <w:szCs w:val="24"/>
        </w:rPr>
        <w:t>]</w:t>
      </w:r>
      <w:r w:rsidRPr="00046981">
        <w:rPr>
          <w:rFonts w:ascii="Arial" w:hAnsi="Arial" w:cs="Arial"/>
          <w:sz w:val="24"/>
          <w:szCs w:val="24"/>
        </w:rPr>
        <w:tab/>
      </w:r>
      <w:r w:rsidRPr="00E067E6">
        <w:rPr>
          <w:rFonts w:ascii="Arial" w:hAnsi="Arial" w:cs="Arial"/>
          <w:sz w:val="24"/>
          <w:szCs w:val="24"/>
        </w:rPr>
        <w:t xml:space="preserve">Diante desse cenário, a presente invenção propõe um produto e processo inovadores para o controle biológico da antracnose e </w:t>
      </w:r>
      <w:proofErr w:type="spellStart"/>
      <w:r w:rsidRPr="00E067E6">
        <w:rPr>
          <w:rFonts w:ascii="Arial" w:hAnsi="Arial" w:cs="Arial"/>
          <w:sz w:val="24"/>
          <w:szCs w:val="24"/>
        </w:rPr>
        <w:t>fusariose</w:t>
      </w:r>
      <w:proofErr w:type="spellEnd"/>
      <w:r w:rsidRPr="00E067E6">
        <w:rPr>
          <w:rFonts w:ascii="Arial" w:hAnsi="Arial" w:cs="Arial"/>
          <w:sz w:val="24"/>
          <w:szCs w:val="24"/>
        </w:rPr>
        <w:t xml:space="preserve"> na mandioca, utilizando extratos vegetais da Caatinga, em particular da planta </w:t>
      </w:r>
      <w:r w:rsidRPr="0004698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v</w:t>
      </w:r>
      <w:r w:rsidRPr="00E067E6">
        <w:rPr>
          <w:rFonts w:ascii="Arial" w:hAnsi="Arial" w:cs="Arial"/>
          <w:sz w:val="24"/>
          <w:szCs w:val="24"/>
        </w:rPr>
        <w:t>elame</w:t>
      </w:r>
      <w:r w:rsidRPr="00046981">
        <w:rPr>
          <w:rFonts w:ascii="Arial" w:hAnsi="Arial" w:cs="Arial"/>
          <w:sz w:val="24"/>
          <w:szCs w:val="24"/>
        </w:rPr>
        <w:t>”</w:t>
      </w:r>
      <w:r w:rsidRPr="00E067E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46981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Pr="0004698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46981">
        <w:rPr>
          <w:rFonts w:ascii="Arial" w:hAnsi="Arial" w:cs="Arial"/>
          <w:i/>
          <w:iCs/>
          <w:sz w:val="24"/>
          <w:szCs w:val="24"/>
        </w:rPr>
        <w:t>heliotropiifolius</w:t>
      </w:r>
      <w:proofErr w:type="spellEnd"/>
      <w:r w:rsidRPr="00046981">
        <w:rPr>
          <w:rFonts w:ascii="Arial" w:hAnsi="Arial" w:cs="Arial"/>
          <w:i/>
          <w:iCs/>
          <w:sz w:val="24"/>
          <w:szCs w:val="24"/>
        </w:rPr>
        <w:t xml:space="preserve">, C. campestres </w:t>
      </w:r>
      <w:r w:rsidRPr="00046981">
        <w:rPr>
          <w:rFonts w:ascii="Arial" w:hAnsi="Arial" w:cs="Arial"/>
          <w:sz w:val="24"/>
          <w:szCs w:val="24"/>
        </w:rPr>
        <w:t>e outras</w:t>
      </w:r>
      <w:r w:rsidRPr="00E067E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Pr="00E067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produto foi obtido </w:t>
      </w:r>
      <w:r w:rsidRPr="00E067E6">
        <w:rPr>
          <w:rFonts w:ascii="Arial" w:hAnsi="Arial" w:cs="Arial"/>
          <w:sz w:val="24"/>
          <w:szCs w:val="24"/>
        </w:rPr>
        <w:t xml:space="preserve">através de um processo otimizado de destilação por arraste a vapor, </w:t>
      </w:r>
      <w:r>
        <w:rPr>
          <w:rFonts w:ascii="Arial" w:hAnsi="Arial" w:cs="Arial"/>
          <w:sz w:val="24"/>
          <w:szCs w:val="24"/>
        </w:rPr>
        <w:t xml:space="preserve">consistindo em um formulado para </w:t>
      </w:r>
      <w:r w:rsidRPr="00E067E6">
        <w:rPr>
          <w:rFonts w:ascii="Arial" w:hAnsi="Arial" w:cs="Arial"/>
          <w:sz w:val="24"/>
          <w:szCs w:val="24"/>
        </w:rPr>
        <w:t xml:space="preserve">aplicação </w:t>
      </w:r>
      <w:r>
        <w:rPr>
          <w:rFonts w:ascii="Arial" w:hAnsi="Arial" w:cs="Arial"/>
          <w:sz w:val="24"/>
          <w:szCs w:val="24"/>
        </w:rPr>
        <w:t xml:space="preserve">por via </w:t>
      </w:r>
      <w:r w:rsidRPr="00E067E6">
        <w:rPr>
          <w:rFonts w:ascii="Arial" w:hAnsi="Arial" w:cs="Arial"/>
          <w:sz w:val="24"/>
          <w:szCs w:val="24"/>
        </w:rPr>
        <w:t>foliar</w:t>
      </w:r>
      <w:r w:rsidRPr="0004698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sendo</w:t>
      </w:r>
      <w:r w:rsidRPr="00046981">
        <w:rPr>
          <w:rFonts w:ascii="Arial" w:hAnsi="Arial" w:cs="Arial"/>
          <w:sz w:val="24"/>
          <w:szCs w:val="24"/>
        </w:rPr>
        <w:t xml:space="preserve"> livre de moléculas sintéticas de alto potencial toxico para o meio ambiente</w:t>
      </w:r>
      <w:r w:rsidRPr="00E067E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21F1485" w14:textId="102049AE" w:rsidR="00D028C9" w:rsidRPr="00DB0CDB" w:rsidRDefault="00D028C9" w:rsidP="00D028C9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046981">
        <w:rPr>
          <w:rFonts w:ascii="Arial" w:hAnsi="Arial" w:cs="Arial"/>
          <w:sz w:val="24"/>
          <w:szCs w:val="24"/>
        </w:rPr>
        <w:lastRenderedPageBreak/>
        <w:t>[0</w:t>
      </w:r>
      <w:r w:rsidR="00704BE5">
        <w:rPr>
          <w:rFonts w:ascii="Arial" w:hAnsi="Arial" w:cs="Arial"/>
          <w:sz w:val="24"/>
          <w:szCs w:val="24"/>
        </w:rPr>
        <w:t>1</w:t>
      </w:r>
      <w:r w:rsidR="00A62548">
        <w:rPr>
          <w:rFonts w:ascii="Arial" w:hAnsi="Arial" w:cs="Arial"/>
          <w:sz w:val="24"/>
          <w:szCs w:val="24"/>
        </w:rPr>
        <w:t>1</w:t>
      </w:r>
      <w:r w:rsidRPr="00046981">
        <w:rPr>
          <w:rFonts w:ascii="Arial" w:hAnsi="Arial" w:cs="Arial"/>
          <w:sz w:val="24"/>
          <w:szCs w:val="24"/>
        </w:rPr>
        <w:t>]</w:t>
      </w:r>
      <w:r w:rsidRPr="00046981">
        <w:rPr>
          <w:rFonts w:ascii="Arial" w:hAnsi="Arial" w:cs="Arial"/>
          <w:sz w:val="24"/>
          <w:szCs w:val="24"/>
        </w:rPr>
        <w:tab/>
      </w:r>
      <w:r w:rsidRPr="00E067E6">
        <w:rPr>
          <w:rFonts w:ascii="Arial" w:hAnsi="Arial" w:cs="Arial"/>
          <w:sz w:val="24"/>
          <w:szCs w:val="24"/>
        </w:rPr>
        <w:t xml:space="preserve">O problema técnico a ser resolvido é a necessidade de um método de controle de doenças da mandioca que seja eficaz, sustentável e de baixo impacto ambiental, em substituição aos produtos químicos sintéticos convencionais. A solução proposta é o desenvolvimento de um </w:t>
      </w:r>
      <w:proofErr w:type="spellStart"/>
      <w:r w:rsidRPr="00E067E6">
        <w:rPr>
          <w:rFonts w:ascii="Arial" w:hAnsi="Arial" w:cs="Arial"/>
          <w:sz w:val="24"/>
          <w:szCs w:val="24"/>
        </w:rPr>
        <w:t>biofungicida</w:t>
      </w:r>
      <w:proofErr w:type="spellEnd"/>
      <w:r w:rsidRPr="00E067E6">
        <w:rPr>
          <w:rFonts w:ascii="Arial" w:hAnsi="Arial" w:cs="Arial"/>
          <w:sz w:val="24"/>
          <w:szCs w:val="24"/>
        </w:rPr>
        <w:t xml:space="preserve"> à base de extratos </w:t>
      </w:r>
      <w:r w:rsidR="00E34CD1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E34CD1" w:rsidRPr="00E34CD1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E34CD1" w:rsidRPr="00E34CD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34CD1" w:rsidRPr="00E34CD1">
        <w:rPr>
          <w:rFonts w:ascii="Arial" w:hAnsi="Arial" w:cs="Arial"/>
          <w:i/>
          <w:iCs/>
          <w:sz w:val="24"/>
          <w:szCs w:val="24"/>
        </w:rPr>
        <w:t>heliotropiifolius</w:t>
      </w:r>
      <w:proofErr w:type="spellEnd"/>
      <w:r w:rsidR="00E34CD1" w:rsidRPr="00E34C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4CD1" w:rsidRPr="00E34CD1">
        <w:rPr>
          <w:rFonts w:ascii="Arial" w:hAnsi="Arial" w:cs="Arial"/>
          <w:sz w:val="24"/>
          <w:szCs w:val="24"/>
        </w:rPr>
        <w:t>Kunth</w:t>
      </w:r>
      <w:proofErr w:type="spellEnd"/>
      <w:r w:rsidRPr="00E067E6">
        <w:rPr>
          <w:rFonts w:ascii="Arial" w:hAnsi="Arial" w:cs="Arial"/>
          <w:sz w:val="24"/>
          <w:szCs w:val="24"/>
        </w:rPr>
        <w:t>, obtidos por um processo de extração otimizado e formulado para aplicação foliar.</w:t>
      </w:r>
      <w:r>
        <w:rPr>
          <w:rFonts w:ascii="Arial" w:hAnsi="Arial" w:cs="Arial"/>
          <w:sz w:val="24"/>
          <w:szCs w:val="24"/>
        </w:rPr>
        <w:t xml:space="preserve"> Além disso,</w:t>
      </w:r>
      <w:r w:rsidRPr="008669A8"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8669A8">
        <w:rPr>
          <w:rFonts w:ascii="Arial" w:hAnsi="Arial" w:cs="Arial"/>
          <w:sz w:val="24"/>
          <w:szCs w:val="24"/>
        </w:rPr>
        <w:t xml:space="preserve"> versatilidade do óleo essencial de </w:t>
      </w:r>
      <w:proofErr w:type="spellStart"/>
      <w:r w:rsidRPr="005E2AD2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DE7498">
        <w:rPr>
          <w:rFonts w:ascii="Arial" w:hAnsi="Arial" w:cs="Arial"/>
          <w:sz w:val="24"/>
          <w:szCs w:val="24"/>
        </w:rPr>
        <w:t xml:space="preserve">, </w:t>
      </w:r>
      <w:r w:rsidRPr="008669A8">
        <w:rPr>
          <w:rFonts w:ascii="Arial" w:hAnsi="Arial" w:cs="Arial"/>
          <w:sz w:val="24"/>
          <w:szCs w:val="24"/>
        </w:rPr>
        <w:t xml:space="preserve">obtido de espécies como </w:t>
      </w:r>
      <w:r w:rsidRPr="005E2AD2">
        <w:rPr>
          <w:rFonts w:ascii="Arial" w:hAnsi="Arial" w:cs="Arial"/>
          <w:i/>
          <w:iCs/>
          <w:sz w:val="24"/>
          <w:szCs w:val="24"/>
        </w:rPr>
        <w:t xml:space="preserve">C. </w:t>
      </w:r>
      <w:proofErr w:type="spellStart"/>
      <w:r w:rsidRPr="005E2AD2">
        <w:rPr>
          <w:rFonts w:ascii="Arial" w:hAnsi="Arial" w:cs="Arial"/>
          <w:i/>
          <w:iCs/>
          <w:sz w:val="24"/>
          <w:szCs w:val="24"/>
        </w:rPr>
        <w:t>heliotropiifolius</w:t>
      </w:r>
      <w:proofErr w:type="spellEnd"/>
      <w:r w:rsidRPr="008669A8">
        <w:rPr>
          <w:rFonts w:ascii="Arial" w:hAnsi="Arial" w:cs="Arial"/>
          <w:sz w:val="24"/>
          <w:szCs w:val="24"/>
        </w:rPr>
        <w:t xml:space="preserve">, </w:t>
      </w:r>
      <w:r w:rsidRPr="005E2AD2">
        <w:rPr>
          <w:rFonts w:ascii="Arial" w:hAnsi="Arial" w:cs="Arial"/>
          <w:i/>
          <w:iCs/>
          <w:sz w:val="24"/>
          <w:szCs w:val="24"/>
        </w:rPr>
        <w:t xml:space="preserve">C. </w:t>
      </w:r>
      <w:proofErr w:type="spellStart"/>
      <w:r w:rsidRPr="005E2AD2">
        <w:rPr>
          <w:rFonts w:ascii="Arial" w:hAnsi="Arial" w:cs="Arial"/>
          <w:i/>
          <w:iCs/>
          <w:sz w:val="24"/>
          <w:szCs w:val="24"/>
        </w:rPr>
        <w:t>sonderianus</w:t>
      </w:r>
      <w:proofErr w:type="spellEnd"/>
      <w:r w:rsidR="00281F0F">
        <w:rPr>
          <w:rFonts w:ascii="Arial" w:hAnsi="Arial" w:cs="Arial"/>
          <w:sz w:val="24"/>
          <w:szCs w:val="24"/>
        </w:rPr>
        <w:t>,</w:t>
      </w:r>
      <w:r w:rsidRPr="008669A8">
        <w:rPr>
          <w:rFonts w:ascii="Arial" w:hAnsi="Arial" w:cs="Arial"/>
          <w:sz w:val="24"/>
          <w:szCs w:val="24"/>
        </w:rPr>
        <w:t xml:space="preserve"> </w:t>
      </w:r>
      <w:r w:rsidRPr="005E2AD2">
        <w:rPr>
          <w:rFonts w:ascii="Arial" w:hAnsi="Arial" w:cs="Arial"/>
          <w:i/>
          <w:iCs/>
          <w:sz w:val="24"/>
          <w:szCs w:val="24"/>
        </w:rPr>
        <w:t xml:space="preserve">C. </w:t>
      </w:r>
      <w:proofErr w:type="spellStart"/>
      <w:r w:rsidRPr="005E2AD2">
        <w:rPr>
          <w:rFonts w:ascii="Arial" w:hAnsi="Arial" w:cs="Arial"/>
          <w:i/>
          <w:iCs/>
          <w:sz w:val="24"/>
          <w:szCs w:val="24"/>
        </w:rPr>
        <w:t>grewioides</w:t>
      </w:r>
      <w:proofErr w:type="spellEnd"/>
      <w:r w:rsidR="00281F0F">
        <w:rPr>
          <w:rFonts w:ascii="Arial" w:hAnsi="Arial" w:cs="Arial"/>
          <w:i/>
          <w:iCs/>
          <w:sz w:val="24"/>
          <w:szCs w:val="24"/>
        </w:rPr>
        <w:t xml:space="preserve"> </w:t>
      </w:r>
      <w:r w:rsidR="00281F0F" w:rsidRPr="00281F0F">
        <w:rPr>
          <w:rFonts w:ascii="Arial" w:hAnsi="Arial" w:cs="Arial"/>
          <w:sz w:val="24"/>
          <w:szCs w:val="24"/>
        </w:rPr>
        <w:t>e outras</w:t>
      </w:r>
      <w:r w:rsidRPr="008669A8">
        <w:rPr>
          <w:rFonts w:ascii="Arial" w:hAnsi="Arial" w:cs="Arial"/>
          <w:sz w:val="24"/>
          <w:szCs w:val="24"/>
        </w:rPr>
        <w:t>), é notável</w:t>
      </w:r>
      <w:r w:rsidR="00281F0F">
        <w:rPr>
          <w:rFonts w:ascii="Arial" w:hAnsi="Arial" w:cs="Arial"/>
          <w:sz w:val="24"/>
          <w:szCs w:val="24"/>
        </w:rPr>
        <w:t xml:space="preserve">, apresentando inúmeros outros </w:t>
      </w:r>
      <w:r w:rsidR="00180393">
        <w:rPr>
          <w:rFonts w:ascii="Arial" w:hAnsi="Arial" w:cs="Arial"/>
          <w:sz w:val="24"/>
          <w:szCs w:val="24"/>
        </w:rPr>
        <w:t>benefícios</w:t>
      </w:r>
      <w:r w:rsidR="00281F0F">
        <w:rPr>
          <w:rFonts w:ascii="Arial" w:hAnsi="Arial" w:cs="Arial"/>
          <w:sz w:val="24"/>
          <w:szCs w:val="24"/>
        </w:rPr>
        <w:t xml:space="preserve"> </w:t>
      </w:r>
      <w:r w:rsidR="00180393">
        <w:rPr>
          <w:rFonts w:ascii="Arial" w:hAnsi="Arial" w:cs="Arial"/>
          <w:sz w:val="24"/>
          <w:szCs w:val="24"/>
        </w:rPr>
        <w:t>biotecnológicos</w:t>
      </w:r>
      <w:r w:rsidRPr="008669A8">
        <w:rPr>
          <w:rFonts w:ascii="Arial" w:hAnsi="Arial" w:cs="Arial"/>
          <w:sz w:val="24"/>
          <w:szCs w:val="24"/>
        </w:rPr>
        <w:t xml:space="preserve">. Além das propriedades antibacterianas e antifúngicas, o óleo essencial de </w:t>
      </w:r>
      <w:proofErr w:type="spellStart"/>
      <w:r w:rsidRPr="005E2AD2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Pr="008669A8">
        <w:rPr>
          <w:rFonts w:ascii="Arial" w:hAnsi="Arial" w:cs="Arial"/>
          <w:sz w:val="24"/>
          <w:szCs w:val="24"/>
        </w:rPr>
        <w:t xml:space="preserve"> exibe uma gama diversificada de atividades biológicas, incluindo: ação antioxidante, inibição da acetilcolinesterase (</w:t>
      </w:r>
      <w:proofErr w:type="spellStart"/>
      <w:r w:rsidRPr="008669A8">
        <w:rPr>
          <w:rFonts w:ascii="Arial" w:hAnsi="Arial" w:cs="Arial"/>
          <w:sz w:val="24"/>
          <w:szCs w:val="24"/>
        </w:rPr>
        <w:t>AChE</w:t>
      </w:r>
      <w:proofErr w:type="spellEnd"/>
      <w:r w:rsidRPr="008669A8">
        <w:rPr>
          <w:rFonts w:ascii="Arial" w:hAnsi="Arial" w:cs="Arial"/>
          <w:sz w:val="24"/>
          <w:szCs w:val="24"/>
        </w:rPr>
        <w:t xml:space="preserve">), efeitos antiparasitários (em uso animal), ação carrapaticida, inseticida, </w:t>
      </w:r>
      <w:proofErr w:type="spellStart"/>
      <w:r w:rsidRPr="008669A8">
        <w:rPr>
          <w:rFonts w:ascii="Arial" w:hAnsi="Arial" w:cs="Arial"/>
          <w:sz w:val="24"/>
          <w:szCs w:val="24"/>
        </w:rPr>
        <w:t>ovicida</w:t>
      </w:r>
      <w:proofErr w:type="spellEnd"/>
      <w:r w:rsidRPr="008669A8">
        <w:rPr>
          <w:rFonts w:ascii="Arial" w:hAnsi="Arial" w:cs="Arial"/>
          <w:sz w:val="24"/>
          <w:szCs w:val="24"/>
        </w:rPr>
        <w:t xml:space="preserve">, larvicida e nematicida, e potencial </w:t>
      </w:r>
      <w:proofErr w:type="spellStart"/>
      <w:r w:rsidRPr="008669A8">
        <w:rPr>
          <w:rFonts w:ascii="Arial" w:hAnsi="Arial" w:cs="Arial"/>
          <w:sz w:val="24"/>
          <w:szCs w:val="24"/>
        </w:rPr>
        <w:t>alelopático</w:t>
      </w:r>
      <w:proofErr w:type="spellEnd"/>
      <w:r w:rsidRPr="008669A8">
        <w:rPr>
          <w:rFonts w:ascii="Arial" w:hAnsi="Arial" w:cs="Arial"/>
          <w:sz w:val="24"/>
          <w:szCs w:val="24"/>
        </w:rPr>
        <w:t xml:space="preserve">. A literatura científica também reporta atividades </w:t>
      </w:r>
      <w:proofErr w:type="spellStart"/>
      <w:r w:rsidRPr="008669A8">
        <w:rPr>
          <w:rFonts w:ascii="Arial" w:hAnsi="Arial" w:cs="Arial"/>
          <w:sz w:val="24"/>
          <w:szCs w:val="24"/>
        </w:rPr>
        <w:t>gastroprotetoras</w:t>
      </w:r>
      <w:proofErr w:type="spellEnd"/>
      <w:r w:rsidRPr="008669A8">
        <w:rPr>
          <w:rFonts w:ascii="Arial" w:hAnsi="Arial" w:cs="Arial"/>
          <w:sz w:val="24"/>
          <w:szCs w:val="24"/>
        </w:rPr>
        <w:t xml:space="preserve">, anti-inflamatórias, </w:t>
      </w:r>
      <w:proofErr w:type="spellStart"/>
      <w:r w:rsidRPr="008669A8">
        <w:rPr>
          <w:rFonts w:ascii="Arial" w:hAnsi="Arial" w:cs="Arial"/>
          <w:sz w:val="24"/>
          <w:szCs w:val="24"/>
        </w:rPr>
        <w:t>antinoceptivas</w:t>
      </w:r>
      <w:proofErr w:type="spellEnd"/>
      <w:r w:rsidRPr="008669A8">
        <w:rPr>
          <w:rFonts w:ascii="Arial" w:hAnsi="Arial" w:cs="Arial"/>
          <w:sz w:val="24"/>
          <w:szCs w:val="24"/>
        </w:rPr>
        <w:t xml:space="preserve">, antitumorais, antimicrobianas, antidiarreicas e moduladoras da resistência a antibióticos, além de efeitos tóxicos e potencial como larvicida, inseticida e </w:t>
      </w:r>
      <w:proofErr w:type="spellStart"/>
      <w:r w:rsidRPr="008669A8">
        <w:rPr>
          <w:rFonts w:ascii="Arial" w:hAnsi="Arial" w:cs="Arial"/>
          <w:sz w:val="24"/>
          <w:szCs w:val="24"/>
        </w:rPr>
        <w:t>fumigante</w:t>
      </w:r>
      <w:proofErr w:type="spellEnd"/>
      <w:r w:rsidRPr="008669A8">
        <w:rPr>
          <w:rFonts w:ascii="Arial" w:hAnsi="Arial" w:cs="Arial"/>
          <w:sz w:val="24"/>
          <w:szCs w:val="24"/>
        </w:rPr>
        <w:t xml:space="preserve"> </w:t>
      </w:r>
      <w:r w:rsidRPr="00DB0CDB">
        <w:rPr>
          <w:rFonts w:ascii="Arial" w:hAnsi="Arial" w:cs="Arial"/>
          <w:sz w:val="24"/>
          <w:szCs w:val="24"/>
        </w:rPr>
        <w:t xml:space="preserve">(CAVALCANTI et al., The </w:t>
      </w:r>
      <w:proofErr w:type="spellStart"/>
      <w:r w:rsidRPr="00DB0CDB">
        <w:rPr>
          <w:rFonts w:ascii="Arial" w:hAnsi="Arial" w:cs="Arial"/>
          <w:sz w:val="24"/>
          <w:szCs w:val="24"/>
        </w:rPr>
        <w:t>Brazilian</w:t>
      </w:r>
      <w:proofErr w:type="spellEnd"/>
      <w:r w:rsidRPr="00DB0C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CDB">
        <w:rPr>
          <w:rFonts w:ascii="Arial" w:hAnsi="Arial" w:cs="Arial"/>
          <w:sz w:val="24"/>
          <w:szCs w:val="24"/>
        </w:rPr>
        <w:t>Journal</w:t>
      </w:r>
      <w:proofErr w:type="spellEnd"/>
      <w:r w:rsidRPr="00DB0C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CDB">
        <w:rPr>
          <w:rFonts w:ascii="Arial" w:hAnsi="Arial" w:cs="Arial"/>
          <w:sz w:val="24"/>
          <w:szCs w:val="24"/>
        </w:rPr>
        <w:t>of</w:t>
      </w:r>
      <w:proofErr w:type="spellEnd"/>
      <w:r w:rsidRPr="00DB0C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0CDB">
        <w:rPr>
          <w:rFonts w:ascii="Arial" w:hAnsi="Arial" w:cs="Arial"/>
          <w:sz w:val="24"/>
          <w:szCs w:val="24"/>
        </w:rPr>
        <w:t>Development</w:t>
      </w:r>
      <w:proofErr w:type="spellEnd"/>
      <w:r w:rsidRPr="00DB0CDB">
        <w:rPr>
          <w:rFonts w:ascii="Arial" w:hAnsi="Arial" w:cs="Arial"/>
          <w:sz w:val="24"/>
          <w:szCs w:val="24"/>
        </w:rPr>
        <w:t>, v. 6, n. 7, p. 45931-45946, 2020).</w:t>
      </w:r>
    </w:p>
    <w:p w14:paraId="77895716" w14:textId="22767D29" w:rsidR="00D028C9" w:rsidRPr="00FC6CA1" w:rsidRDefault="00D028C9" w:rsidP="00046981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046981">
        <w:rPr>
          <w:rFonts w:ascii="Arial" w:hAnsi="Arial" w:cs="Arial"/>
          <w:sz w:val="24"/>
          <w:szCs w:val="24"/>
        </w:rPr>
        <w:t>[0</w:t>
      </w:r>
      <w:r w:rsidR="00704BE5">
        <w:rPr>
          <w:rFonts w:ascii="Arial" w:hAnsi="Arial" w:cs="Arial"/>
          <w:sz w:val="24"/>
          <w:szCs w:val="24"/>
        </w:rPr>
        <w:t>1</w:t>
      </w:r>
      <w:r w:rsidR="00A62548">
        <w:rPr>
          <w:rFonts w:ascii="Arial" w:hAnsi="Arial" w:cs="Arial"/>
          <w:sz w:val="24"/>
          <w:szCs w:val="24"/>
        </w:rPr>
        <w:t>2</w:t>
      </w:r>
      <w:r w:rsidRPr="00046981">
        <w:rPr>
          <w:rFonts w:ascii="Arial" w:hAnsi="Arial" w:cs="Arial"/>
          <w:sz w:val="24"/>
          <w:szCs w:val="24"/>
        </w:rPr>
        <w:t>]</w:t>
      </w:r>
      <w:r w:rsidRPr="00046981">
        <w:rPr>
          <w:rFonts w:ascii="Arial" w:hAnsi="Arial" w:cs="Arial"/>
          <w:sz w:val="24"/>
          <w:szCs w:val="24"/>
        </w:rPr>
        <w:tab/>
        <w:t xml:space="preserve">As vantagens da presente invenção em relação ao estado da técnica incluem: (1) Utilização de recursos naturais renováveis e de baixo impacto ambiental; (2) Eficácia comprovada no controle de </w:t>
      </w:r>
      <w:proofErr w:type="spellStart"/>
      <w:r w:rsidRPr="00046981">
        <w:rPr>
          <w:rFonts w:ascii="Arial" w:hAnsi="Arial" w:cs="Arial"/>
          <w:i/>
          <w:iCs/>
          <w:sz w:val="24"/>
          <w:szCs w:val="24"/>
        </w:rPr>
        <w:t>Colletotrichum</w:t>
      </w:r>
      <w:proofErr w:type="spellEnd"/>
      <w:r w:rsidRPr="00046981">
        <w:rPr>
          <w:rFonts w:ascii="Arial" w:hAnsi="Arial" w:cs="Arial"/>
          <w:sz w:val="24"/>
          <w:szCs w:val="24"/>
        </w:rPr>
        <w:t xml:space="preserve"> spp. e </w:t>
      </w:r>
      <w:proofErr w:type="spellStart"/>
      <w:r w:rsidRPr="00046981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Pr="00046981">
        <w:rPr>
          <w:rFonts w:ascii="Arial" w:hAnsi="Arial" w:cs="Arial"/>
          <w:sz w:val="24"/>
          <w:szCs w:val="24"/>
        </w:rPr>
        <w:t xml:space="preserve"> spp.</w:t>
      </w:r>
      <w:r w:rsidR="00180393">
        <w:rPr>
          <w:rFonts w:ascii="Arial" w:hAnsi="Arial" w:cs="Arial"/>
          <w:sz w:val="24"/>
          <w:szCs w:val="24"/>
        </w:rPr>
        <w:t xml:space="preserve"> isolados de plantas de mandioca (</w:t>
      </w:r>
      <w:proofErr w:type="spellStart"/>
      <w:r w:rsidR="00180393" w:rsidRPr="00E067E6">
        <w:rPr>
          <w:rFonts w:ascii="Arial" w:hAnsi="Arial" w:cs="Arial"/>
          <w:i/>
          <w:iCs/>
          <w:sz w:val="24"/>
          <w:szCs w:val="24"/>
        </w:rPr>
        <w:t>Manihot</w:t>
      </w:r>
      <w:proofErr w:type="spellEnd"/>
      <w:r w:rsidR="00180393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80393" w:rsidRPr="00E067E6">
        <w:rPr>
          <w:rFonts w:ascii="Arial" w:hAnsi="Arial" w:cs="Arial"/>
          <w:i/>
          <w:iCs/>
          <w:sz w:val="24"/>
          <w:szCs w:val="24"/>
        </w:rPr>
        <w:t>esculenta</w:t>
      </w:r>
      <w:proofErr w:type="spellEnd"/>
      <w:r w:rsidR="00180393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80393" w:rsidRPr="00E067E6">
        <w:rPr>
          <w:rFonts w:ascii="Arial" w:hAnsi="Arial" w:cs="Arial"/>
          <w:sz w:val="24"/>
          <w:szCs w:val="24"/>
        </w:rPr>
        <w:t>Crantz</w:t>
      </w:r>
      <w:proofErr w:type="spellEnd"/>
      <w:r w:rsidR="00180393">
        <w:rPr>
          <w:rFonts w:ascii="Arial" w:hAnsi="Arial" w:cs="Arial"/>
          <w:sz w:val="24"/>
          <w:szCs w:val="24"/>
        </w:rPr>
        <w:t>) infectadas</w:t>
      </w:r>
      <w:r w:rsidRPr="00046981">
        <w:rPr>
          <w:rFonts w:ascii="Arial" w:hAnsi="Arial" w:cs="Arial"/>
          <w:sz w:val="24"/>
          <w:szCs w:val="24"/>
        </w:rPr>
        <w:t>; (3) Processo de extração otimizado, que reduz o tempo de produção e aumenta o rendimento; (4) Produto de aplicação foliar, de fácil utilização e com boa adesão às folhas da planta; (5) Potencial para reduzir a dependência de produtos químicos sintéticos na agricultura.</w:t>
      </w:r>
    </w:p>
    <w:p w14:paraId="77319E20" w14:textId="77777777" w:rsidR="00E067E6" w:rsidRPr="00E067E6" w:rsidRDefault="00E067E6" w:rsidP="00046981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067E6">
        <w:rPr>
          <w:rFonts w:ascii="Arial" w:hAnsi="Arial" w:cs="Arial"/>
          <w:b/>
          <w:bCs/>
          <w:sz w:val="24"/>
          <w:szCs w:val="24"/>
        </w:rPr>
        <w:t>Breve descrição dos desenhos</w:t>
      </w:r>
    </w:p>
    <w:p w14:paraId="28302379" w14:textId="5AF9EA2D" w:rsidR="006710C0" w:rsidRDefault="006710C0" w:rsidP="006710C0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[01</w:t>
      </w:r>
      <w:r w:rsidR="00A6254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 xml:space="preserve">A seguir serão listadas as figuras </w:t>
      </w:r>
      <w:r w:rsidR="00060BB8">
        <w:rPr>
          <w:rFonts w:ascii="Arial" w:hAnsi="Arial" w:cs="Arial"/>
          <w:sz w:val="24"/>
          <w:szCs w:val="24"/>
        </w:rPr>
        <w:t xml:space="preserve">que acompanham esse relatório de patente. </w:t>
      </w:r>
    </w:p>
    <w:p w14:paraId="63D30D00" w14:textId="204F2D0C" w:rsidR="00A523DB" w:rsidRDefault="00A523DB" w:rsidP="00A523DB">
      <w:pPr>
        <w:numPr>
          <w:ilvl w:val="0"/>
          <w:numId w:val="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067E6">
        <w:rPr>
          <w:rFonts w:ascii="Arial" w:hAnsi="Arial" w:cs="Arial"/>
          <w:sz w:val="24"/>
          <w:szCs w:val="24"/>
        </w:rPr>
        <w:t xml:space="preserve">A Figura 1 apresenta </w:t>
      </w:r>
      <w:r w:rsidR="0021676C">
        <w:rPr>
          <w:rFonts w:ascii="Arial" w:hAnsi="Arial" w:cs="Arial"/>
          <w:sz w:val="24"/>
          <w:szCs w:val="24"/>
        </w:rPr>
        <w:t>uma visão geral d</w:t>
      </w:r>
      <w:r w:rsidR="00DB2A55">
        <w:rPr>
          <w:rFonts w:ascii="Arial" w:hAnsi="Arial" w:cs="Arial"/>
          <w:sz w:val="24"/>
          <w:szCs w:val="24"/>
        </w:rPr>
        <w:t>a parte principal do</w:t>
      </w:r>
      <w:r w:rsidR="0021676C">
        <w:rPr>
          <w:rFonts w:ascii="Arial" w:hAnsi="Arial" w:cs="Arial"/>
          <w:sz w:val="24"/>
          <w:szCs w:val="24"/>
        </w:rPr>
        <w:t xml:space="preserve"> </w:t>
      </w:r>
      <w:r w:rsidR="00DB2A55">
        <w:rPr>
          <w:rFonts w:ascii="Arial" w:hAnsi="Arial" w:cs="Arial"/>
          <w:sz w:val="24"/>
          <w:szCs w:val="24"/>
        </w:rPr>
        <w:t xml:space="preserve">sistema de destilação de </w:t>
      </w:r>
      <w:proofErr w:type="spellStart"/>
      <w:r w:rsidR="00DB2A55">
        <w:rPr>
          <w:rFonts w:ascii="Arial" w:hAnsi="Arial" w:cs="Arial"/>
          <w:sz w:val="24"/>
          <w:szCs w:val="24"/>
        </w:rPr>
        <w:t>hidrolato</w:t>
      </w:r>
      <w:proofErr w:type="spellEnd"/>
      <w:r w:rsidR="00DB2A55">
        <w:rPr>
          <w:rFonts w:ascii="Arial" w:hAnsi="Arial" w:cs="Arial"/>
          <w:sz w:val="24"/>
          <w:szCs w:val="24"/>
        </w:rPr>
        <w:t xml:space="preserve"> e</w:t>
      </w:r>
      <w:r w:rsidR="00CB0CE5">
        <w:rPr>
          <w:rFonts w:ascii="Arial" w:hAnsi="Arial" w:cs="Arial"/>
          <w:sz w:val="24"/>
          <w:szCs w:val="24"/>
        </w:rPr>
        <w:t xml:space="preserve"> óleo </w:t>
      </w:r>
      <w:r w:rsidR="000D3D71">
        <w:rPr>
          <w:rFonts w:ascii="Arial" w:hAnsi="Arial" w:cs="Arial"/>
          <w:sz w:val="24"/>
          <w:szCs w:val="24"/>
        </w:rPr>
        <w:t>essencial</w:t>
      </w:r>
      <w:r w:rsidR="00C34A8A">
        <w:rPr>
          <w:rFonts w:ascii="Arial" w:hAnsi="Arial" w:cs="Arial"/>
          <w:sz w:val="24"/>
          <w:szCs w:val="24"/>
        </w:rPr>
        <w:t xml:space="preserve"> (INSYGRO VIPER-I)</w:t>
      </w:r>
      <w:r w:rsidR="00CB0CE5">
        <w:rPr>
          <w:rFonts w:ascii="Arial" w:hAnsi="Arial" w:cs="Arial"/>
          <w:sz w:val="24"/>
          <w:szCs w:val="24"/>
        </w:rPr>
        <w:t xml:space="preserve">, formado por caldeira, dorna de destilação e </w:t>
      </w:r>
      <w:r w:rsidR="003209E3">
        <w:rPr>
          <w:rFonts w:ascii="Arial" w:hAnsi="Arial" w:cs="Arial"/>
          <w:sz w:val="24"/>
          <w:szCs w:val="24"/>
        </w:rPr>
        <w:t>coluna de condensação</w:t>
      </w:r>
      <w:r w:rsidR="00CB0CE5">
        <w:rPr>
          <w:rFonts w:ascii="Arial" w:hAnsi="Arial" w:cs="Arial"/>
          <w:sz w:val="24"/>
          <w:szCs w:val="24"/>
        </w:rPr>
        <w:t>.</w:t>
      </w:r>
    </w:p>
    <w:p w14:paraId="13B6A036" w14:textId="0BAA2D5B" w:rsidR="00235491" w:rsidRPr="00E067E6" w:rsidRDefault="00235491" w:rsidP="00A523DB">
      <w:pPr>
        <w:numPr>
          <w:ilvl w:val="0"/>
          <w:numId w:val="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2 apresenta </w:t>
      </w:r>
      <w:r w:rsidR="008857BC">
        <w:rPr>
          <w:rFonts w:ascii="Arial" w:hAnsi="Arial" w:cs="Arial"/>
          <w:sz w:val="24"/>
          <w:szCs w:val="24"/>
        </w:rPr>
        <w:t>o s</w:t>
      </w:r>
      <w:r w:rsidR="008857BC" w:rsidRPr="008857BC">
        <w:rPr>
          <w:rFonts w:ascii="Arial" w:hAnsi="Arial" w:cs="Arial"/>
          <w:sz w:val="24"/>
          <w:szCs w:val="24"/>
        </w:rPr>
        <w:t>istema de trocação de calor para resfriamento da coluna de condensação</w:t>
      </w:r>
      <w:r w:rsidRPr="00235491">
        <w:rPr>
          <w:rFonts w:ascii="Arial" w:hAnsi="Arial" w:cs="Arial"/>
          <w:sz w:val="24"/>
          <w:szCs w:val="24"/>
        </w:rPr>
        <w:t>.</w:t>
      </w:r>
    </w:p>
    <w:p w14:paraId="2970EB5E" w14:textId="77777777" w:rsidR="000D3D71" w:rsidRPr="00E067E6" w:rsidRDefault="000D3D71" w:rsidP="000D3D71">
      <w:pPr>
        <w:numPr>
          <w:ilvl w:val="0"/>
          <w:numId w:val="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067E6">
        <w:rPr>
          <w:rFonts w:ascii="Arial" w:hAnsi="Arial" w:cs="Arial"/>
          <w:sz w:val="24"/>
          <w:szCs w:val="24"/>
        </w:rPr>
        <w:lastRenderedPageBreak/>
        <w:t xml:space="preserve">A Figura 3 </w:t>
      </w:r>
      <w:r>
        <w:rPr>
          <w:rFonts w:ascii="Arial" w:hAnsi="Arial" w:cs="Arial"/>
          <w:sz w:val="24"/>
          <w:szCs w:val="24"/>
        </w:rPr>
        <w:t>apresenta a parte superior da d</w:t>
      </w:r>
      <w:r w:rsidRPr="0009242E">
        <w:rPr>
          <w:rFonts w:ascii="Arial" w:hAnsi="Arial" w:cs="Arial"/>
          <w:sz w:val="24"/>
          <w:szCs w:val="24"/>
        </w:rPr>
        <w:t xml:space="preserve">orna de destilação </w:t>
      </w:r>
      <w:r>
        <w:rPr>
          <w:rFonts w:ascii="Arial" w:hAnsi="Arial" w:cs="Arial"/>
          <w:sz w:val="24"/>
          <w:szCs w:val="24"/>
        </w:rPr>
        <w:t xml:space="preserve">(300 L) </w:t>
      </w:r>
      <w:r w:rsidRPr="0009242E">
        <w:rPr>
          <w:rFonts w:ascii="Arial" w:hAnsi="Arial" w:cs="Arial"/>
          <w:sz w:val="24"/>
          <w:szCs w:val="24"/>
        </w:rPr>
        <w:t xml:space="preserve">preenchida com folhas desidratadas de </w:t>
      </w:r>
      <w:proofErr w:type="spellStart"/>
      <w:r w:rsidRPr="000D3D71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Pr="000D3D7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D3D71">
        <w:rPr>
          <w:rFonts w:ascii="Arial" w:hAnsi="Arial" w:cs="Arial"/>
          <w:i/>
          <w:iCs/>
          <w:sz w:val="24"/>
          <w:szCs w:val="24"/>
        </w:rPr>
        <w:t>heliotropiifolius</w:t>
      </w:r>
      <w:proofErr w:type="spellEnd"/>
      <w:r w:rsidRPr="00E067E6">
        <w:rPr>
          <w:rFonts w:ascii="Arial" w:hAnsi="Arial" w:cs="Arial"/>
          <w:sz w:val="24"/>
          <w:szCs w:val="24"/>
        </w:rPr>
        <w:t>.</w:t>
      </w:r>
    </w:p>
    <w:p w14:paraId="7FB10E1E" w14:textId="3C429AA8" w:rsidR="00A523DB" w:rsidRDefault="001F63FB" w:rsidP="002F4AB6">
      <w:pPr>
        <w:numPr>
          <w:ilvl w:val="0"/>
          <w:numId w:val="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4 apresenta um f</w:t>
      </w:r>
      <w:r w:rsidRPr="001F63FB">
        <w:rPr>
          <w:rFonts w:ascii="Arial" w:hAnsi="Arial" w:cs="Arial"/>
          <w:sz w:val="24"/>
          <w:szCs w:val="24"/>
        </w:rPr>
        <w:t xml:space="preserve">unil de separação demonstrando a separação entre óleo essencial de </w:t>
      </w:r>
      <w:r w:rsidRPr="001F63FB">
        <w:rPr>
          <w:rFonts w:ascii="Arial" w:hAnsi="Arial" w:cs="Arial"/>
          <w:i/>
          <w:iCs/>
          <w:sz w:val="24"/>
          <w:szCs w:val="24"/>
        </w:rPr>
        <w:t xml:space="preserve">C. </w:t>
      </w:r>
      <w:proofErr w:type="spellStart"/>
      <w:r w:rsidRPr="001F63FB">
        <w:rPr>
          <w:rFonts w:ascii="Arial" w:hAnsi="Arial" w:cs="Arial"/>
          <w:i/>
          <w:iCs/>
          <w:sz w:val="24"/>
          <w:szCs w:val="24"/>
        </w:rPr>
        <w:t>heliotropiifolius</w:t>
      </w:r>
      <w:proofErr w:type="spellEnd"/>
      <w:r w:rsidRPr="001F63FB">
        <w:rPr>
          <w:rFonts w:ascii="Arial" w:hAnsi="Arial" w:cs="Arial"/>
          <w:sz w:val="24"/>
          <w:szCs w:val="24"/>
        </w:rPr>
        <w:t xml:space="preserve"> (fase superior) e </w:t>
      </w:r>
      <w:proofErr w:type="spellStart"/>
      <w:r w:rsidRPr="001F63FB">
        <w:rPr>
          <w:rFonts w:ascii="Arial" w:hAnsi="Arial" w:cs="Arial"/>
          <w:sz w:val="24"/>
          <w:szCs w:val="24"/>
        </w:rPr>
        <w:t>hidrolato</w:t>
      </w:r>
      <w:proofErr w:type="spellEnd"/>
      <w:r w:rsidRPr="001F63FB">
        <w:rPr>
          <w:rFonts w:ascii="Arial" w:hAnsi="Arial" w:cs="Arial"/>
          <w:sz w:val="24"/>
          <w:szCs w:val="24"/>
        </w:rPr>
        <w:t xml:space="preserve"> (fase inferior).</w:t>
      </w:r>
    </w:p>
    <w:p w14:paraId="009E1506" w14:textId="64FA730B" w:rsidR="00573B70" w:rsidRDefault="00573B70" w:rsidP="002F4AB6">
      <w:pPr>
        <w:numPr>
          <w:ilvl w:val="0"/>
          <w:numId w:val="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5 apresenta </w:t>
      </w:r>
      <w:r w:rsidR="00F12430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F12430">
        <w:rPr>
          <w:rFonts w:ascii="Arial" w:hAnsi="Arial" w:cs="Arial"/>
          <w:sz w:val="24"/>
          <w:szCs w:val="24"/>
        </w:rPr>
        <w:t>m</w:t>
      </w:r>
      <w:r w:rsidR="00F12430" w:rsidRPr="00F12430">
        <w:rPr>
          <w:rFonts w:ascii="Arial" w:hAnsi="Arial" w:cs="Arial"/>
          <w:sz w:val="24"/>
          <w:szCs w:val="24"/>
        </w:rPr>
        <w:t>icrotubo</w:t>
      </w:r>
      <w:proofErr w:type="spellEnd"/>
      <w:r w:rsidR="00F12430" w:rsidRPr="00F12430">
        <w:rPr>
          <w:rFonts w:ascii="Arial" w:hAnsi="Arial" w:cs="Arial"/>
          <w:sz w:val="24"/>
          <w:szCs w:val="24"/>
        </w:rPr>
        <w:t xml:space="preserve"> de plástico (20 </w:t>
      </w:r>
      <w:proofErr w:type="spellStart"/>
      <w:r w:rsidR="00F12430" w:rsidRPr="00F12430">
        <w:rPr>
          <w:rFonts w:ascii="Arial" w:hAnsi="Arial" w:cs="Arial"/>
          <w:sz w:val="24"/>
          <w:szCs w:val="24"/>
        </w:rPr>
        <w:t>mL</w:t>
      </w:r>
      <w:proofErr w:type="spellEnd"/>
      <w:r w:rsidR="00F12430" w:rsidRPr="00F12430">
        <w:rPr>
          <w:rFonts w:ascii="Arial" w:hAnsi="Arial" w:cs="Arial"/>
          <w:sz w:val="24"/>
          <w:szCs w:val="24"/>
        </w:rPr>
        <w:t>) com amostra do produto na formulação definitiva</w:t>
      </w:r>
      <w:r w:rsidR="00F12430">
        <w:rPr>
          <w:rFonts w:ascii="Arial" w:hAnsi="Arial" w:cs="Arial"/>
          <w:sz w:val="24"/>
          <w:szCs w:val="24"/>
        </w:rPr>
        <w:t>.</w:t>
      </w:r>
    </w:p>
    <w:p w14:paraId="16DE42FD" w14:textId="0DDF1B79" w:rsidR="00F12430" w:rsidRDefault="00F12430" w:rsidP="002F4AB6">
      <w:pPr>
        <w:numPr>
          <w:ilvl w:val="0"/>
          <w:numId w:val="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</w:t>
      </w:r>
      <w:r w:rsidR="006E393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apresenta </w:t>
      </w:r>
      <w:r w:rsidR="006E393F">
        <w:rPr>
          <w:rFonts w:ascii="Arial" w:hAnsi="Arial" w:cs="Arial"/>
          <w:sz w:val="24"/>
          <w:szCs w:val="24"/>
        </w:rPr>
        <w:t xml:space="preserve">uma fotografia de </w:t>
      </w:r>
      <w:r>
        <w:rPr>
          <w:rFonts w:ascii="Arial" w:hAnsi="Arial" w:cs="Arial"/>
          <w:sz w:val="24"/>
          <w:szCs w:val="24"/>
        </w:rPr>
        <w:t xml:space="preserve">folhas de mandioca </w:t>
      </w:r>
      <w:r w:rsidR="001D7E4A">
        <w:rPr>
          <w:rFonts w:ascii="Arial" w:hAnsi="Arial" w:cs="Arial"/>
          <w:sz w:val="24"/>
          <w:szCs w:val="24"/>
        </w:rPr>
        <w:t>cultivada em campo e pulverizadas</w:t>
      </w:r>
      <w:r>
        <w:rPr>
          <w:rFonts w:ascii="Arial" w:hAnsi="Arial" w:cs="Arial"/>
          <w:sz w:val="24"/>
          <w:szCs w:val="24"/>
        </w:rPr>
        <w:t xml:space="preserve"> com o produto, demonstrando </w:t>
      </w:r>
      <w:r w:rsidR="001D7E4A">
        <w:rPr>
          <w:rFonts w:ascii="Arial" w:hAnsi="Arial" w:cs="Arial"/>
          <w:sz w:val="24"/>
          <w:szCs w:val="24"/>
        </w:rPr>
        <w:t xml:space="preserve">adesão e espalhamento desejáveis. </w:t>
      </w:r>
    </w:p>
    <w:p w14:paraId="4D5A3904" w14:textId="3A2776BA" w:rsidR="00F024F1" w:rsidRDefault="00F024F1" w:rsidP="002F4AB6">
      <w:pPr>
        <w:numPr>
          <w:ilvl w:val="0"/>
          <w:numId w:val="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</w:t>
      </w:r>
      <w:r w:rsidR="00520E3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apresenta </w:t>
      </w:r>
      <w:r w:rsidR="00191EC3">
        <w:rPr>
          <w:rFonts w:ascii="Arial" w:hAnsi="Arial" w:cs="Arial"/>
          <w:sz w:val="24"/>
          <w:szCs w:val="24"/>
        </w:rPr>
        <w:t>a á</w:t>
      </w:r>
      <w:r w:rsidR="00191EC3" w:rsidRPr="00191EC3">
        <w:rPr>
          <w:rFonts w:ascii="Arial" w:hAnsi="Arial" w:cs="Arial"/>
          <w:sz w:val="24"/>
          <w:szCs w:val="24"/>
        </w:rPr>
        <w:t>rvore de classificação taxonômica apresentando a associação dos isolados patogênicos de plantas de mandioca com espécies fúngicas anotadas no banco de dados NCBI, de acordo com as regiões gênicas ITS1 e RPB2.</w:t>
      </w:r>
    </w:p>
    <w:p w14:paraId="459D66B6" w14:textId="59520A7F" w:rsidR="00C8427F" w:rsidRDefault="004074E3" w:rsidP="002F4AB6">
      <w:pPr>
        <w:numPr>
          <w:ilvl w:val="0"/>
          <w:numId w:val="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</w:t>
      </w:r>
      <w:r w:rsidR="00520E31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apresenta a c</w:t>
      </w:r>
      <w:r w:rsidRPr="004074E3">
        <w:rPr>
          <w:rFonts w:ascii="Arial" w:hAnsi="Arial" w:cs="Arial"/>
          <w:sz w:val="24"/>
          <w:szCs w:val="24"/>
        </w:rPr>
        <w:t xml:space="preserve">omposição de figuras demonstrado o potencial de controle do produto contra </w:t>
      </w:r>
      <w:r w:rsidRPr="004074E3">
        <w:rPr>
          <w:rFonts w:ascii="Arial" w:hAnsi="Arial" w:cs="Arial"/>
          <w:i/>
          <w:iCs/>
          <w:sz w:val="24"/>
          <w:szCs w:val="24"/>
        </w:rPr>
        <w:t xml:space="preserve">C. </w:t>
      </w:r>
      <w:proofErr w:type="spellStart"/>
      <w:r w:rsidRPr="004074E3">
        <w:rPr>
          <w:rFonts w:ascii="Arial" w:hAnsi="Arial" w:cs="Arial"/>
          <w:i/>
          <w:iCs/>
          <w:sz w:val="24"/>
          <w:szCs w:val="24"/>
        </w:rPr>
        <w:t>gloesporioides</w:t>
      </w:r>
      <w:proofErr w:type="spellEnd"/>
      <w:r w:rsidRPr="004074E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074E3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Pr="004074E3">
        <w:rPr>
          <w:rFonts w:ascii="Arial" w:hAnsi="Arial" w:cs="Arial"/>
          <w:sz w:val="24"/>
          <w:szCs w:val="24"/>
        </w:rPr>
        <w:t xml:space="preserve"> sp. (in vitro). (a) Curvas de crescimento dos patógenos na ausência do produto; (b) Parâmetros da curva de regressão de </w:t>
      </w:r>
      <w:proofErr w:type="spellStart"/>
      <w:r w:rsidRPr="004074E3">
        <w:rPr>
          <w:rFonts w:ascii="Arial" w:hAnsi="Arial" w:cs="Arial"/>
          <w:sz w:val="24"/>
          <w:szCs w:val="24"/>
        </w:rPr>
        <w:t>Gompertz</w:t>
      </w:r>
      <w:proofErr w:type="spellEnd"/>
      <w:r w:rsidRPr="004074E3">
        <w:rPr>
          <w:rFonts w:ascii="Arial" w:hAnsi="Arial" w:cs="Arial"/>
          <w:sz w:val="24"/>
          <w:szCs w:val="24"/>
        </w:rPr>
        <w:t xml:space="preserve">, demonstrando semelhança no crescimento dos patógenos; (c) Controle total de </w:t>
      </w:r>
      <w:r w:rsidRPr="004074E3">
        <w:rPr>
          <w:rFonts w:ascii="Arial" w:hAnsi="Arial" w:cs="Arial"/>
          <w:i/>
          <w:iCs/>
          <w:sz w:val="24"/>
          <w:szCs w:val="24"/>
        </w:rPr>
        <w:t xml:space="preserve">C. </w:t>
      </w:r>
      <w:proofErr w:type="spellStart"/>
      <w:r w:rsidRPr="004074E3">
        <w:rPr>
          <w:rFonts w:ascii="Arial" w:hAnsi="Arial" w:cs="Arial"/>
          <w:i/>
          <w:iCs/>
          <w:sz w:val="24"/>
          <w:szCs w:val="24"/>
        </w:rPr>
        <w:t>gloesporioides</w:t>
      </w:r>
      <w:proofErr w:type="spellEnd"/>
      <w:r w:rsidRPr="004074E3">
        <w:rPr>
          <w:rFonts w:ascii="Arial" w:hAnsi="Arial" w:cs="Arial"/>
          <w:sz w:val="24"/>
          <w:szCs w:val="24"/>
        </w:rPr>
        <w:t xml:space="preserve"> com o produto na concentração de 2%; (d) Controle de </w:t>
      </w:r>
      <w:proofErr w:type="spellStart"/>
      <w:r w:rsidRPr="004074E3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Pr="004074E3">
        <w:rPr>
          <w:rFonts w:ascii="Arial" w:hAnsi="Arial" w:cs="Arial"/>
          <w:sz w:val="24"/>
          <w:szCs w:val="24"/>
        </w:rPr>
        <w:t xml:space="preserve"> sp. nas mesmas condições.</w:t>
      </w:r>
    </w:p>
    <w:p w14:paraId="4C4C7EC8" w14:textId="5C2F2603" w:rsidR="00C8427F" w:rsidRDefault="004074E3" w:rsidP="002F4AB6">
      <w:pPr>
        <w:numPr>
          <w:ilvl w:val="0"/>
          <w:numId w:val="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</w:t>
      </w:r>
      <w:r w:rsidR="00520E31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apresenta </w:t>
      </w:r>
      <w:r w:rsidR="007101EF">
        <w:rPr>
          <w:rFonts w:ascii="Arial" w:hAnsi="Arial" w:cs="Arial"/>
          <w:sz w:val="24"/>
          <w:szCs w:val="24"/>
        </w:rPr>
        <w:t>uma fotografia</w:t>
      </w:r>
      <w:r>
        <w:rPr>
          <w:rFonts w:ascii="Arial" w:hAnsi="Arial" w:cs="Arial"/>
          <w:sz w:val="24"/>
          <w:szCs w:val="24"/>
        </w:rPr>
        <w:t xml:space="preserve"> </w:t>
      </w:r>
      <w:r w:rsidR="00C8427F" w:rsidRPr="00C8427F">
        <w:rPr>
          <w:rFonts w:ascii="Arial" w:hAnsi="Arial" w:cs="Arial"/>
          <w:sz w:val="24"/>
          <w:szCs w:val="24"/>
        </w:rPr>
        <w:t xml:space="preserve">demonstrando o crescimento das hifas de </w:t>
      </w:r>
      <w:proofErr w:type="spellStart"/>
      <w:r w:rsidR="00C8427F" w:rsidRPr="007101EF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C8427F" w:rsidRPr="00C8427F">
        <w:rPr>
          <w:rFonts w:ascii="Arial" w:hAnsi="Arial" w:cs="Arial"/>
          <w:sz w:val="24"/>
          <w:szCs w:val="24"/>
        </w:rPr>
        <w:t xml:space="preserve"> sp. (a) e </w:t>
      </w:r>
      <w:r w:rsidR="00C8427F" w:rsidRPr="007101EF">
        <w:rPr>
          <w:rFonts w:ascii="Arial" w:hAnsi="Arial" w:cs="Arial"/>
          <w:i/>
          <w:iCs/>
          <w:sz w:val="24"/>
          <w:szCs w:val="24"/>
        </w:rPr>
        <w:t xml:space="preserve">C. </w:t>
      </w:r>
      <w:proofErr w:type="spellStart"/>
      <w:r w:rsidR="00C8427F" w:rsidRPr="007101EF">
        <w:rPr>
          <w:rFonts w:ascii="Arial" w:hAnsi="Arial" w:cs="Arial"/>
          <w:i/>
          <w:iCs/>
          <w:sz w:val="24"/>
          <w:szCs w:val="24"/>
        </w:rPr>
        <w:t>gloeosporioides</w:t>
      </w:r>
      <w:proofErr w:type="spellEnd"/>
      <w:r w:rsidR="00C8427F" w:rsidRPr="00C8427F">
        <w:rPr>
          <w:rFonts w:ascii="Arial" w:hAnsi="Arial" w:cs="Arial"/>
          <w:sz w:val="24"/>
          <w:szCs w:val="24"/>
        </w:rPr>
        <w:t xml:space="preserve"> (b) em placas não tratadas e os respectivos controles (</w:t>
      </w:r>
      <w:proofErr w:type="spellStart"/>
      <w:r w:rsidR="00C8427F" w:rsidRPr="00C8427F">
        <w:rPr>
          <w:rFonts w:ascii="Arial" w:hAnsi="Arial" w:cs="Arial"/>
          <w:sz w:val="24"/>
          <w:szCs w:val="24"/>
        </w:rPr>
        <w:t>c-d</w:t>
      </w:r>
      <w:proofErr w:type="spellEnd"/>
      <w:r w:rsidR="00C8427F" w:rsidRPr="00C8427F">
        <w:rPr>
          <w:rFonts w:ascii="Arial" w:hAnsi="Arial" w:cs="Arial"/>
          <w:sz w:val="24"/>
          <w:szCs w:val="24"/>
        </w:rPr>
        <w:t>) em placas de Petri com meio BDA contendo 2% do produto aos 15 dias após inoculação.</w:t>
      </w:r>
    </w:p>
    <w:p w14:paraId="5A2DA414" w14:textId="771FD76D" w:rsidR="00DD0540" w:rsidRDefault="00DD0540" w:rsidP="002F4AB6">
      <w:pPr>
        <w:numPr>
          <w:ilvl w:val="0"/>
          <w:numId w:val="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1</w:t>
      </w:r>
      <w:r w:rsidR="00520E3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apresenta uma c</w:t>
      </w:r>
      <w:r w:rsidRPr="00DD0540">
        <w:rPr>
          <w:rFonts w:ascii="Arial" w:hAnsi="Arial" w:cs="Arial"/>
          <w:sz w:val="24"/>
          <w:szCs w:val="24"/>
        </w:rPr>
        <w:t xml:space="preserve">omposição de gráficos demonstrado o desenvolvimento médio geral de diversos patógenos analisados nesta pesquisa: (a) Regressão de curvas de crescimento de </w:t>
      </w:r>
      <w:proofErr w:type="spellStart"/>
      <w:r w:rsidRPr="00DD0540">
        <w:rPr>
          <w:rFonts w:ascii="Arial" w:hAnsi="Arial" w:cs="Arial"/>
          <w:sz w:val="24"/>
          <w:szCs w:val="24"/>
        </w:rPr>
        <w:t>Gompertz</w:t>
      </w:r>
      <w:proofErr w:type="spellEnd"/>
      <w:r w:rsidRPr="00DD0540">
        <w:rPr>
          <w:rFonts w:ascii="Arial" w:hAnsi="Arial" w:cs="Arial"/>
          <w:sz w:val="24"/>
          <w:szCs w:val="24"/>
        </w:rPr>
        <w:t xml:space="preserve"> para patógenos e meio de cultura BDA com </w:t>
      </w:r>
      <w:r w:rsidR="00445785">
        <w:rPr>
          <w:rFonts w:ascii="Arial" w:hAnsi="Arial" w:cs="Arial"/>
          <w:sz w:val="24"/>
          <w:szCs w:val="24"/>
        </w:rPr>
        <w:t xml:space="preserve">0% (Ctrl-) e </w:t>
      </w:r>
      <w:r w:rsidRPr="00DD0540">
        <w:rPr>
          <w:rFonts w:ascii="Arial" w:hAnsi="Arial" w:cs="Arial"/>
          <w:sz w:val="24"/>
          <w:szCs w:val="24"/>
        </w:rPr>
        <w:t>apenas 0,1% do produto (</w:t>
      </w:r>
      <w:r w:rsidRPr="002D0529">
        <w:rPr>
          <w:rFonts w:ascii="Arial" w:hAnsi="Arial" w:cs="Arial"/>
          <w:i/>
          <w:iCs/>
          <w:sz w:val="24"/>
          <w:szCs w:val="24"/>
        </w:rPr>
        <w:t>in vitro</w:t>
      </w:r>
      <w:r w:rsidRPr="00DD0540">
        <w:rPr>
          <w:rFonts w:ascii="Arial" w:hAnsi="Arial" w:cs="Arial"/>
          <w:sz w:val="24"/>
          <w:szCs w:val="24"/>
        </w:rPr>
        <w:t xml:space="preserve">). (b) Parâmetro estatísticos comprando os coeficientes da regressão do controle negativo com os do tratamento a 0,1% (quanto menor os valores dos parâmetros, melhor foi o </w:t>
      </w:r>
      <w:r w:rsidRPr="00DD0540">
        <w:rPr>
          <w:rFonts w:ascii="Arial" w:hAnsi="Arial" w:cs="Arial"/>
          <w:sz w:val="24"/>
          <w:szCs w:val="24"/>
        </w:rPr>
        <w:lastRenderedPageBreak/>
        <w:t>controle contra os patógenos em geral. Tratamentos que não compartilham as mesmas letras minúsculas diferiram significativamente (p &lt; 0,05).</w:t>
      </w:r>
    </w:p>
    <w:p w14:paraId="2ADF7165" w14:textId="3F943805" w:rsidR="00DD0540" w:rsidRDefault="00DD0540" w:rsidP="002F4AB6">
      <w:pPr>
        <w:numPr>
          <w:ilvl w:val="0"/>
          <w:numId w:val="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1</w:t>
      </w:r>
      <w:r w:rsidR="00520E3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apresenta uma c</w:t>
      </w:r>
      <w:r w:rsidRPr="00DD0540">
        <w:rPr>
          <w:rFonts w:ascii="Arial" w:hAnsi="Arial" w:cs="Arial"/>
          <w:sz w:val="24"/>
          <w:szCs w:val="24"/>
        </w:rPr>
        <w:t xml:space="preserve">omposição de gráficos demonstrado o desenvolvimento </w:t>
      </w:r>
      <w:r w:rsidR="00944667">
        <w:rPr>
          <w:rFonts w:ascii="Arial" w:hAnsi="Arial" w:cs="Arial"/>
          <w:sz w:val="24"/>
          <w:szCs w:val="24"/>
        </w:rPr>
        <w:t xml:space="preserve">exclusivo de </w:t>
      </w:r>
      <w:r w:rsidR="00944667" w:rsidRPr="00944667">
        <w:rPr>
          <w:rFonts w:ascii="Arial" w:hAnsi="Arial" w:cs="Arial"/>
          <w:i/>
          <w:iCs/>
          <w:sz w:val="24"/>
          <w:szCs w:val="24"/>
        </w:rPr>
        <w:t>C.</w:t>
      </w:r>
      <w:r w:rsidR="00944667" w:rsidRPr="009446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4667" w:rsidRPr="00445785">
        <w:rPr>
          <w:rFonts w:ascii="Arial" w:hAnsi="Arial" w:cs="Arial"/>
          <w:i/>
          <w:iCs/>
          <w:sz w:val="24"/>
          <w:szCs w:val="24"/>
        </w:rPr>
        <w:t>gloeosporioides</w:t>
      </w:r>
      <w:proofErr w:type="spellEnd"/>
      <w:r w:rsidR="00944667">
        <w:rPr>
          <w:rFonts w:ascii="Arial" w:hAnsi="Arial" w:cs="Arial"/>
          <w:sz w:val="24"/>
          <w:szCs w:val="24"/>
        </w:rPr>
        <w:t xml:space="preserve"> em tratamentos </w:t>
      </w:r>
      <w:r w:rsidR="00944667" w:rsidRPr="00944667">
        <w:rPr>
          <w:rFonts w:ascii="Arial" w:hAnsi="Arial" w:cs="Arial"/>
          <w:i/>
          <w:iCs/>
          <w:sz w:val="24"/>
          <w:szCs w:val="24"/>
        </w:rPr>
        <w:t>in vitro</w:t>
      </w:r>
      <w:r w:rsidRPr="00DD0540">
        <w:rPr>
          <w:rFonts w:ascii="Arial" w:hAnsi="Arial" w:cs="Arial"/>
          <w:sz w:val="24"/>
          <w:szCs w:val="24"/>
        </w:rPr>
        <w:t xml:space="preserve">: (a) Regressão de curvas de crescimento de </w:t>
      </w:r>
      <w:proofErr w:type="spellStart"/>
      <w:r w:rsidRPr="00DD0540">
        <w:rPr>
          <w:rFonts w:ascii="Arial" w:hAnsi="Arial" w:cs="Arial"/>
          <w:sz w:val="24"/>
          <w:szCs w:val="24"/>
        </w:rPr>
        <w:t>Gompertz</w:t>
      </w:r>
      <w:proofErr w:type="spellEnd"/>
      <w:r w:rsidRPr="00DD0540">
        <w:rPr>
          <w:rFonts w:ascii="Arial" w:hAnsi="Arial" w:cs="Arial"/>
          <w:sz w:val="24"/>
          <w:szCs w:val="24"/>
        </w:rPr>
        <w:t xml:space="preserve"> </w:t>
      </w:r>
      <w:r w:rsidR="00944667">
        <w:rPr>
          <w:rFonts w:ascii="Arial" w:hAnsi="Arial" w:cs="Arial"/>
          <w:sz w:val="24"/>
          <w:szCs w:val="24"/>
        </w:rPr>
        <w:t xml:space="preserve">para o patógeno em </w:t>
      </w:r>
      <w:r w:rsidRPr="00DD0540">
        <w:rPr>
          <w:rFonts w:ascii="Arial" w:hAnsi="Arial" w:cs="Arial"/>
          <w:sz w:val="24"/>
          <w:szCs w:val="24"/>
        </w:rPr>
        <w:t xml:space="preserve">meio BDA com </w:t>
      </w:r>
      <w:r w:rsidR="00445785">
        <w:rPr>
          <w:rFonts w:ascii="Arial" w:hAnsi="Arial" w:cs="Arial"/>
          <w:sz w:val="24"/>
          <w:szCs w:val="24"/>
        </w:rPr>
        <w:t xml:space="preserve">0% (Ctrl-) e </w:t>
      </w:r>
      <w:r w:rsidRPr="00DD0540">
        <w:rPr>
          <w:rFonts w:ascii="Arial" w:hAnsi="Arial" w:cs="Arial"/>
          <w:sz w:val="24"/>
          <w:szCs w:val="24"/>
        </w:rPr>
        <w:t xml:space="preserve">0,1% do produto (in vitro). (b) Parâmetro estatísticos comprando os coeficientes da regressão </w:t>
      </w:r>
      <w:r w:rsidR="00445785">
        <w:rPr>
          <w:rFonts w:ascii="Arial" w:hAnsi="Arial" w:cs="Arial"/>
          <w:sz w:val="24"/>
          <w:szCs w:val="24"/>
        </w:rPr>
        <w:t xml:space="preserve">entre </w:t>
      </w:r>
      <w:r w:rsidRPr="00DD0540">
        <w:rPr>
          <w:rFonts w:ascii="Arial" w:hAnsi="Arial" w:cs="Arial"/>
          <w:sz w:val="24"/>
          <w:szCs w:val="24"/>
        </w:rPr>
        <w:t xml:space="preserve">controle negativo </w:t>
      </w:r>
      <w:r w:rsidR="00445785">
        <w:rPr>
          <w:rFonts w:ascii="Arial" w:hAnsi="Arial" w:cs="Arial"/>
          <w:sz w:val="24"/>
          <w:szCs w:val="24"/>
        </w:rPr>
        <w:t xml:space="preserve">(Ctrl-) e o </w:t>
      </w:r>
      <w:r w:rsidRPr="00DD0540">
        <w:rPr>
          <w:rFonts w:ascii="Arial" w:hAnsi="Arial" w:cs="Arial"/>
          <w:sz w:val="24"/>
          <w:szCs w:val="24"/>
        </w:rPr>
        <w:t xml:space="preserve">tratamento a 0,1% (quanto menor os valores dos parâmetros, melhor foi o controle contra </w:t>
      </w:r>
      <w:r w:rsidR="00445785" w:rsidRPr="00445785">
        <w:rPr>
          <w:rFonts w:ascii="Arial" w:hAnsi="Arial" w:cs="Arial"/>
          <w:i/>
          <w:iCs/>
          <w:sz w:val="24"/>
          <w:szCs w:val="24"/>
        </w:rPr>
        <w:t xml:space="preserve">C. </w:t>
      </w:r>
      <w:proofErr w:type="spellStart"/>
      <w:r w:rsidR="00445785" w:rsidRPr="00445785">
        <w:rPr>
          <w:rFonts w:ascii="Arial" w:hAnsi="Arial" w:cs="Arial"/>
          <w:i/>
          <w:iCs/>
          <w:sz w:val="24"/>
          <w:szCs w:val="24"/>
        </w:rPr>
        <w:t>gloeosporioides</w:t>
      </w:r>
      <w:proofErr w:type="spellEnd"/>
      <w:r w:rsidR="00445785">
        <w:rPr>
          <w:rFonts w:ascii="Arial" w:hAnsi="Arial" w:cs="Arial"/>
          <w:sz w:val="24"/>
          <w:szCs w:val="24"/>
        </w:rPr>
        <w:t>)</w:t>
      </w:r>
      <w:r w:rsidRPr="00DD0540">
        <w:rPr>
          <w:rFonts w:ascii="Arial" w:hAnsi="Arial" w:cs="Arial"/>
          <w:sz w:val="24"/>
          <w:szCs w:val="24"/>
        </w:rPr>
        <w:t>. Tratamentos que não compartilham as mesmas letras minúsculas diferiram significativamente (p &lt; 0,05).</w:t>
      </w:r>
    </w:p>
    <w:p w14:paraId="74195554" w14:textId="262AE580" w:rsidR="00E067E6" w:rsidRPr="009C135D" w:rsidRDefault="00A01034" w:rsidP="009C135D">
      <w:pPr>
        <w:numPr>
          <w:ilvl w:val="0"/>
          <w:numId w:val="2"/>
        </w:num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12 apresenta uma c</w:t>
      </w:r>
      <w:r w:rsidRPr="00A01034">
        <w:rPr>
          <w:rFonts w:ascii="Arial" w:hAnsi="Arial" w:cs="Arial"/>
          <w:sz w:val="24"/>
          <w:szCs w:val="24"/>
        </w:rPr>
        <w:t>omposição de imagens de plantas de plantas de mandioca tratadas quinzenalmente com o produto e isentas de sintomas (</w:t>
      </w:r>
      <w:proofErr w:type="spellStart"/>
      <w:r w:rsidRPr="00A01034">
        <w:rPr>
          <w:rFonts w:ascii="Arial" w:hAnsi="Arial" w:cs="Arial"/>
          <w:sz w:val="24"/>
          <w:szCs w:val="24"/>
        </w:rPr>
        <w:t>a-d</w:t>
      </w:r>
      <w:proofErr w:type="spellEnd"/>
      <w:r w:rsidRPr="00A01034">
        <w:rPr>
          <w:rFonts w:ascii="Arial" w:hAnsi="Arial" w:cs="Arial"/>
          <w:sz w:val="24"/>
          <w:szCs w:val="24"/>
        </w:rPr>
        <w:t xml:space="preserve">) e controle (não tratadas) apesentando sintomas típicos de antracnose e de outros patógenos, dentre as quais foram isolados os patógenos identificados como </w:t>
      </w:r>
      <w:proofErr w:type="spellStart"/>
      <w:r w:rsidRPr="00A01034">
        <w:rPr>
          <w:rFonts w:ascii="Arial" w:hAnsi="Arial" w:cs="Arial"/>
          <w:i/>
          <w:iCs/>
          <w:sz w:val="24"/>
          <w:szCs w:val="24"/>
        </w:rPr>
        <w:t>Colletotrichum</w:t>
      </w:r>
      <w:proofErr w:type="spellEnd"/>
      <w:r w:rsidRPr="00A0103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01034">
        <w:rPr>
          <w:rFonts w:ascii="Arial" w:hAnsi="Arial" w:cs="Arial"/>
          <w:i/>
          <w:iCs/>
          <w:sz w:val="24"/>
          <w:szCs w:val="24"/>
        </w:rPr>
        <w:t>gloeosporioides</w:t>
      </w:r>
      <w:proofErr w:type="spellEnd"/>
      <w:r w:rsidRPr="00A0103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01034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Pr="00A01034">
        <w:rPr>
          <w:rFonts w:ascii="Arial" w:hAnsi="Arial" w:cs="Arial"/>
          <w:sz w:val="24"/>
          <w:szCs w:val="24"/>
        </w:rPr>
        <w:t xml:space="preserve"> sp</w:t>
      </w:r>
      <w:r>
        <w:rPr>
          <w:rFonts w:ascii="Arial" w:hAnsi="Arial" w:cs="Arial"/>
          <w:sz w:val="24"/>
          <w:szCs w:val="24"/>
        </w:rPr>
        <w:t>.</w:t>
      </w:r>
      <w:r w:rsidRPr="00A0103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01034">
        <w:rPr>
          <w:rFonts w:ascii="Arial" w:hAnsi="Arial" w:cs="Arial"/>
          <w:sz w:val="24"/>
          <w:szCs w:val="24"/>
        </w:rPr>
        <w:t>e-h</w:t>
      </w:r>
      <w:proofErr w:type="spellEnd"/>
      <w:r w:rsidRPr="00A01034">
        <w:rPr>
          <w:rFonts w:ascii="Arial" w:hAnsi="Arial" w:cs="Arial"/>
          <w:sz w:val="24"/>
          <w:szCs w:val="24"/>
        </w:rPr>
        <w:t>).</w:t>
      </w:r>
    </w:p>
    <w:p w14:paraId="0AEB74E0" w14:textId="77777777" w:rsidR="00E067E6" w:rsidRPr="00E067E6" w:rsidRDefault="00E067E6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E067E6">
        <w:rPr>
          <w:rFonts w:ascii="Arial" w:hAnsi="Arial" w:cs="Arial"/>
          <w:b/>
          <w:bCs/>
          <w:sz w:val="24"/>
          <w:szCs w:val="24"/>
        </w:rPr>
        <w:t>Descrição da invenção</w:t>
      </w:r>
    </w:p>
    <w:p w14:paraId="05EF6482" w14:textId="68CFBDB5" w:rsidR="00E067E6" w:rsidRPr="00E067E6" w:rsidRDefault="00060BB8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[01</w:t>
      </w:r>
      <w:r w:rsidR="00A6254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>A presente invenção consist</w:t>
      </w:r>
      <w:r w:rsidR="002B7156">
        <w:rPr>
          <w:rFonts w:ascii="Arial" w:hAnsi="Arial" w:cs="Arial"/>
          <w:sz w:val="24"/>
          <w:szCs w:val="24"/>
        </w:rPr>
        <w:t>iu</w:t>
      </w:r>
      <w:r w:rsidR="00E067E6" w:rsidRPr="00E067E6">
        <w:rPr>
          <w:rFonts w:ascii="Arial" w:hAnsi="Arial" w:cs="Arial"/>
          <w:sz w:val="24"/>
          <w:szCs w:val="24"/>
        </w:rPr>
        <w:t xml:space="preserve"> </w:t>
      </w:r>
      <w:r w:rsidR="002B7156" w:rsidRPr="00E067E6">
        <w:rPr>
          <w:rFonts w:ascii="Arial" w:hAnsi="Arial" w:cs="Arial"/>
          <w:sz w:val="24"/>
          <w:szCs w:val="24"/>
        </w:rPr>
        <w:t>no</w:t>
      </w:r>
      <w:r w:rsidR="00E067E6" w:rsidRPr="00E067E6">
        <w:rPr>
          <w:rFonts w:ascii="Arial" w:hAnsi="Arial" w:cs="Arial"/>
          <w:sz w:val="24"/>
          <w:szCs w:val="24"/>
        </w:rPr>
        <w:t xml:space="preserve"> </w:t>
      </w:r>
      <w:r w:rsidR="00744501">
        <w:rPr>
          <w:rFonts w:ascii="Arial" w:hAnsi="Arial" w:cs="Arial"/>
          <w:sz w:val="24"/>
          <w:szCs w:val="24"/>
        </w:rPr>
        <w:t xml:space="preserve">processo de obtenção e formulação de um </w:t>
      </w:r>
      <w:r w:rsidR="00E067E6" w:rsidRPr="00E067E6">
        <w:rPr>
          <w:rFonts w:ascii="Arial" w:hAnsi="Arial" w:cs="Arial"/>
          <w:sz w:val="24"/>
          <w:szCs w:val="24"/>
        </w:rPr>
        <w:t>produto para aplicação foliar destinado ao controle da antracnose (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Colletotrichum</w:t>
      </w:r>
      <w:proofErr w:type="spellEnd"/>
      <w:r w:rsidR="00E067E6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r w:rsidR="00E067E6" w:rsidRPr="00E067E6">
        <w:rPr>
          <w:rFonts w:ascii="Arial" w:hAnsi="Arial" w:cs="Arial"/>
          <w:sz w:val="24"/>
          <w:szCs w:val="24"/>
        </w:rPr>
        <w:t>spp</w:t>
      </w:r>
      <w:r w:rsidR="00E067E6" w:rsidRPr="00E067E6">
        <w:rPr>
          <w:rFonts w:ascii="Arial" w:hAnsi="Arial" w:cs="Arial"/>
          <w:i/>
          <w:iCs/>
          <w:sz w:val="24"/>
          <w:szCs w:val="24"/>
        </w:rPr>
        <w:t>.</w:t>
      </w:r>
      <w:r w:rsidR="00E067E6" w:rsidRPr="00E067E6">
        <w:rPr>
          <w:rFonts w:ascii="Arial" w:hAnsi="Arial" w:cs="Arial"/>
          <w:sz w:val="24"/>
          <w:szCs w:val="24"/>
        </w:rPr>
        <w:t xml:space="preserve">) e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fusariose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E067E6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r w:rsidR="00E067E6" w:rsidRPr="00E067E6">
        <w:rPr>
          <w:rFonts w:ascii="Arial" w:hAnsi="Arial" w:cs="Arial"/>
          <w:sz w:val="24"/>
          <w:szCs w:val="24"/>
        </w:rPr>
        <w:t>spp</w:t>
      </w:r>
      <w:r w:rsidR="00E067E6" w:rsidRPr="00E067E6">
        <w:rPr>
          <w:rFonts w:ascii="Arial" w:hAnsi="Arial" w:cs="Arial"/>
          <w:i/>
          <w:iCs/>
          <w:sz w:val="24"/>
          <w:szCs w:val="24"/>
        </w:rPr>
        <w:t>.</w:t>
      </w:r>
      <w:r w:rsidR="00E067E6" w:rsidRPr="00E067E6">
        <w:rPr>
          <w:rFonts w:ascii="Arial" w:hAnsi="Arial" w:cs="Arial"/>
          <w:sz w:val="24"/>
          <w:szCs w:val="24"/>
        </w:rPr>
        <w:t>) na cultura da mandioca (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Manihot</w:t>
      </w:r>
      <w:proofErr w:type="spellEnd"/>
      <w:r w:rsidR="00E067E6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esculenta</w:t>
      </w:r>
      <w:proofErr w:type="spellEnd"/>
      <w:r w:rsidR="00E067E6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Crantz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), bem como o processo de obtenção dos extratos vegetais </w:t>
      </w:r>
      <w:r w:rsidR="00C04611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C04611" w:rsidRPr="00C04611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C04611" w:rsidRPr="00C0461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C04611" w:rsidRPr="00C04611">
        <w:rPr>
          <w:rFonts w:ascii="Arial" w:hAnsi="Arial" w:cs="Arial"/>
          <w:i/>
          <w:iCs/>
          <w:sz w:val="24"/>
          <w:szCs w:val="24"/>
        </w:rPr>
        <w:t>heliotropiifolius</w:t>
      </w:r>
      <w:proofErr w:type="spellEnd"/>
      <w:r w:rsidR="00C04611" w:rsidRPr="00C046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4611" w:rsidRPr="00C04611">
        <w:rPr>
          <w:rFonts w:ascii="Arial" w:hAnsi="Arial" w:cs="Arial"/>
          <w:sz w:val="24"/>
          <w:szCs w:val="24"/>
        </w:rPr>
        <w:t>Kunth</w:t>
      </w:r>
      <w:proofErr w:type="spellEnd"/>
      <w:r w:rsidR="00C04611" w:rsidRPr="00C04611">
        <w:rPr>
          <w:rFonts w:ascii="Arial" w:hAnsi="Arial" w:cs="Arial"/>
          <w:sz w:val="24"/>
          <w:szCs w:val="24"/>
        </w:rPr>
        <w:t xml:space="preserve"> </w:t>
      </w:r>
      <w:r w:rsidR="00E067E6" w:rsidRPr="00E067E6">
        <w:rPr>
          <w:rFonts w:ascii="Arial" w:hAnsi="Arial" w:cs="Arial"/>
          <w:sz w:val="24"/>
          <w:szCs w:val="24"/>
        </w:rPr>
        <w:t>utilizados na formulação desse produto.</w:t>
      </w:r>
    </w:p>
    <w:p w14:paraId="4BEF8C5E" w14:textId="601CAB2C" w:rsidR="00E067E6" w:rsidRPr="00E067E6" w:rsidRDefault="00EA3112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[01</w:t>
      </w:r>
      <w:r w:rsidR="00A62548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 xml:space="preserve">O produto </w:t>
      </w:r>
      <w:r w:rsidR="002B7156">
        <w:rPr>
          <w:rFonts w:ascii="Arial" w:hAnsi="Arial" w:cs="Arial"/>
          <w:sz w:val="24"/>
          <w:szCs w:val="24"/>
        </w:rPr>
        <w:t>foi</w:t>
      </w:r>
      <w:r w:rsidR="00E067E6" w:rsidRPr="00E067E6">
        <w:rPr>
          <w:rFonts w:ascii="Arial" w:hAnsi="Arial" w:cs="Arial"/>
          <w:sz w:val="24"/>
          <w:szCs w:val="24"/>
        </w:rPr>
        <w:t xml:space="preserve"> formulado a partir de extratos vegetais obtidos de plantas d</w:t>
      </w:r>
      <w:r w:rsidR="00C04611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EB11DB" w:rsidRPr="003931B6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EB11DB" w:rsidRPr="00E067E6">
        <w:rPr>
          <w:rFonts w:ascii="Arial" w:hAnsi="Arial" w:cs="Arial"/>
          <w:i/>
          <w:iCs/>
          <w:sz w:val="24"/>
          <w:szCs w:val="24"/>
        </w:rPr>
        <w:t xml:space="preserve"> </w:t>
      </w:r>
      <w:r w:rsidR="00EB11DB" w:rsidRPr="00E067E6">
        <w:rPr>
          <w:rFonts w:ascii="Arial" w:hAnsi="Arial" w:cs="Arial"/>
          <w:sz w:val="24"/>
          <w:szCs w:val="24"/>
        </w:rPr>
        <w:t>spp</w:t>
      </w:r>
      <w:r w:rsidR="00EB11DB" w:rsidRPr="00E067E6">
        <w:rPr>
          <w:rFonts w:ascii="Arial" w:hAnsi="Arial" w:cs="Arial"/>
          <w:i/>
          <w:iCs/>
          <w:sz w:val="24"/>
          <w:szCs w:val="24"/>
        </w:rPr>
        <w:t>.</w:t>
      </w:r>
      <w:r w:rsidR="00E067E6" w:rsidRPr="00E067E6">
        <w:rPr>
          <w:rFonts w:ascii="Arial" w:hAnsi="Arial" w:cs="Arial"/>
          <w:sz w:val="24"/>
          <w:szCs w:val="24"/>
        </w:rPr>
        <w:t xml:space="preserve"> </w:t>
      </w:r>
      <w:r w:rsidR="00341181">
        <w:rPr>
          <w:rFonts w:ascii="Arial" w:hAnsi="Arial" w:cs="Arial"/>
          <w:sz w:val="24"/>
          <w:szCs w:val="24"/>
        </w:rPr>
        <w:t>oriundas de</w:t>
      </w:r>
      <w:r w:rsidR="007D5CFB">
        <w:rPr>
          <w:rFonts w:ascii="Arial" w:hAnsi="Arial" w:cs="Arial"/>
          <w:sz w:val="24"/>
          <w:szCs w:val="24"/>
        </w:rPr>
        <w:t xml:space="preserve"> regiões da </w:t>
      </w:r>
      <w:r w:rsidR="00E067E6" w:rsidRPr="00E067E6">
        <w:rPr>
          <w:rFonts w:ascii="Arial" w:hAnsi="Arial" w:cs="Arial"/>
          <w:sz w:val="24"/>
          <w:szCs w:val="24"/>
        </w:rPr>
        <w:t>Caatinga</w:t>
      </w:r>
      <w:r w:rsidR="003931B6">
        <w:rPr>
          <w:rFonts w:ascii="Arial" w:hAnsi="Arial" w:cs="Arial"/>
          <w:sz w:val="24"/>
          <w:szCs w:val="24"/>
        </w:rPr>
        <w:t xml:space="preserve"> e </w:t>
      </w:r>
      <w:r w:rsidR="007D5CFB">
        <w:rPr>
          <w:rFonts w:ascii="Arial" w:hAnsi="Arial" w:cs="Arial"/>
          <w:sz w:val="24"/>
          <w:szCs w:val="24"/>
        </w:rPr>
        <w:t xml:space="preserve">no </w:t>
      </w:r>
      <w:r w:rsidR="001D12F5">
        <w:rPr>
          <w:rFonts w:ascii="Arial" w:hAnsi="Arial" w:cs="Arial"/>
          <w:sz w:val="24"/>
          <w:szCs w:val="24"/>
        </w:rPr>
        <w:t xml:space="preserve">Agreste </w:t>
      </w:r>
      <w:r w:rsidR="007D5CFB">
        <w:rPr>
          <w:rFonts w:ascii="Arial" w:hAnsi="Arial" w:cs="Arial"/>
          <w:sz w:val="24"/>
          <w:szCs w:val="24"/>
        </w:rPr>
        <w:t xml:space="preserve">Meridional </w:t>
      </w:r>
      <w:r w:rsidR="001D12F5">
        <w:rPr>
          <w:rFonts w:ascii="Arial" w:hAnsi="Arial" w:cs="Arial"/>
          <w:sz w:val="24"/>
          <w:szCs w:val="24"/>
        </w:rPr>
        <w:t>de Pernambuco</w:t>
      </w:r>
      <w:r w:rsidR="00E067E6" w:rsidRPr="00E067E6">
        <w:rPr>
          <w:rFonts w:ascii="Arial" w:hAnsi="Arial" w:cs="Arial"/>
          <w:sz w:val="24"/>
          <w:szCs w:val="24"/>
        </w:rPr>
        <w:t xml:space="preserve">, com destaque para </w:t>
      </w:r>
      <w:r w:rsidR="00EB11DB">
        <w:rPr>
          <w:rFonts w:ascii="Arial" w:hAnsi="Arial" w:cs="Arial"/>
          <w:sz w:val="24"/>
          <w:szCs w:val="24"/>
        </w:rPr>
        <w:t>o</w:t>
      </w:r>
      <w:r w:rsidR="00E067E6" w:rsidRPr="00E067E6">
        <w:rPr>
          <w:rFonts w:ascii="Arial" w:hAnsi="Arial" w:cs="Arial"/>
          <w:sz w:val="24"/>
          <w:szCs w:val="24"/>
        </w:rPr>
        <w:t xml:space="preserve"> </w:t>
      </w:r>
      <w:r w:rsidR="001D12F5">
        <w:rPr>
          <w:rFonts w:ascii="Arial" w:hAnsi="Arial" w:cs="Arial"/>
          <w:sz w:val="24"/>
          <w:szCs w:val="24"/>
        </w:rPr>
        <w:t>v</w:t>
      </w:r>
      <w:r w:rsidR="00E067E6" w:rsidRPr="00E067E6">
        <w:rPr>
          <w:rFonts w:ascii="Arial" w:hAnsi="Arial" w:cs="Arial"/>
          <w:sz w:val="24"/>
          <w:szCs w:val="24"/>
        </w:rPr>
        <w:t>elame (</w:t>
      </w:r>
      <w:r w:rsidR="00EB11DB" w:rsidRPr="00C04611">
        <w:rPr>
          <w:rFonts w:ascii="Arial" w:hAnsi="Arial" w:cs="Arial"/>
          <w:i/>
          <w:iCs/>
          <w:sz w:val="24"/>
          <w:szCs w:val="24"/>
        </w:rPr>
        <w:t>C</w:t>
      </w:r>
      <w:r w:rsidR="00EB11DB">
        <w:rPr>
          <w:rFonts w:ascii="Arial" w:hAnsi="Arial" w:cs="Arial"/>
          <w:i/>
          <w:iCs/>
          <w:sz w:val="24"/>
          <w:szCs w:val="24"/>
        </w:rPr>
        <w:t xml:space="preserve">. </w:t>
      </w:r>
      <w:proofErr w:type="spellStart"/>
      <w:r w:rsidR="00EB11DB" w:rsidRPr="00C04611">
        <w:rPr>
          <w:rFonts w:ascii="Arial" w:hAnsi="Arial" w:cs="Arial"/>
          <w:i/>
          <w:iCs/>
          <w:sz w:val="24"/>
          <w:szCs w:val="24"/>
        </w:rPr>
        <w:t>heliotropiifolius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>), que apresent</w:t>
      </w:r>
      <w:r w:rsidR="00EB11DB">
        <w:rPr>
          <w:rFonts w:ascii="Arial" w:hAnsi="Arial" w:cs="Arial"/>
          <w:sz w:val="24"/>
          <w:szCs w:val="24"/>
        </w:rPr>
        <w:t>ou</w:t>
      </w:r>
      <w:r w:rsidR="00E067E6" w:rsidRPr="00E067E6">
        <w:rPr>
          <w:rFonts w:ascii="Arial" w:hAnsi="Arial" w:cs="Arial"/>
          <w:sz w:val="24"/>
          <w:szCs w:val="24"/>
        </w:rPr>
        <w:t xml:space="preserve"> comprovada atividade antifúngica contra os patógenos alvo. Os extratos </w:t>
      </w:r>
      <w:r w:rsidR="00EB11DB">
        <w:rPr>
          <w:rFonts w:ascii="Arial" w:hAnsi="Arial" w:cs="Arial"/>
          <w:sz w:val="24"/>
          <w:szCs w:val="24"/>
        </w:rPr>
        <w:t>foram (</w:t>
      </w:r>
      <w:proofErr w:type="spellStart"/>
      <w:r w:rsidR="00EB11DB">
        <w:rPr>
          <w:rFonts w:ascii="Arial" w:hAnsi="Arial" w:cs="Arial"/>
          <w:sz w:val="24"/>
          <w:szCs w:val="24"/>
        </w:rPr>
        <w:t>hidrolato</w:t>
      </w:r>
      <w:proofErr w:type="spellEnd"/>
      <w:r w:rsidR="00EB11DB">
        <w:rPr>
          <w:rFonts w:ascii="Arial" w:hAnsi="Arial" w:cs="Arial"/>
          <w:sz w:val="24"/>
          <w:szCs w:val="24"/>
        </w:rPr>
        <w:t xml:space="preserve"> e óleo essencial) </w:t>
      </w:r>
      <w:r w:rsidR="00E067E6" w:rsidRPr="00E067E6">
        <w:rPr>
          <w:rFonts w:ascii="Arial" w:hAnsi="Arial" w:cs="Arial"/>
          <w:sz w:val="24"/>
          <w:szCs w:val="24"/>
        </w:rPr>
        <w:t>obtidos através de um processo otimizado de destilação por arraste a vapor, utilizando um equipamento desenvolvido especificamente para esse fim, denominado VIPER-I</w:t>
      </w:r>
      <w:r w:rsidR="004F3589">
        <w:rPr>
          <w:rFonts w:ascii="Arial" w:hAnsi="Arial" w:cs="Arial"/>
          <w:sz w:val="24"/>
          <w:szCs w:val="24"/>
        </w:rPr>
        <w:t xml:space="preserve"> (</w:t>
      </w:r>
      <w:r w:rsidR="00A523DB">
        <w:rPr>
          <w:rFonts w:ascii="Arial" w:hAnsi="Arial" w:cs="Arial"/>
          <w:b/>
          <w:bCs/>
          <w:sz w:val="24"/>
          <w:szCs w:val="24"/>
        </w:rPr>
        <w:t>Figura 1</w:t>
      </w:r>
      <w:r w:rsidR="004F3589">
        <w:rPr>
          <w:rFonts w:ascii="Arial" w:hAnsi="Arial" w:cs="Arial"/>
          <w:sz w:val="24"/>
          <w:szCs w:val="24"/>
        </w:rPr>
        <w:t>)</w:t>
      </w:r>
      <w:r w:rsidR="001D12F5">
        <w:rPr>
          <w:rFonts w:ascii="Arial" w:hAnsi="Arial" w:cs="Arial"/>
          <w:sz w:val="24"/>
          <w:szCs w:val="24"/>
        </w:rPr>
        <w:t xml:space="preserve">, projetado e construído pela </w:t>
      </w:r>
      <w:r w:rsidR="004F3589">
        <w:rPr>
          <w:rFonts w:ascii="Arial" w:hAnsi="Arial" w:cs="Arial"/>
          <w:sz w:val="24"/>
          <w:szCs w:val="24"/>
        </w:rPr>
        <w:t xml:space="preserve">empresa solicitante desta presente patente, a </w:t>
      </w:r>
      <w:r w:rsidR="004F3589" w:rsidRPr="004C0898">
        <w:rPr>
          <w:rFonts w:ascii="Arial" w:hAnsi="Arial" w:cs="Arial"/>
          <w:sz w:val="24"/>
          <w:szCs w:val="24"/>
        </w:rPr>
        <w:t>INSYGRO Ciência e Tecnologia Agronômica (CNPJ 50.983.508/0001-25)</w:t>
      </w:r>
      <w:r w:rsidR="00E067E6" w:rsidRPr="00E067E6">
        <w:rPr>
          <w:rFonts w:ascii="Arial" w:hAnsi="Arial" w:cs="Arial"/>
          <w:sz w:val="24"/>
          <w:szCs w:val="24"/>
        </w:rPr>
        <w:t>.</w:t>
      </w:r>
    </w:p>
    <w:p w14:paraId="3FE8D461" w14:textId="3A2BCFC0" w:rsidR="00A5645D" w:rsidRDefault="004C0898" w:rsidP="00A5645D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[01</w:t>
      </w:r>
      <w:r w:rsidR="00602F54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 xml:space="preserve">O VIPER-I é um destilador de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hidrolatos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e óleos essenciais</w:t>
      </w:r>
      <w:r w:rsidR="004F3589">
        <w:rPr>
          <w:rFonts w:ascii="Arial" w:hAnsi="Arial" w:cs="Arial"/>
          <w:sz w:val="24"/>
          <w:szCs w:val="24"/>
        </w:rPr>
        <w:t xml:space="preserve"> </w:t>
      </w:r>
      <w:r w:rsidR="00E067E6" w:rsidRPr="00E067E6">
        <w:rPr>
          <w:rFonts w:ascii="Arial" w:hAnsi="Arial" w:cs="Arial"/>
          <w:sz w:val="24"/>
          <w:szCs w:val="24"/>
        </w:rPr>
        <w:t xml:space="preserve">que </w:t>
      </w:r>
      <w:r w:rsidR="00CB0CE5" w:rsidRPr="00E067E6">
        <w:rPr>
          <w:rFonts w:ascii="Arial" w:hAnsi="Arial" w:cs="Arial"/>
          <w:sz w:val="24"/>
          <w:szCs w:val="24"/>
        </w:rPr>
        <w:t>apresent</w:t>
      </w:r>
      <w:r w:rsidR="00CB0CE5">
        <w:rPr>
          <w:rFonts w:ascii="Arial" w:hAnsi="Arial" w:cs="Arial"/>
          <w:sz w:val="24"/>
          <w:szCs w:val="24"/>
        </w:rPr>
        <w:t>ou</w:t>
      </w:r>
      <w:r w:rsidR="00E067E6" w:rsidRPr="00E067E6">
        <w:rPr>
          <w:rFonts w:ascii="Arial" w:hAnsi="Arial" w:cs="Arial"/>
          <w:sz w:val="24"/>
          <w:szCs w:val="24"/>
        </w:rPr>
        <w:t xml:space="preserve"> características únicas, permitindo um melhor aproveitamento do calor gerado e uma redução significativa no tempo de destilação</w:t>
      </w:r>
      <w:r w:rsidR="00FE1D66">
        <w:rPr>
          <w:rFonts w:ascii="Arial" w:hAnsi="Arial" w:cs="Arial"/>
          <w:sz w:val="24"/>
          <w:szCs w:val="24"/>
        </w:rPr>
        <w:t xml:space="preserve"> em comparação com métodos laboratoriais</w:t>
      </w:r>
      <w:r w:rsidR="00E067E6" w:rsidRPr="00E067E6">
        <w:rPr>
          <w:rFonts w:ascii="Arial" w:hAnsi="Arial" w:cs="Arial"/>
          <w:sz w:val="24"/>
          <w:szCs w:val="24"/>
        </w:rPr>
        <w:t xml:space="preserve">. O equipamento </w:t>
      </w:r>
      <w:r w:rsidR="00FE1D66">
        <w:rPr>
          <w:rFonts w:ascii="Arial" w:hAnsi="Arial" w:cs="Arial"/>
          <w:sz w:val="24"/>
          <w:szCs w:val="24"/>
        </w:rPr>
        <w:t>foi</w:t>
      </w:r>
      <w:r w:rsidR="00E067E6" w:rsidRPr="00E067E6">
        <w:rPr>
          <w:rFonts w:ascii="Arial" w:hAnsi="Arial" w:cs="Arial"/>
          <w:sz w:val="24"/>
          <w:szCs w:val="24"/>
        </w:rPr>
        <w:t xml:space="preserve"> composto por quatro partes principais:</w:t>
      </w:r>
      <w:r>
        <w:rPr>
          <w:rFonts w:ascii="Arial" w:hAnsi="Arial" w:cs="Arial"/>
          <w:sz w:val="24"/>
          <w:szCs w:val="24"/>
        </w:rPr>
        <w:t xml:space="preserve"> (1) </w:t>
      </w:r>
      <w:r w:rsidRPr="004C0898">
        <w:rPr>
          <w:rFonts w:ascii="Arial" w:hAnsi="Arial" w:cs="Arial"/>
          <w:sz w:val="24"/>
          <w:szCs w:val="24"/>
        </w:rPr>
        <w:t>Caldeira: cilindro de 20 L de capacidade responsável pela geração de vapor de arraste, acionado através de gás GLP acoplado a fogareiro industrial de alta pressão</w:t>
      </w:r>
      <w:r>
        <w:rPr>
          <w:rFonts w:ascii="Arial" w:hAnsi="Arial" w:cs="Arial"/>
          <w:sz w:val="24"/>
          <w:szCs w:val="24"/>
        </w:rPr>
        <w:t xml:space="preserve">; (2) </w:t>
      </w:r>
      <w:r w:rsidRPr="004C0898">
        <w:rPr>
          <w:rFonts w:ascii="Arial" w:hAnsi="Arial" w:cs="Arial"/>
          <w:sz w:val="24"/>
          <w:szCs w:val="24"/>
        </w:rPr>
        <w:t xml:space="preserve">Dorna de destilação: cilindro com 300 L de capacidade, </w:t>
      </w:r>
      <w:r w:rsidR="00932CDC">
        <w:rPr>
          <w:rFonts w:ascii="Arial" w:hAnsi="Arial" w:cs="Arial"/>
          <w:sz w:val="24"/>
          <w:szCs w:val="24"/>
        </w:rPr>
        <w:t xml:space="preserve">comportando entre </w:t>
      </w:r>
      <w:r w:rsidR="00932CDC" w:rsidRPr="00932CDC">
        <w:rPr>
          <w:rFonts w:ascii="Arial" w:hAnsi="Arial" w:cs="Arial"/>
          <w:sz w:val="24"/>
          <w:szCs w:val="24"/>
        </w:rPr>
        <w:t>2</w:t>
      </w:r>
      <w:r w:rsidR="00932CDC">
        <w:rPr>
          <w:rFonts w:ascii="Arial" w:hAnsi="Arial" w:cs="Arial"/>
          <w:sz w:val="24"/>
          <w:szCs w:val="24"/>
        </w:rPr>
        <w:t>5</w:t>
      </w:r>
      <w:r w:rsidR="00932CDC" w:rsidRPr="00932CDC">
        <w:rPr>
          <w:rFonts w:ascii="Arial" w:hAnsi="Arial" w:cs="Arial"/>
          <w:sz w:val="24"/>
          <w:szCs w:val="24"/>
        </w:rPr>
        <w:t xml:space="preserve"> a 30 kg de material </w:t>
      </w:r>
      <w:r w:rsidR="00932CDC">
        <w:rPr>
          <w:rFonts w:ascii="Arial" w:hAnsi="Arial" w:cs="Arial"/>
          <w:sz w:val="24"/>
          <w:szCs w:val="24"/>
        </w:rPr>
        <w:t xml:space="preserve">vegetal </w:t>
      </w:r>
      <w:r w:rsidR="00932CDC" w:rsidRPr="00932CDC">
        <w:rPr>
          <w:rFonts w:ascii="Arial" w:hAnsi="Arial" w:cs="Arial"/>
          <w:sz w:val="24"/>
          <w:szCs w:val="24"/>
        </w:rPr>
        <w:t>desidratado</w:t>
      </w:r>
      <w:r w:rsidR="00932CDC">
        <w:rPr>
          <w:rFonts w:ascii="Arial" w:hAnsi="Arial" w:cs="Arial"/>
          <w:sz w:val="24"/>
          <w:szCs w:val="24"/>
        </w:rPr>
        <w:t xml:space="preserve">, </w:t>
      </w:r>
      <w:r w:rsidRPr="004C0898">
        <w:rPr>
          <w:rFonts w:ascii="Arial" w:hAnsi="Arial" w:cs="Arial"/>
          <w:sz w:val="24"/>
          <w:szCs w:val="24"/>
        </w:rPr>
        <w:t>onde o vapor de água ascende arrastando os compostos voláteis do material vegetal que fica sobre uma grade</w:t>
      </w:r>
      <w:r>
        <w:rPr>
          <w:rFonts w:ascii="Arial" w:hAnsi="Arial" w:cs="Arial"/>
          <w:sz w:val="24"/>
          <w:szCs w:val="24"/>
        </w:rPr>
        <w:t xml:space="preserve">; (3) </w:t>
      </w:r>
      <w:r w:rsidRPr="004C0898">
        <w:rPr>
          <w:rFonts w:ascii="Arial" w:hAnsi="Arial" w:cs="Arial"/>
          <w:sz w:val="24"/>
          <w:szCs w:val="24"/>
        </w:rPr>
        <w:t xml:space="preserve">Condensador: responsável pela captação do </w:t>
      </w:r>
      <w:proofErr w:type="spellStart"/>
      <w:r w:rsidRPr="004C0898">
        <w:rPr>
          <w:rFonts w:ascii="Arial" w:hAnsi="Arial" w:cs="Arial"/>
          <w:sz w:val="24"/>
          <w:szCs w:val="24"/>
        </w:rPr>
        <w:t>hidrolato</w:t>
      </w:r>
      <w:proofErr w:type="spellEnd"/>
      <w:r w:rsidRPr="004C0898">
        <w:rPr>
          <w:rFonts w:ascii="Arial" w:hAnsi="Arial" w:cs="Arial"/>
          <w:sz w:val="24"/>
          <w:szCs w:val="24"/>
        </w:rPr>
        <w:t xml:space="preserve"> e de compostos voláteis no estado líquido</w:t>
      </w:r>
      <w:r w:rsidR="00A5645D">
        <w:rPr>
          <w:rFonts w:ascii="Arial" w:hAnsi="Arial" w:cs="Arial"/>
          <w:sz w:val="24"/>
          <w:szCs w:val="24"/>
        </w:rPr>
        <w:t>; (</w:t>
      </w:r>
      <w:r w:rsidRPr="004C0898">
        <w:rPr>
          <w:rFonts w:ascii="Arial" w:hAnsi="Arial" w:cs="Arial"/>
          <w:sz w:val="24"/>
          <w:szCs w:val="24"/>
        </w:rPr>
        <w:t>4</w:t>
      </w:r>
      <w:r w:rsidR="00A5645D">
        <w:rPr>
          <w:rFonts w:ascii="Arial" w:hAnsi="Arial" w:cs="Arial"/>
          <w:sz w:val="24"/>
          <w:szCs w:val="24"/>
        </w:rPr>
        <w:t xml:space="preserve">) </w:t>
      </w:r>
      <w:r w:rsidRPr="004C0898">
        <w:rPr>
          <w:rFonts w:ascii="Arial" w:hAnsi="Arial" w:cs="Arial"/>
          <w:sz w:val="24"/>
          <w:szCs w:val="24"/>
        </w:rPr>
        <w:t>Sistema de resfriamento do condensador: composto por trocador de calor, ventoinha industrial e conexões para acoplamento nos canais do condensador</w:t>
      </w:r>
      <w:r w:rsidR="007A00D5">
        <w:rPr>
          <w:rFonts w:ascii="Arial" w:hAnsi="Arial" w:cs="Arial"/>
          <w:sz w:val="24"/>
          <w:szCs w:val="24"/>
        </w:rPr>
        <w:t xml:space="preserve"> (</w:t>
      </w:r>
      <w:r w:rsidR="00911A99">
        <w:rPr>
          <w:rFonts w:ascii="Arial" w:hAnsi="Arial" w:cs="Arial"/>
          <w:b/>
          <w:bCs/>
          <w:sz w:val="24"/>
          <w:szCs w:val="24"/>
        </w:rPr>
        <w:t>Figura 2</w:t>
      </w:r>
      <w:r w:rsidR="007A00D5">
        <w:rPr>
          <w:rFonts w:ascii="Arial" w:hAnsi="Arial" w:cs="Arial"/>
          <w:sz w:val="24"/>
          <w:szCs w:val="24"/>
        </w:rPr>
        <w:t>)</w:t>
      </w:r>
      <w:r w:rsidRPr="004C0898">
        <w:rPr>
          <w:rFonts w:ascii="Arial" w:hAnsi="Arial" w:cs="Arial"/>
          <w:sz w:val="24"/>
          <w:szCs w:val="24"/>
        </w:rPr>
        <w:t>.</w:t>
      </w:r>
    </w:p>
    <w:p w14:paraId="3BE8E07B" w14:textId="7D80A475" w:rsidR="00E067E6" w:rsidRDefault="00A5645D" w:rsidP="00A5645D">
      <w:pPr>
        <w:tabs>
          <w:tab w:val="num" w:pos="720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[01</w:t>
      </w:r>
      <w:r w:rsidR="001F63FB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>O processo de destilação por arraste a vapor utilizando o VIPER-I é realizado da seguinte forma:</w:t>
      </w:r>
      <w:r>
        <w:rPr>
          <w:rFonts w:ascii="Arial" w:hAnsi="Arial" w:cs="Arial"/>
          <w:sz w:val="24"/>
          <w:szCs w:val="24"/>
        </w:rPr>
        <w:t xml:space="preserve"> (1) </w:t>
      </w:r>
      <w:r w:rsidRPr="00A5645D">
        <w:rPr>
          <w:rFonts w:ascii="Arial" w:hAnsi="Arial" w:cs="Arial"/>
          <w:sz w:val="24"/>
          <w:szCs w:val="24"/>
        </w:rPr>
        <w:t xml:space="preserve">O material vegetal, </w:t>
      </w:r>
      <w:r w:rsidR="007E65F6">
        <w:rPr>
          <w:rFonts w:ascii="Arial" w:hAnsi="Arial" w:cs="Arial"/>
          <w:sz w:val="24"/>
          <w:szCs w:val="24"/>
        </w:rPr>
        <w:t xml:space="preserve">neste caso composto por </w:t>
      </w:r>
      <w:r w:rsidRPr="00A5645D">
        <w:rPr>
          <w:rFonts w:ascii="Arial" w:hAnsi="Arial" w:cs="Arial"/>
          <w:sz w:val="24"/>
          <w:szCs w:val="24"/>
        </w:rPr>
        <w:t xml:space="preserve">folhas </w:t>
      </w:r>
      <w:r w:rsidR="007E65F6">
        <w:rPr>
          <w:rFonts w:ascii="Arial" w:hAnsi="Arial" w:cs="Arial"/>
          <w:sz w:val="24"/>
          <w:szCs w:val="24"/>
        </w:rPr>
        <w:t xml:space="preserve">e ramos desidratados </w:t>
      </w:r>
      <w:r w:rsidRPr="00A5645D">
        <w:rPr>
          <w:rFonts w:ascii="Arial" w:hAnsi="Arial" w:cs="Arial"/>
          <w:sz w:val="24"/>
          <w:szCs w:val="24"/>
        </w:rPr>
        <w:t xml:space="preserve">de </w:t>
      </w:r>
      <w:r w:rsidR="007A00D5">
        <w:rPr>
          <w:rFonts w:ascii="Arial" w:hAnsi="Arial" w:cs="Arial"/>
          <w:sz w:val="24"/>
          <w:szCs w:val="24"/>
        </w:rPr>
        <w:t>v</w:t>
      </w:r>
      <w:r w:rsidRPr="00A5645D">
        <w:rPr>
          <w:rFonts w:ascii="Arial" w:hAnsi="Arial" w:cs="Arial"/>
          <w:sz w:val="24"/>
          <w:szCs w:val="24"/>
        </w:rPr>
        <w:t>elame (</w:t>
      </w:r>
      <w:proofErr w:type="spellStart"/>
      <w:r w:rsidRPr="00A5645D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Pr="00A5645D">
        <w:rPr>
          <w:rFonts w:ascii="Arial" w:hAnsi="Arial" w:cs="Arial"/>
          <w:sz w:val="24"/>
          <w:szCs w:val="24"/>
        </w:rPr>
        <w:t xml:space="preserve"> spp.), é coletado e seco à sombra por cerca de </w:t>
      </w:r>
      <w:r>
        <w:rPr>
          <w:rFonts w:ascii="Arial" w:hAnsi="Arial" w:cs="Arial"/>
          <w:sz w:val="24"/>
          <w:szCs w:val="24"/>
        </w:rPr>
        <w:t>48 horas</w:t>
      </w:r>
      <w:r w:rsidRPr="00A5645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(2) </w:t>
      </w:r>
      <w:r w:rsidR="00E067E6" w:rsidRPr="00E067E6">
        <w:rPr>
          <w:rFonts w:ascii="Arial" w:hAnsi="Arial" w:cs="Arial"/>
          <w:sz w:val="24"/>
          <w:szCs w:val="24"/>
        </w:rPr>
        <w:t>O material seco é colocado na dorna de destilação, sobre a grade</w:t>
      </w:r>
      <w:r w:rsidR="00030B04">
        <w:rPr>
          <w:rFonts w:ascii="Arial" w:hAnsi="Arial" w:cs="Arial"/>
          <w:sz w:val="24"/>
          <w:szCs w:val="24"/>
        </w:rPr>
        <w:t xml:space="preserve"> (</w:t>
      </w:r>
      <w:r w:rsidR="00387EA7">
        <w:rPr>
          <w:rFonts w:ascii="Arial" w:hAnsi="Arial" w:cs="Arial"/>
          <w:b/>
          <w:bCs/>
          <w:sz w:val="24"/>
          <w:szCs w:val="24"/>
        </w:rPr>
        <w:t>Figura 3</w:t>
      </w:r>
      <w:r w:rsidR="00030B04">
        <w:rPr>
          <w:rFonts w:ascii="Arial" w:hAnsi="Arial" w:cs="Arial"/>
          <w:sz w:val="24"/>
          <w:szCs w:val="24"/>
        </w:rPr>
        <w:t>)</w:t>
      </w:r>
      <w:r w:rsidR="00E067E6" w:rsidRPr="00E067E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(3) </w:t>
      </w:r>
      <w:r w:rsidR="00E067E6" w:rsidRPr="00E067E6">
        <w:rPr>
          <w:rFonts w:ascii="Arial" w:hAnsi="Arial" w:cs="Arial"/>
          <w:sz w:val="24"/>
          <w:szCs w:val="24"/>
        </w:rPr>
        <w:t>A caldeira é acionada, gerando vapor de água que é direcionado para a dorna de destilação.</w:t>
      </w:r>
      <w:r>
        <w:rPr>
          <w:rFonts w:ascii="Arial" w:hAnsi="Arial" w:cs="Arial"/>
          <w:sz w:val="24"/>
          <w:szCs w:val="24"/>
        </w:rPr>
        <w:t xml:space="preserve"> (4) </w:t>
      </w:r>
      <w:r w:rsidR="00E067E6" w:rsidRPr="00E067E6">
        <w:rPr>
          <w:rFonts w:ascii="Arial" w:hAnsi="Arial" w:cs="Arial"/>
          <w:sz w:val="24"/>
          <w:szCs w:val="24"/>
        </w:rPr>
        <w:t>O vapor de água atravessa o material vegetal, arrastando os compostos voláteis presentes nas plantas.</w:t>
      </w:r>
      <w:r>
        <w:rPr>
          <w:rFonts w:ascii="Arial" w:hAnsi="Arial" w:cs="Arial"/>
          <w:sz w:val="24"/>
          <w:szCs w:val="24"/>
        </w:rPr>
        <w:t xml:space="preserve"> (5) </w:t>
      </w:r>
      <w:r w:rsidR="00E067E6" w:rsidRPr="00E067E6">
        <w:rPr>
          <w:rFonts w:ascii="Arial" w:hAnsi="Arial" w:cs="Arial"/>
          <w:sz w:val="24"/>
          <w:szCs w:val="24"/>
        </w:rPr>
        <w:t>A mistura de vapor de água e compostos voláteis é direcionada para o condensador, onde é resfriada, retornando ao estado líquido.</w:t>
      </w:r>
      <w:r>
        <w:rPr>
          <w:rFonts w:ascii="Arial" w:hAnsi="Arial" w:cs="Arial"/>
          <w:sz w:val="24"/>
          <w:szCs w:val="24"/>
        </w:rPr>
        <w:t xml:space="preserve"> (6) </w:t>
      </w:r>
      <w:r w:rsidR="00E067E6" w:rsidRPr="00E067E6">
        <w:rPr>
          <w:rFonts w:ascii="Arial" w:hAnsi="Arial" w:cs="Arial"/>
          <w:sz w:val="24"/>
          <w:szCs w:val="24"/>
        </w:rPr>
        <w:t xml:space="preserve">O líquido resultante, composto por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hidrolato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e óleo essencial, é coletado e separado</w:t>
      </w:r>
      <w:r w:rsidR="00030B04">
        <w:rPr>
          <w:rFonts w:ascii="Arial" w:hAnsi="Arial" w:cs="Arial"/>
          <w:sz w:val="24"/>
          <w:szCs w:val="24"/>
        </w:rPr>
        <w:t xml:space="preserve"> em funil de separação (</w:t>
      </w:r>
      <w:r w:rsidR="009F32AF">
        <w:rPr>
          <w:rFonts w:ascii="Arial" w:hAnsi="Arial" w:cs="Arial"/>
          <w:b/>
          <w:bCs/>
          <w:sz w:val="24"/>
          <w:szCs w:val="24"/>
        </w:rPr>
        <w:t>Figura 4</w:t>
      </w:r>
      <w:r w:rsidR="00030B04">
        <w:rPr>
          <w:rFonts w:ascii="Arial" w:hAnsi="Arial" w:cs="Arial"/>
          <w:sz w:val="24"/>
          <w:szCs w:val="24"/>
        </w:rPr>
        <w:t>)</w:t>
      </w:r>
      <w:r w:rsidR="00E067E6" w:rsidRPr="00E067E6">
        <w:rPr>
          <w:rFonts w:ascii="Arial" w:hAnsi="Arial" w:cs="Arial"/>
          <w:sz w:val="24"/>
          <w:szCs w:val="24"/>
        </w:rPr>
        <w:t>.</w:t>
      </w:r>
    </w:p>
    <w:p w14:paraId="65C4997C" w14:textId="585F4362" w:rsidR="0049024E" w:rsidRDefault="00AE2018" w:rsidP="00AE2018">
      <w:pPr>
        <w:tabs>
          <w:tab w:val="num" w:pos="720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[01</w:t>
      </w:r>
      <w:r w:rsidR="001F63F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] </w:t>
      </w:r>
      <w:r w:rsidRPr="00AE2018">
        <w:rPr>
          <w:rFonts w:ascii="Arial" w:hAnsi="Arial" w:cs="Arial"/>
          <w:sz w:val="24"/>
          <w:szCs w:val="24"/>
        </w:rPr>
        <w:t>O processo de destilação utilizando o VIPER-I apresent</w:t>
      </w:r>
      <w:r w:rsidR="001F63FB">
        <w:rPr>
          <w:rFonts w:ascii="Arial" w:hAnsi="Arial" w:cs="Arial"/>
          <w:sz w:val="24"/>
          <w:szCs w:val="24"/>
        </w:rPr>
        <w:t>ou</w:t>
      </w:r>
      <w:r w:rsidRPr="00AE2018">
        <w:rPr>
          <w:rFonts w:ascii="Arial" w:hAnsi="Arial" w:cs="Arial"/>
          <w:sz w:val="24"/>
          <w:szCs w:val="24"/>
        </w:rPr>
        <w:t xml:space="preserve"> as seguintes vantagens em relação aos métodos convencionais:</w:t>
      </w:r>
      <w:r>
        <w:rPr>
          <w:rFonts w:ascii="Arial" w:hAnsi="Arial" w:cs="Arial"/>
          <w:sz w:val="24"/>
          <w:szCs w:val="24"/>
        </w:rPr>
        <w:t xml:space="preserve"> (1) </w:t>
      </w:r>
      <w:r w:rsidRPr="00AE2018">
        <w:rPr>
          <w:rFonts w:ascii="Arial" w:hAnsi="Arial" w:cs="Arial"/>
          <w:sz w:val="24"/>
          <w:szCs w:val="24"/>
        </w:rPr>
        <w:t>Redução do tempo de aquecimento: a caldeira do VIPER-I ferve a água em cerca de 40 minutos.</w:t>
      </w:r>
      <w:r>
        <w:rPr>
          <w:rFonts w:ascii="Arial" w:hAnsi="Arial" w:cs="Arial"/>
          <w:sz w:val="24"/>
          <w:szCs w:val="24"/>
        </w:rPr>
        <w:t xml:space="preserve"> (2) </w:t>
      </w:r>
      <w:r w:rsidR="00E067E6" w:rsidRPr="00E067E6">
        <w:rPr>
          <w:rFonts w:ascii="Arial" w:hAnsi="Arial" w:cs="Arial"/>
          <w:sz w:val="24"/>
          <w:szCs w:val="24"/>
        </w:rPr>
        <w:t xml:space="preserve">Aquecimento rápido da dorna: a tampa superior da dorna, preenchida com material vegetal, aquece </w:t>
      </w:r>
      <w:r w:rsidR="00BD3710">
        <w:rPr>
          <w:rFonts w:ascii="Arial" w:hAnsi="Arial" w:cs="Arial"/>
          <w:sz w:val="24"/>
          <w:szCs w:val="24"/>
        </w:rPr>
        <w:t xml:space="preserve">até a temperatura ideal </w:t>
      </w:r>
      <w:r w:rsidR="00250AF3">
        <w:rPr>
          <w:rFonts w:ascii="Arial" w:hAnsi="Arial" w:cs="Arial"/>
          <w:sz w:val="24"/>
          <w:szCs w:val="24"/>
        </w:rPr>
        <w:t xml:space="preserve">(~100 ºC) para o arraste de óleos essenciais </w:t>
      </w:r>
      <w:r w:rsidR="00BD3710">
        <w:rPr>
          <w:rFonts w:ascii="Arial" w:hAnsi="Arial" w:cs="Arial"/>
          <w:sz w:val="24"/>
          <w:szCs w:val="24"/>
        </w:rPr>
        <w:t xml:space="preserve">em </w:t>
      </w:r>
      <w:r w:rsidR="00E067E6" w:rsidRPr="00E067E6">
        <w:rPr>
          <w:rFonts w:ascii="Arial" w:hAnsi="Arial" w:cs="Arial"/>
          <w:sz w:val="24"/>
          <w:szCs w:val="24"/>
        </w:rPr>
        <w:t>poucos minutos após a vaporização.</w:t>
      </w:r>
      <w:r>
        <w:rPr>
          <w:rFonts w:ascii="Arial" w:hAnsi="Arial" w:cs="Arial"/>
          <w:sz w:val="24"/>
          <w:szCs w:val="24"/>
        </w:rPr>
        <w:t xml:space="preserve"> (3) </w:t>
      </w:r>
      <w:r w:rsidR="00E067E6" w:rsidRPr="00E067E6">
        <w:rPr>
          <w:rFonts w:ascii="Arial" w:hAnsi="Arial" w:cs="Arial"/>
          <w:sz w:val="24"/>
          <w:szCs w:val="24"/>
        </w:rPr>
        <w:t xml:space="preserve">Início rápido da condensação: o processo de condensação do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hidrolato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inicia em menos de 20 minutos.</w:t>
      </w:r>
      <w:r>
        <w:rPr>
          <w:rFonts w:ascii="Arial" w:hAnsi="Arial" w:cs="Arial"/>
          <w:sz w:val="24"/>
          <w:szCs w:val="24"/>
        </w:rPr>
        <w:t xml:space="preserve"> (4) </w:t>
      </w:r>
      <w:r w:rsidR="00BE3F40">
        <w:rPr>
          <w:rFonts w:ascii="Arial" w:hAnsi="Arial" w:cs="Arial"/>
          <w:sz w:val="24"/>
          <w:szCs w:val="24"/>
        </w:rPr>
        <w:t>P</w:t>
      </w:r>
      <w:r w:rsidR="00E067E6" w:rsidRPr="00E067E6">
        <w:rPr>
          <w:rFonts w:ascii="Arial" w:hAnsi="Arial" w:cs="Arial"/>
          <w:sz w:val="24"/>
          <w:szCs w:val="24"/>
        </w:rPr>
        <w:t xml:space="preserve">rodução </w:t>
      </w:r>
      <w:r w:rsidR="00BE3F40">
        <w:rPr>
          <w:rFonts w:ascii="Arial" w:hAnsi="Arial" w:cs="Arial"/>
          <w:sz w:val="24"/>
          <w:szCs w:val="24"/>
        </w:rPr>
        <w:t xml:space="preserve">satisfatória </w:t>
      </w:r>
      <w:r w:rsidR="00E067E6" w:rsidRPr="00E067E6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hidrolato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: o VIPER-I permite uma alta produção relativa de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hidrolato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, a uma taxa de cerca de </w:t>
      </w:r>
      <w:r w:rsidR="00250AF3">
        <w:rPr>
          <w:rFonts w:ascii="Arial" w:hAnsi="Arial" w:cs="Arial"/>
          <w:sz w:val="24"/>
          <w:szCs w:val="24"/>
        </w:rPr>
        <w:t>1</w:t>
      </w:r>
      <w:r w:rsidR="00E067E6" w:rsidRPr="00E067E6">
        <w:rPr>
          <w:rFonts w:ascii="Arial" w:hAnsi="Arial" w:cs="Arial"/>
          <w:sz w:val="24"/>
          <w:szCs w:val="24"/>
        </w:rPr>
        <w:t xml:space="preserve"> L por hora de destilação.</w:t>
      </w:r>
      <w:r>
        <w:rPr>
          <w:rFonts w:ascii="Arial" w:hAnsi="Arial" w:cs="Arial"/>
          <w:sz w:val="24"/>
          <w:szCs w:val="24"/>
        </w:rPr>
        <w:t xml:space="preserve"> (5) </w:t>
      </w:r>
      <w:r w:rsidR="00E067E6" w:rsidRPr="00E067E6">
        <w:rPr>
          <w:rFonts w:ascii="Arial" w:hAnsi="Arial" w:cs="Arial"/>
          <w:sz w:val="24"/>
          <w:szCs w:val="24"/>
        </w:rPr>
        <w:t>Bom rendimento de óleo essencial: o rendimento de óleos extraíveis por arraste a vapor é de cerca de 0,12% (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m:m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>) ou de 0,14% (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v:m</w:t>
      </w:r>
      <w:proofErr w:type="spellEnd"/>
      <w:r w:rsidR="0063574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E7582" w:rsidRPr="003E7582">
        <w:rPr>
          <w:rFonts w:ascii="Arial" w:hAnsi="Arial" w:cs="Arial"/>
          <w:sz w:val="24"/>
          <w:szCs w:val="24"/>
        </w:rPr>
        <w:t>mL</w:t>
      </w:r>
      <w:proofErr w:type="spellEnd"/>
      <w:r w:rsidR="003E7582" w:rsidRPr="003E7582">
        <w:rPr>
          <w:rFonts w:ascii="Arial" w:hAnsi="Arial" w:cs="Arial"/>
          <w:sz w:val="24"/>
          <w:szCs w:val="24"/>
        </w:rPr>
        <w:t xml:space="preserve"> g</w:t>
      </w:r>
      <w:r w:rsidR="003E7582" w:rsidRPr="003E7582">
        <w:rPr>
          <w:rFonts w:ascii="Arial" w:hAnsi="Arial" w:cs="Arial"/>
          <w:sz w:val="24"/>
          <w:szCs w:val="24"/>
          <w:vertAlign w:val="superscript"/>
        </w:rPr>
        <w:t>-1</w:t>
      </w:r>
      <w:r w:rsidR="00E067E6" w:rsidRPr="00E067E6">
        <w:rPr>
          <w:rFonts w:ascii="Arial" w:hAnsi="Arial" w:cs="Arial"/>
          <w:sz w:val="24"/>
          <w:szCs w:val="24"/>
        </w:rPr>
        <w:t xml:space="preserve">), utilizando </w:t>
      </w:r>
      <w:r w:rsidR="00E067E6" w:rsidRPr="00E067E6">
        <w:rPr>
          <w:rFonts w:ascii="Arial" w:hAnsi="Arial" w:cs="Arial"/>
          <w:sz w:val="24"/>
          <w:szCs w:val="24"/>
        </w:rPr>
        <w:lastRenderedPageBreak/>
        <w:t xml:space="preserve">folhas ainda frescas de </w:t>
      </w:r>
      <w:r w:rsidR="0031031B">
        <w:rPr>
          <w:rFonts w:ascii="Arial" w:hAnsi="Arial" w:cs="Arial"/>
          <w:sz w:val="24"/>
          <w:szCs w:val="24"/>
        </w:rPr>
        <w:t>v</w:t>
      </w:r>
      <w:r w:rsidR="00E067E6" w:rsidRPr="00E067E6">
        <w:rPr>
          <w:rFonts w:ascii="Arial" w:hAnsi="Arial" w:cs="Arial"/>
          <w:sz w:val="24"/>
          <w:szCs w:val="24"/>
        </w:rPr>
        <w:t>elame</w:t>
      </w:r>
      <w:r w:rsidR="0031031B">
        <w:rPr>
          <w:rFonts w:ascii="Arial" w:hAnsi="Arial" w:cs="Arial"/>
          <w:sz w:val="24"/>
          <w:szCs w:val="24"/>
        </w:rPr>
        <w:t xml:space="preserve">, podendo </w:t>
      </w:r>
      <w:r w:rsidR="003E7582">
        <w:rPr>
          <w:rFonts w:ascii="Arial" w:hAnsi="Arial" w:cs="Arial"/>
          <w:sz w:val="24"/>
          <w:szCs w:val="24"/>
        </w:rPr>
        <w:t xml:space="preserve">aumentar para </w:t>
      </w:r>
      <w:r w:rsidR="004F2395" w:rsidRPr="004F2395">
        <w:rPr>
          <w:rFonts w:ascii="Arial" w:hAnsi="Arial" w:cs="Arial"/>
          <w:sz w:val="24"/>
          <w:szCs w:val="24"/>
        </w:rPr>
        <w:t>0,15% (</w:t>
      </w:r>
      <w:proofErr w:type="spellStart"/>
      <w:r w:rsidR="004F2395" w:rsidRPr="004F2395">
        <w:rPr>
          <w:rFonts w:ascii="Arial" w:hAnsi="Arial" w:cs="Arial"/>
          <w:sz w:val="24"/>
          <w:szCs w:val="24"/>
        </w:rPr>
        <w:t>v:m</w:t>
      </w:r>
      <w:proofErr w:type="spellEnd"/>
      <w:r w:rsidR="00F163E8">
        <w:rPr>
          <w:rFonts w:ascii="Arial" w:hAnsi="Arial" w:cs="Arial"/>
          <w:sz w:val="24"/>
          <w:szCs w:val="24"/>
        </w:rPr>
        <w:t>,</w:t>
      </w:r>
      <w:r w:rsidR="004F2395" w:rsidRPr="004F23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2395" w:rsidRPr="004F2395">
        <w:rPr>
          <w:rFonts w:ascii="Arial" w:hAnsi="Arial" w:cs="Arial"/>
          <w:sz w:val="24"/>
          <w:szCs w:val="24"/>
        </w:rPr>
        <w:t>mL</w:t>
      </w:r>
      <w:proofErr w:type="spellEnd"/>
      <w:r w:rsidR="004F2395" w:rsidRPr="004F2395">
        <w:rPr>
          <w:rFonts w:ascii="Arial" w:hAnsi="Arial" w:cs="Arial"/>
          <w:sz w:val="24"/>
          <w:szCs w:val="24"/>
        </w:rPr>
        <w:t xml:space="preserve"> g</w:t>
      </w:r>
      <w:r w:rsidR="004F2395" w:rsidRPr="004F2395">
        <w:rPr>
          <w:rFonts w:ascii="Arial" w:hAnsi="Arial" w:cs="Arial"/>
          <w:sz w:val="24"/>
          <w:szCs w:val="24"/>
          <w:vertAlign w:val="superscript"/>
        </w:rPr>
        <w:t>-1</w:t>
      </w:r>
      <w:r w:rsidR="004F2395" w:rsidRPr="004F2395">
        <w:rPr>
          <w:rFonts w:ascii="Arial" w:hAnsi="Arial" w:cs="Arial"/>
          <w:sz w:val="24"/>
          <w:szCs w:val="24"/>
        </w:rPr>
        <w:t>)</w:t>
      </w:r>
      <w:r w:rsidR="004F2395">
        <w:rPr>
          <w:rFonts w:ascii="Arial" w:hAnsi="Arial" w:cs="Arial"/>
          <w:sz w:val="24"/>
          <w:szCs w:val="24"/>
        </w:rPr>
        <w:t xml:space="preserve"> utilizando material adequadamente desidratado</w:t>
      </w:r>
      <w:r w:rsidR="00E067E6" w:rsidRPr="00E067E6">
        <w:rPr>
          <w:rFonts w:ascii="Arial" w:hAnsi="Arial" w:cs="Arial"/>
          <w:sz w:val="24"/>
          <w:szCs w:val="24"/>
        </w:rPr>
        <w:t>.</w:t>
      </w:r>
      <w:r w:rsidR="000A1AA6">
        <w:rPr>
          <w:rFonts w:ascii="Arial" w:hAnsi="Arial" w:cs="Arial"/>
          <w:sz w:val="24"/>
          <w:szCs w:val="24"/>
        </w:rPr>
        <w:t xml:space="preserve"> </w:t>
      </w:r>
    </w:p>
    <w:p w14:paraId="4841B6B7" w14:textId="3F176C6E" w:rsidR="00E067E6" w:rsidRPr="00E067E6" w:rsidRDefault="0049024E" w:rsidP="00AE2018">
      <w:pPr>
        <w:tabs>
          <w:tab w:val="num" w:pos="720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[01</w:t>
      </w:r>
      <w:r w:rsidR="001F63FB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>Considerando as otimizações descritas anteriormente</w:t>
      </w:r>
      <w:r w:rsidR="00F7009D">
        <w:rPr>
          <w:rFonts w:ascii="Arial" w:hAnsi="Arial" w:cs="Arial"/>
          <w:sz w:val="24"/>
          <w:szCs w:val="24"/>
        </w:rPr>
        <w:t xml:space="preserve">, </w:t>
      </w:r>
      <w:r w:rsidR="007735D2">
        <w:rPr>
          <w:rFonts w:ascii="Arial" w:hAnsi="Arial" w:cs="Arial"/>
          <w:sz w:val="24"/>
          <w:szCs w:val="24"/>
        </w:rPr>
        <w:t xml:space="preserve">a partir da geração de vapores na dorna de destilação, </w:t>
      </w:r>
      <w:r w:rsidR="00F7009D">
        <w:rPr>
          <w:rFonts w:ascii="Arial" w:hAnsi="Arial" w:cs="Arial"/>
          <w:sz w:val="24"/>
          <w:szCs w:val="24"/>
        </w:rPr>
        <w:t>o processo de extração</w:t>
      </w:r>
      <w:r w:rsidR="007735D2">
        <w:rPr>
          <w:rFonts w:ascii="Arial" w:hAnsi="Arial" w:cs="Arial"/>
          <w:sz w:val="24"/>
          <w:szCs w:val="24"/>
        </w:rPr>
        <w:t xml:space="preserve"> através d</w:t>
      </w:r>
      <w:r w:rsidR="00F7009D">
        <w:rPr>
          <w:rFonts w:ascii="Arial" w:hAnsi="Arial" w:cs="Arial"/>
          <w:sz w:val="24"/>
          <w:szCs w:val="24"/>
        </w:rPr>
        <w:t xml:space="preserve">o VIPER-I </w:t>
      </w:r>
      <w:r>
        <w:rPr>
          <w:rFonts w:ascii="Arial" w:hAnsi="Arial" w:cs="Arial"/>
          <w:sz w:val="24"/>
          <w:szCs w:val="24"/>
        </w:rPr>
        <w:t xml:space="preserve">utilizando </w:t>
      </w:r>
      <w:r w:rsidR="00F7009D" w:rsidRPr="00F7009D">
        <w:rPr>
          <w:rFonts w:ascii="Arial" w:hAnsi="Arial" w:cs="Arial"/>
          <w:sz w:val="24"/>
          <w:szCs w:val="24"/>
        </w:rPr>
        <w:t xml:space="preserve">plantas </w:t>
      </w:r>
      <w:r w:rsidR="007735D2">
        <w:rPr>
          <w:rFonts w:ascii="Arial" w:hAnsi="Arial" w:cs="Arial"/>
          <w:sz w:val="24"/>
          <w:szCs w:val="24"/>
        </w:rPr>
        <w:t>d</w:t>
      </w:r>
      <w:r w:rsidR="00F7009D" w:rsidRPr="00F7009D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F7009D" w:rsidRPr="007735D2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F7009D" w:rsidRPr="00F7009D">
        <w:rPr>
          <w:rFonts w:ascii="Arial" w:hAnsi="Arial" w:cs="Arial"/>
          <w:sz w:val="24"/>
          <w:szCs w:val="24"/>
        </w:rPr>
        <w:t xml:space="preserve"> sp. desidratadas</w:t>
      </w:r>
      <w:r w:rsidR="007735D2">
        <w:rPr>
          <w:rFonts w:ascii="Arial" w:hAnsi="Arial" w:cs="Arial"/>
          <w:sz w:val="24"/>
          <w:szCs w:val="24"/>
        </w:rPr>
        <w:t xml:space="preserve"> leva entre </w:t>
      </w:r>
      <w:r w:rsidR="00F7009D" w:rsidRPr="00F7009D">
        <w:rPr>
          <w:rFonts w:ascii="Arial" w:hAnsi="Arial" w:cs="Arial"/>
          <w:sz w:val="24"/>
          <w:szCs w:val="24"/>
        </w:rPr>
        <w:t xml:space="preserve">3-4 horas </w:t>
      </w:r>
      <w:r w:rsidR="007735D2">
        <w:rPr>
          <w:rFonts w:ascii="Arial" w:hAnsi="Arial" w:cs="Arial"/>
          <w:sz w:val="24"/>
          <w:szCs w:val="24"/>
        </w:rPr>
        <w:t xml:space="preserve">para </w:t>
      </w:r>
      <w:r w:rsidR="009665B8">
        <w:rPr>
          <w:rFonts w:ascii="Arial" w:hAnsi="Arial" w:cs="Arial"/>
          <w:sz w:val="24"/>
          <w:szCs w:val="24"/>
        </w:rPr>
        <w:t>total extração dos óleos essenciais</w:t>
      </w:r>
      <w:r w:rsidR="003A30B4">
        <w:rPr>
          <w:rFonts w:ascii="Arial" w:hAnsi="Arial" w:cs="Arial"/>
          <w:sz w:val="24"/>
          <w:szCs w:val="24"/>
        </w:rPr>
        <w:t xml:space="preserve"> (principal componente ativo da formulação tratada neste relatório)</w:t>
      </w:r>
      <w:r>
        <w:rPr>
          <w:rFonts w:ascii="Arial" w:hAnsi="Arial" w:cs="Arial"/>
          <w:sz w:val="24"/>
          <w:szCs w:val="24"/>
        </w:rPr>
        <w:t>. E</w:t>
      </w:r>
      <w:r w:rsidRPr="0049024E">
        <w:rPr>
          <w:rFonts w:ascii="Arial" w:hAnsi="Arial" w:cs="Arial"/>
          <w:sz w:val="24"/>
          <w:szCs w:val="24"/>
        </w:rPr>
        <w:t xml:space="preserve">m comparação com </w:t>
      </w:r>
      <w:r w:rsidR="000F7C43">
        <w:rPr>
          <w:rFonts w:ascii="Arial" w:hAnsi="Arial" w:cs="Arial"/>
          <w:sz w:val="24"/>
          <w:szCs w:val="24"/>
        </w:rPr>
        <w:t xml:space="preserve">mecanismos </w:t>
      </w:r>
      <w:r w:rsidRPr="0049024E">
        <w:rPr>
          <w:rFonts w:ascii="Arial" w:hAnsi="Arial" w:cs="Arial"/>
          <w:sz w:val="24"/>
          <w:szCs w:val="24"/>
        </w:rPr>
        <w:t>destiladores convencionais, o VIPER-I reduz o tempo de processo em 50–60%</w:t>
      </w:r>
      <w:r w:rsidR="000F7C43">
        <w:rPr>
          <w:rFonts w:ascii="Arial" w:hAnsi="Arial" w:cs="Arial"/>
          <w:sz w:val="24"/>
          <w:szCs w:val="24"/>
        </w:rPr>
        <w:t>,</w:t>
      </w:r>
      <w:r w:rsidRPr="0049024E">
        <w:rPr>
          <w:rFonts w:ascii="Arial" w:hAnsi="Arial" w:cs="Arial"/>
          <w:sz w:val="24"/>
          <w:szCs w:val="24"/>
        </w:rPr>
        <w:t xml:space="preserve"> enquanto mantém rendimentos compatíveis com a literatura para espécies de </w:t>
      </w:r>
      <w:proofErr w:type="spellStart"/>
      <w:r w:rsidRPr="000F7C43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Pr="0049024E">
        <w:rPr>
          <w:rFonts w:ascii="Arial" w:hAnsi="Arial" w:cs="Arial"/>
          <w:sz w:val="24"/>
          <w:szCs w:val="24"/>
        </w:rPr>
        <w:t xml:space="preserve"> spp.</w:t>
      </w:r>
      <w:r w:rsidR="002861E6">
        <w:rPr>
          <w:rFonts w:ascii="Arial" w:hAnsi="Arial" w:cs="Arial"/>
          <w:sz w:val="24"/>
          <w:szCs w:val="24"/>
        </w:rPr>
        <w:t>,</w:t>
      </w:r>
      <w:r w:rsidRPr="0049024E">
        <w:rPr>
          <w:rFonts w:ascii="Arial" w:hAnsi="Arial" w:cs="Arial"/>
          <w:sz w:val="24"/>
          <w:szCs w:val="24"/>
        </w:rPr>
        <w:t xml:space="preserve"> de baixo rendimento intrínseco</w:t>
      </w:r>
      <w:r w:rsidR="002861E6" w:rsidRPr="002861E6">
        <w:rPr>
          <w:rFonts w:ascii="Arial" w:hAnsi="Arial" w:cs="Arial"/>
          <w:sz w:val="24"/>
          <w:szCs w:val="24"/>
        </w:rPr>
        <w:t xml:space="preserve">, que </w:t>
      </w:r>
      <w:r w:rsidR="00DB6E8C">
        <w:rPr>
          <w:rFonts w:ascii="Arial" w:hAnsi="Arial" w:cs="Arial"/>
          <w:sz w:val="24"/>
          <w:szCs w:val="24"/>
        </w:rPr>
        <w:t xml:space="preserve">pode </w:t>
      </w:r>
      <w:r w:rsidR="001741AD">
        <w:rPr>
          <w:rFonts w:ascii="Arial" w:hAnsi="Arial" w:cs="Arial"/>
          <w:sz w:val="24"/>
          <w:szCs w:val="24"/>
        </w:rPr>
        <w:t>extrair</w:t>
      </w:r>
      <w:r w:rsidR="00DB6E8C">
        <w:rPr>
          <w:rFonts w:ascii="Arial" w:hAnsi="Arial" w:cs="Arial"/>
          <w:sz w:val="24"/>
          <w:szCs w:val="24"/>
        </w:rPr>
        <w:t xml:space="preserve"> </w:t>
      </w:r>
      <w:r w:rsidR="008C46D7">
        <w:rPr>
          <w:rFonts w:ascii="Arial" w:hAnsi="Arial" w:cs="Arial"/>
          <w:sz w:val="24"/>
          <w:szCs w:val="24"/>
        </w:rPr>
        <w:t xml:space="preserve">apenas </w:t>
      </w:r>
      <w:r w:rsidR="002861E6" w:rsidRPr="002861E6">
        <w:rPr>
          <w:rFonts w:ascii="Arial" w:hAnsi="Arial" w:cs="Arial"/>
          <w:sz w:val="24"/>
          <w:szCs w:val="24"/>
        </w:rPr>
        <w:t xml:space="preserve">0,05% </w:t>
      </w:r>
      <w:r w:rsidR="008C46D7">
        <w:rPr>
          <w:rFonts w:ascii="Arial" w:hAnsi="Arial" w:cs="Arial"/>
          <w:sz w:val="24"/>
          <w:szCs w:val="24"/>
        </w:rPr>
        <w:t>(</w:t>
      </w:r>
      <w:proofErr w:type="spellStart"/>
      <w:r w:rsidR="008C46D7">
        <w:rPr>
          <w:rFonts w:ascii="Arial" w:hAnsi="Arial" w:cs="Arial"/>
          <w:sz w:val="24"/>
          <w:szCs w:val="24"/>
        </w:rPr>
        <w:t>m:v</w:t>
      </w:r>
      <w:proofErr w:type="spellEnd"/>
      <w:r w:rsidR="00F163E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63E8" w:rsidRPr="004F2395">
        <w:rPr>
          <w:rFonts w:ascii="Arial" w:hAnsi="Arial" w:cs="Arial"/>
          <w:sz w:val="24"/>
          <w:szCs w:val="24"/>
        </w:rPr>
        <w:t>mL</w:t>
      </w:r>
      <w:proofErr w:type="spellEnd"/>
      <w:r w:rsidR="00F163E8" w:rsidRPr="004F2395">
        <w:rPr>
          <w:rFonts w:ascii="Arial" w:hAnsi="Arial" w:cs="Arial"/>
          <w:sz w:val="24"/>
          <w:szCs w:val="24"/>
        </w:rPr>
        <w:t xml:space="preserve"> g</w:t>
      </w:r>
      <w:r w:rsidR="00F163E8" w:rsidRPr="004F2395">
        <w:rPr>
          <w:rFonts w:ascii="Arial" w:hAnsi="Arial" w:cs="Arial"/>
          <w:sz w:val="24"/>
          <w:szCs w:val="24"/>
          <w:vertAlign w:val="superscript"/>
        </w:rPr>
        <w:t>-1</w:t>
      </w:r>
      <w:r w:rsidR="008C46D7">
        <w:rPr>
          <w:rFonts w:ascii="Arial" w:hAnsi="Arial" w:cs="Arial"/>
          <w:sz w:val="24"/>
          <w:szCs w:val="24"/>
        </w:rPr>
        <w:t xml:space="preserve">) </w:t>
      </w:r>
      <w:r w:rsidR="001741AD">
        <w:rPr>
          <w:rFonts w:ascii="Arial" w:hAnsi="Arial" w:cs="Arial"/>
          <w:sz w:val="24"/>
          <w:szCs w:val="24"/>
        </w:rPr>
        <w:t xml:space="preserve">de óleo essencial </w:t>
      </w:r>
      <w:r w:rsidR="002861E6" w:rsidRPr="002861E6">
        <w:rPr>
          <w:rFonts w:ascii="Arial" w:hAnsi="Arial" w:cs="Arial"/>
          <w:sz w:val="24"/>
          <w:szCs w:val="24"/>
        </w:rPr>
        <w:t>e</w:t>
      </w:r>
      <w:r w:rsidR="001741AD">
        <w:rPr>
          <w:rFonts w:ascii="Arial" w:hAnsi="Arial" w:cs="Arial"/>
          <w:sz w:val="24"/>
          <w:szCs w:val="24"/>
        </w:rPr>
        <w:t>,</w:t>
      </w:r>
      <w:r w:rsidR="002861E6" w:rsidRPr="002861E6">
        <w:rPr>
          <w:rFonts w:ascii="Arial" w:hAnsi="Arial" w:cs="Arial"/>
          <w:sz w:val="24"/>
          <w:szCs w:val="24"/>
        </w:rPr>
        <w:t xml:space="preserve"> </w:t>
      </w:r>
      <w:r w:rsidR="008C46D7">
        <w:rPr>
          <w:rFonts w:ascii="Arial" w:hAnsi="Arial" w:cs="Arial"/>
          <w:sz w:val="24"/>
          <w:szCs w:val="24"/>
        </w:rPr>
        <w:t>raramente</w:t>
      </w:r>
      <w:r w:rsidR="001741AD">
        <w:rPr>
          <w:rFonts w:ascii="Arial" w:hAnsi="Arial" w:cs="Arial"/>
          <w:sz w:val="24"/>
          <w:szCs w:val="24"/>
        </w:rPr>
        <w:t>,</w:t>
      </w:r>
      <w:r w:rsidR="008C46D7">
        <w:rPr>
          <w:rFonts w:ascii="Arial" w:hAnsi="Arial" w:cs="Arial"/>
          <w:sz w:val="24"/>
          <w:szCs w:val="24"/>
        </w:rPr>
        <w:t xml:space="preserve"> superar 1% em obtenções por métodos laboratoriais </w:t>
      </w:r>
      <w:r w:rsidR="00243147">
        <w:rPr>
          <w:rFonts w:ascii="Arial" w:hAnsi="Arial" w:cs="Arial"/>
          <w:sz w:val="24"/>
          <w:szCs w:val="24"/>
        </w:rPr>
        <w:t>em condições altamente</w:t>
      </w:r>
      <w:r w:rsidR="008C46D7">
        <w:rPr>
          <w:rFonts w:ascii="Arial" w:hAnsi="Arial" w:cs="Arial"/>
          <w:sz w:val="24"/>
          <w:szCs w:val="24"/>
        </w:rPr>
        <w:t xml:space="preserve"> controlad</w:t>
      </w:r>
      <w:r w:rsidR="00243147">
        <w:rPr>
          <w:rFonts w:ascii="Arial" w:hAnsi="Arial" w:cs="Arial"/>
          <w:sz w:val="24"/>
          <w:szCs w:val="24"/>
        </w:rPr>
        <w:t>a</w:t>
      </w:r>
      <w:r w:rsidR="008C46D7">
        <w:rPr>
          <w:rFonts w:ascii="Arial" w:hAnsi="Arial" w:cs="Arial"/>
          <w:sz w:val="24"/>
          <w:szCs w:val="24"/>
        </w:rPr>
        <w:t xml:space="preserve">s </w:t>
      </w:r>
      <w:r w:rsidR="002861E6" w:rsidRPr="002861E6">
        <w:rPr>
          <w:rFonts w:ascii="Arial" w:hAnsi="Arial" w:cs="Arial"/>
          <w:sz w:val="24"/>
          <w:szCs w:val="24"/>
        </w:rPr>
        <w:t>(</w:t>
      </w:r>
      <w:r w:rsidRPr="0049024E">
        <w:rPr>
          <w:rFonts w:ascii="Arial" w:hAnsi="Arial" w:cs="Arial"/>
          <w:sz w:val="24"/>
          <w:szCs w:val="24"/>
        </w:rPr>
        <w:t>FERNANDE</w:t>
      </w:r>
      <w:r w:rsidR="002F1214">
        <w:rPr>
          <w:rFonts w:ascii="Arial" w:hAnsi="Arial" w:cs="Arial"/>
          <w:sz w:val="24"/>
          <w:szCs w:val="24"/>
        </w:rPr>
        <w:t>S</w:t>
      </w:r>
      <w:r w:rsidRPr="0049024E">
        <w:rPr>
          <w:rFonts w:ascii="Arial" w:hAnsi="Arial" w:cs="Arial"/>
          <w:sz w:val="24"/>
          <w:szCs w:val="24"/>
        </w:rPr>
        <w:t xml:space="preserve">, </w:t>
      </w:r>
      <w:r w:rsidR="00250A45">
        <w:rPr>
          <w:rFonts w:ascii="Arial" w:hAnsi="Arial" w:cs="Arial"/>
          <w:sz w:val="24"/>
          <w:szCs w:val="24"/>
        </w:rPr>
        <w:t>“</w:t>
      </w:r>
      <w:r w:rsidR="00543692" w:rsidRPr="00543692">
        <w:rPr>
          <w:rFonts w:ascii="Arial" w:hAnsi="Arial" w:cs="Arial"/>
          <w:sz w:val="24"/>
          <w:szCs w:val="24"/>
        </w:rPr>
        <w:t xml:space="preserve">Composição Química, Atividade Antimicrobiana e Antioxidante do Óleo Essencial de </w:t>
      </w:r>
      <w:proofErr w:type="spellStart"/>
      <w:r w:rsidR="00543692" w:rsidRPr="00F57EC5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543692" w:rsidRPr="00F57EC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543692" w:rsidRPr="00F57EC5">
        <w:rPr>
          <w:rFonts w:ascii="Arial" w:hAnsi="Arial" w:cs="Arial"/>
          <w:i/>
          <w:iCs/>
          <w:sz w:val="24"/>
          <w:szCs w:val="24"/>
        </w:rPr>
        <w:t>tetradenius</w:t>
      </w:r>
      <w:proofErr w:type="spellEnd"/>
      <w:r w:rsidR="00543692" w:rsidRPr="005436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692" w:rsidRPr="00543692">
        <w:rPr>
          <w:rFonts w:ascii="Arial" w:hAnsi="Arial" w:cs="Arial"/>
          <w:sz w:val="24"/>
          <w:szCs w:val="24"/>
        </w:rPr>
        <w:t>Baill</w:t>
      </w:r>
      <w:proofErr w:type="spellEnd"/>
      <w:r w:rsidR="00543692" w:rsidRPr="00543692">
        <w:rPr>
          <w:rFonts w:ascii="Arial" w:hAnsi="Arial" w:cs="Arial"/>
          <w:sz w:val="24"/>
          <w:szCs w:val="24"/>
        </w:rPr>
        <w:t xml:space="preserve"> (Euphorbiaceae)</w:t>
      </w:r>
      <w:r w:rsidR="00250A45">
        <w:rPr>
          <w:rFonts w:ascii="Arial" w:hAnsi="Arial" w:cs="Arial"/>
          <w:sz w:val="24"/>
          <w:szCs w:val="24"/>
        </w:rPr>
        <w:t>”</w:t>
      </w:r>
      <w:r w:rsidR="00543692">
        <w:rPr>
          <w:rFonts w:ascii="Arial" w:hAnsi="Arial" w:cs="Arial"/>
          <w:sz w:val="24"/>
          <w:szCs w:val="24"/>
        </w:rPr>
        <w:t xml:space="preserve">, Dissertação (Mestrado), </w:t>
      </w:r>
      <w:r w:rsidR="00F57EC5">
        <w:rPr>
          <w:rFonts w:ascii="Arial" w:hAnsi="Arial" w:cs="Arial"/>
          <w:sz w:val="24"/>
          <w:szCs w:val="24"/>
        </w:rPr>
        <w:t>UESB</w:t>
      </w:r>
      <w:r w:rsidR="00F75BD7">
        <w:rPr>
          <w:rFonts w:ascii="Arial" w:hAnsi="Arial" w:cs="Arial"/>
          <w:sz w:val="24"/>
          <w:szCs w:val="24"/>
        </w:rPr>
        <w:t>, 2016</w:t>
      </w:r>
      <w:r w:rsidR="00113E59">
        <w:rPr>
          <w:rFonts w:ascii="Arial" w:hAnsi="Arial" w:cs="Arial"/>
          <w:sz w:val="24"/>
          <w:szCs w:val="24"/>
        </w:rPr>
        <w:t>, 74p.</w:t>
      </w:r>
      <w:r w:rsidRPr="0049024E">
        <w:rPr>
          <w:rFonts w:ascii="Arial" w:hAnsi="Arial" w:cs="Arial"/>
          <w:sz w:val="24"/>
          <w:szCs w:val="24"/>
        </w:rPr>
        <w:t xml:space="preserve">; TORRES et al., </w:t>
      </w:r>
      <w:proofErr w:type="spellStart"/>
      <w:r w:rsidR="00463D5F" w:rsidRPr="00463D5F">
        <w:rPr>
          <w:rFonts w:ascii="Arial" w:hAnsi="Arial" w:cs="Arial"/>
          <w:sz w:val="24"/>
          <w:szCs w:val="24"/>
        </w:rPr>
        <w:t>Brazilian</w:t>
      </w:r>
      <w:proofErr w:type="spellEnd"/>
      <w:r w:rsidR="00463D5F" w:rsidRPr="00463D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D5F" w:rsidRPr="00463D5F">
        <w:rPr>
          <w:rFonts w:ascii="Arial" w:hAnsi="Arial" w:cs="Arial"/>
          <w:sz w:val="24"/>
          <w:szCs w:val="24"/>
        </w:rPr>
        <w:t>Journal</w:t>
      </w:r>
      <w:proofErr w:type="spellEnd"/>
      <w:r w:rsidR="00463D5F" w:rsidRPr="00463D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D5F" w:rsidRPr="00463D5F">
        <w:rPr>
          <w:rFonts w:ascii="Arial" w:hAnsi="Arial" w:cs="Arial"/>
          <w:sz w:val="24"/>
          <w:szCs w:val="24"/>
        </w:rPr>
        <w:t>of</w:t>
      </w:r>
      <w:proofErr w:type="spellEnd"/>
      <w:r w:rsidR="00463D5F" w:rsidRPr="00463D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3D5F" w:rsidRPr="00463D5F">
        <w:rPr>
          <w:rFonts w:ascii="Arial" w:hAnsi="Arial" w:cs="Arial"/>
          <w:sz w:val="24"/>
          <w:szCs w:val="24"/>
        </w:rPr>
        <w:t>Development</w:t>
      </w:r>
      <w:proofErr w:type="spellEnd"/>
      <w:r w:rsidR="00463D5F" w:rsidRPr="00463D5F">
        <w:rPr>
          <w:rFonts w:ascii="Arial" w:hAnsi="Arial" w:cs="Arial"/>
          <w:sz w:val="24"/>
          <w:szCs w:val="24"/>
        </w:rPr>
        <w:t>, v.7, n.</w:t>
      </w:r>
      <w:r w:rsidR="00463D5F">
        <w:rPr>
          <w:rFonts w:ascii="Arial" w:hAnsi="Arial" w:cs="Arial"/>
          <w:sz w:val="24"/>
          <w:szCs w:val="24"/>
        </w:rPr>
        <w:t xml:space="preserve"> </w:t>
      </w:r>
      <w:r w:rsidR="00463D5F" w:rsidRPr="00463D5F">
        <w:rPr>
          <w:rFonts w:ascii="Arial" w:hAnsi="Arial" w:cs="Arial"/>
          <w:sz w:val="24"/>
          <w:szCs w:val="24"/>
        </w:rPr>
        <w:t>2, p. 15862</w:t>
      </w:r>
      <w:r w:rsidR="00250A45" w:rsidRPr="00E067E6">
        <w:rPr>
          <w:rFonts w:ascii="Arial" w:hAnsi="Arial" w:cs="Arial"/>
          <w:sz w:val="24"/>
          <w:szCs w:val="24"/>
        </w:rPr>
        <w:t>–</w:t>
      </w:r>
      <w:r w:rsidR="00463D5F" w:rsidRPr="00463D5F">
        <w:rPr>
          <w:rFonts w:ascii="Arial" w:hAnsi="Arial" w:cs="Arial"/>
          <w:sz w:val="24"/>
          <w:szCs w:val="24"/>
        </w:rPr>
        <w:t>15872</w:t>
      </w:r>
      <w:r w:rsidR="00250A45">
        <w:rPr>
          <w:rFonts w:ascii="Arial" w:hAnsi="Arial" w:cs="Arial"/>
          <w:sz w:val="24"/>
          <w:szCs w:val="24"/>
        </w:rPr>
        <w:t xml:space="preserve">, </w:t>
      </w:r>
      <w:r w:rsidRPr="0049024E">
        <w:rPr>
          <w:rFonts w:ascii="Arial" w:hAnsi="Arial" w:cs="Arial"/>
          <w:sz w:val="24"/>
          <w:szCs w:val="24"/>
        </w:rPr>
        <w:t xml:space="preserve">2021). </w:t>
      </w:r>
    </w:p>
    <w:p w14:paraId="263528DA" w14:textId="78D35817" w:rsidR="00D56A59" w:rsidRDefault="00D56A59" w:rsidP="00D56A59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D56A59">
        <w:rPr>
          <w:rFonts w:ascii="Arial" w:hAnsi="Arial" w:cs="Arial"/>
          <w:sz w:val="24"/>
          <w:szCs w:val="24"/>
        </w:rPr>
        <w:t>[0</w:t>
      </w:r>
      <w:r w:rsidR="00F024F1">
        <w:rPr>
          <w:rFonts w:ascii="Arial" w:hAnsi="Arial" w:cs="Arial"/>
          <w:sz w:val="24"/>
          <w:szCs w:val="24"/>
        </w:rPr>
        <w:t>20</w:t>
      </w:r>
      <w:r w:rsidRPr="00D56A59">
        <w:rPr>
          <w:rFonts w:ascii="Arial" w:hAnsi="Arial" w:cs="Arial"/>
          <w:sz w:val="24"/>
          <w:szCs w:val="24"/>
        </w:rPr>
        <w:t>]</w:t>
      </w:r>
      <w:r w:rsidRPr="00D56A59"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>Após a obtenção dos extratos vegetais</w:t>
      </w:r>
      <w:r w:rsidR="00F100AF">
        <w:rPr>
          <w:rFonts w:ascii="Arial" w:hAnsi="Arial" w:cs="Arial"/>
          <w:sz w:val="24"/>
          <w:szCs w:val="24"/>
        </w:rPr>
        <w:t xml:space="preserve"> de velame</w:t>
      </w:r>
      <w:r w:rsidR="00632A6D">
        <w:rPr>
          <w:rFonts w:ascii="Arial" w:hAnsi="Arial" w:cs="Arial"/>
          <w:sz w:val="24"/>
          <w:szCs w:val="24"/>
        </w:rPr>
        <w:t xml:space="preserve"> (óleo essencial e </w:t>
      </w:r>
      <w:proofErr w:type="spellStart"/>
      <w:r w:rsidR="00632A6D">
        <w:rPr>
          <w:rFonts w:ascii="Arial" w:hAnsi="Arial" w:cs="Arial"/>
          <w:sz w:val="24"/>
          <w:szCs w:val="24"/>
        </w:rPr>
        <w:t>hidrolato</w:t>
      </w:r>
      <w:proofErr w:type="spellEnd"/>
      <w:r w:rsidR="00632A6D">
        <w:rPr>
          <w:rFonts w:ascii="Arial" w:hAnsi="Arial" w:cs="Arial"/>
          <w:sz w:val="24"/>
          <w:szCs w:val="24"/>
        </w:rPr>
        <w:t>)</w:t>
      </w:r>
      <w:r w:rsidR="00E067E6" w:rsidRPr="00E067E6">
        <w:rPr>
          <w:rFonts w:ascii="Arial" w:hAnsi="Arial" w:cs="Arial"/>
          <w:sz w:val="24"/>
          <w:szCs w:val="24"/>
        </w:rPr>
        <w:t>,</w:t>
      </w:r>
      <w:r w:rsidR="00F100AF">
        <w:rPr>
          <w:rFonts w:ascii="Arial" w:hAnsi="Arial" w:cs="Arial"/>
          <w:sz w:val="24"/>
          <w:szCs w:val="24"/>
        </w:rPr>
        <w:t xml:space="preserve"> </w:t>
      </w:r>
      <w:r w:rsidR="00632A6D">
        <w:rPr>
          <w:rFonts w:ascii="Arial" w:hAnsi="Arial" w:cs="Arial"/>
          <w:sz w:val="24"/>
          <w:szCs w:val="24"/>
        </w:rPr>
        <w:t>na dentre os quais</w:t>
      </w:r>
      <w:r w:rsidR="00F100AF">
        <w:rPr>
          <w:rFonts w:ascii="Arial" w:hAnsi="Arial" w:cs="Arial"/>
          <w:sz w:val="24"/>
          <w:szCs w:val="24"/>
        </w:rPr>
        <w:t xml:space="preserve"> o óleo essencial </w:t>
      </w:r>
      <w:r w:rsidR="00632A6D">
        <w:rPr>
          <w:rFonts w:ascii="Arial" w:hAnsi="Arial" w:cs="Arial"/>
          <w:sz w:val="24"/>
          <w:szCs w:val="24"/>
        </w:rPr>
        <w:t xml:space="preserve">apresentou </w:t>
      </w:r>
      <w:r w:rsidR="00F100AF">
        <w:rPr>
          <w:rFonts w:ascii="Arial" w:hAnsi="Arial" w:cs="Arial"/>
          <w:sz w:val="24"/>
          <w:szCs w:val="24"/>
        </w:rPr>
        <w:t xml:space="preserve">densidade </w:t>
      </w:r>
      <w:r w:rsidR="003773B1">
        <w:rPr>
          <w:rFonts w:ascii="Arial" w:hAnsi="Arial" w:cs="Arial"/>
          <w:sz w:val="24"/>
          <w:szCs w:val="24"/>
        </w:rPr>
        <w:t xml:space="preserve">variando entre </w:t>
      </w:r>
      <w:r w:rsidR="003773B1" w:rsidRPr="003773B1">
        <w:rPr>
          <w:rFonts w:ascii="Arial" w:hAnsi="Arial" w:cs="Arial"/>
          <w:sz w:val="24"/>
          <w:szCs w:val="24"/>
        </w:rPr>
        <w:t>0,83</w:t>
      </w:r>
      <w:r w:rsidR="003773B1">
        <w:rPr>
          <w:rFonts w:ascii="Arial" w:hAnsi="Arial" w:cs="Arial"/>
          <w:sz w:val="24"/>
          <w:szCs w:val="24"/>
        </w:rPr>
        <w:t xml:space="preserve"> e </w:t>
      </w:r>
      <w:r w:rsidR="003773B1" w:rsidRPr="003773B1">
        <w:rPr>
          <w:rFonts w:ascii="Arial" w:hAnsi="Arial" w:cs="Arial"/>
          <w:sz w:val="24"/>
          <w:szCs w:val="24"/>
        </w:rPr>
        <w:t>0</w:t>
      </w:r>
      <w:r w:rsidR="00F163E8">
        <w:rPr>
          <w:rFonts w:ascii="Arial" w:hAnsi="Arial" w:cs="Arial"/>
          <w:sz w:val="24"/>
          <w:szCs w:val="24"/>
        </w:rPr>
        <w:t>,</w:t>
      </w:r>
      <w:r w:rsidR="003773B1" w:rsidRPr="003773B1">
        <w:rPr>
          <w:rFonts w:ascii="Arial" w:hAnsi="Arial" w:cs="Arial"/>
          <w:sz w:val="24"/>
          <w:szCs w:val="24"/>
        </w:rPr>
        <w:t>85 g mL</w:t>
      </w:r>
      <w:r w:rsidR="003773B1" w:rsidRPr="00243147">
        <w:rPr>
          <w:rFonts w:ascii="Arial" w:hAnsi="Arial" w:cs="Arial"/>
          <w:sz w:val="24"/>
          <w:szCs w:val="24"/>
          <w:vertAlign w:val="superscript"/>
        </w:rPr>
        <w:t>-1</w:t>
      </w:r>
      <w:r w:rsidR="003773B1" w:rsidRPr="003773B1">
        <w:rPr>
          <w:rFonts w:ascii="Arial" w:hAnsi="Arial" w:cs="Arial"/>
          <w:sz w:val="24"/>
          <w:szCs w:val="24"/>
        </w:rPr>
        <w:t>,</w:t>
      </w:r>
      <w:r w:rsidR="00E067E6" w:rsidRPr="00E067E6">
        <w:rPr>
          <w:rFonts w:ascii="Arial" w:hAnsi="Arial" w:cs="Arial"/>
          <w:sz w:val="24"/>
          <w:szCs w:val="24"/>
        </w:rPr>
        <w:t xml:space="preserve"> </w:t>
      </w:r>
      <w:r w:rsidR="00632A6D">
        <w:rPr>
          <w:rFonts w:ascii="Arial" w:hAnsi="Arial" w:cs="Arial"/>
          <w:sz w:val="24"/>
          <w:szCs w:val="24"/>
        </w:rPr>
        <w:t>foi</w:t>
      </w:r>
      <w:r w:rsidR="00E067E6" w:rsidRPr="00E067E6">
        <w:rPr>
          <w:rFonts w:ascii="Arial" w:hAnsi="Arial" w:cs="Arial"/>
          <w:sz w:val="24"/>
          <w:szCs w:val="24"/>
        </w:rPr>
        <w:t xml:space="preserve"> realizada a formulação do produto para aplicação foliar. A formulação </w:t>
      </w:r>
      <w:r w:rsidR="00E059BF">
        <w:rPr>
          <w:rFonts w:ascii="Arial" w:hAnsi="Arial" w:cs="Arial"/>
          <w:sz w:val="24"/>
          <w:szCs w:val="24"/>
        </w:rPr>
        <w:t>foi</w:t>
      </w:r>
      <w:r w:rsidR="00E067E6" w:rsidRPr="00E067E6">
        <w:rPr>
          <w:rFonts w:ascii="Arial" w:hAnsi="Arial" w:cs="Arial"/>
          <w:sz w:val="24"/>
          <w:szCs w:val="24"/>
        </w:rPr>
        <w:t xml:space="preserve"> composta </w:t>
      </w:r>
      <w:r w:rsidR="00E059BF">
        <w:rPr>
          <w:rFonts w:ascii="Arial" w:hAnsi="Arial" w:cs="Arial"/>
          <w:sz w:val="24"/>
          <w:szCs w:val="24"/>
        </w:rPr>
        <w:t xml:space="preserve">basicamente </w:t>
      </w:r>
      <w:r w:rsidR="00E067E6" w:rsidRPr="00E067E6">
        <w:rPr>
          <w:rFonts w:ascii="Arial" w:hAnsi="Arial" w:cs="Arial"/>
          <w:sz w:val="24"/>
          <w:szCs w:val="24"/>
        </w:rPr>
        <w:t>por duas fases:</w:t>
      </w:r>
      <w:r>
        <w:rPr>
          <w:rFonts w:ascii="Arial" w:hAnsi="Arial" w:cs="Arial"/>
          <w:sz w:val="24"/>
          <w:szCs w:val="24"/>
        </w:rPr>
        <w:t xml:space="preserve"> (1) </w:t>
      </w:r>
      <w:r w:rsidRPr="00E067E6">
        <w:rPr>
          <w:rFonts w:ascii="Arial" w:hAnsi="Arial" w:cs="Arial"/>
          <w:sz w:val="24"/>
          <w:szCs w:val="24"/>
        </w:rPr>
        <w:t>Fase hidrofóbica: para diluição dos óleos essenciais e demais produtos/reagentes oleosos.</w:t>
      </w:r>
      <w:r>
        <w:rPr>
          <w:rFonts w:ascii="Arial" w:hAnsi="Arial" w:cs="Arial"/>
          <w:sz w:val="24"/>
          <w:szCs w:val="24"/>
        </w:rPr>
        <w:t xml:space="preserve"> (2) </w:t>
      </w:r>
      <w:r w:rsidRPr="00E067E6">
        <w:rPr>
          <w:rFonts w:ascii="Arial" w:hAnsi="Arial" w:cs="Arial"/>
          <w:sz w:val="24"/>
          <w:szCs w:val="24"/>
        </w:rPr>
        <w:t xml:space="preserve">Fase hidrofílica: para diluição dos </w:t>
      </w:r>
      <w:proofErr w:type="spellStart"/>
      <w:r w:rsidRPr="00E067E6">
        <w:rPr>
          <w:rFonts w:ascii="Arial" w:hAnsi="Arial" w:cs="Arial"/>
          <w:sz w:val="24"/>
          <w:szCs w:val="24"/>
        </w:rPr>
        <w:t>hidrolatos</w:t>
      </w:r>
      <w:proofErr w:type="spellEnd"/>
      <w:r w:rsidRPr="00E067E6">
        <w:rPr>
          <w:rFonts w:ascii="Arial" w:hAnsi="Arial" w:cs="Arial"/>
          <w:sz w:val="24"/>
          <w:szCs w:val="24"/>
        </w:rPr>
        <w:t xml:space="preserve"> e soluções à base de água, álcoois e outros.</w:t>
      </w:r>
      <w:r>
        <w:rPr>
          <w:rFonts w:ascii="Arial" w:hAnsi="Arial" w:cs="Arial"/>
          <w:sz w:val="24"/>
          <w:szCs w:val="24"/>
        </w:rPr>
        <w:t xml:space="preserve"> </w:t>
      </w:r>
      <w:r w:rsidR="002C3130">
        <w:rPr>
          <w:rFonts w:ascii="Arial" w:hAnsi="Arial" w:cs="Arial"/>
          <w:sz w:val="24"/>
          <w:szCs w:val="24"/>
        </w:rPr>
        <w:t>Posteriormente, a</w:t>
      </w:r>
      <w:r w:rsidRPr="00E067E6">
        <w:rPr>
          <w:rFonts w:ascii="Arial" w:hAnsi="Arial" w:cs="Arial"/>
          <w:sz w:val="24"/>
          <w:szCs w:val="24"/>
        </w:rPr>
        <w:t>s fases são misturadas e combinadas com outros ingredientes, incluindo:</w:t>
      </w:r>
      <w:r>
        <w:rPr>
          <w:rFonts w:ascii="Arial" w:hAnsi="Arial" w:cs="Arial"/>
          <w:sz w:val="24"/>
          <w:szCs w:val="24"/>
        </w:rPr>
        <w:t xml:space="preserve"> (1) </w:t>
      </w:r>
      <w:r w:rsidRPr="00D56A59">
        <w:rPr>
          <w:rFonts w:ascii="Arial" w:hAnsi="Arial" w:cs="Arial"/>
          <w:sz w:val="24"/>
          <w:szCs w:val="24"/>
        </w:rPr>
        <w:t>Surfactantes: para melhorar a aderência do produto às plantas.</w:t>
      </w:r>
      <w:r>
        <w:rPr>
          <w:rFonts w:ascii="Arial" w:hAnsi="Arial" w:cs="Arial"/>
          <w:sz w:val="24"/>
          <w:szCs w:val="24"/>
        </w:rPr>
        <w:t xml:space="preserve"> (2) </w:t>
      </w:r>
      <w:r w:rsidRPr="00D56A59">
        <w:rPr>
          <w:rFonts w:ascii="Arial" w:hAnsi="Arial" w:cs="Arial"/>
          <w:sz w:val="24"/>
          <w:szCs w:val="24"/>
        </w:rPr>
        <w:t>Estabilizantes: para prolongar a vida útil do produto</w:t>
      </w:r>
      <w:r>
        <w:rPr>
          <w:rFonts w:ascii="Arial" w:hAnsi="Arial" w:cs="Arial"/>
          <w:sz w:val="24"/>
          <w:szCs w:val="24"/>
        </w:rPr>
        <w:t xml:space="preserve">. </w:t>
      </w:r>
      <w:r w:rsidRPr="00E067E6">
        <w:rPr>
          <w:rFonts w:ascii="Arial" w:hAnsi="Arial" w:cs="Arial"/>
          <w:sz w:val="24"/>
          <w:szCs w:val="24"/>
        </w:rPr>
        <w:t xml:space="preserve">O produto </w:t>
      </w:r>
      <w:r>
        <w:rPr>
          <w:rFonts w:ascii="Arial" w:hAnsi="Arial" w:cs="Arial"/>
          <w:sz w:val="24"/>
          <w:szCs w:val="24"/>
        </w:rPr>
        <w:t xml:space="preserve">resultante </w:t>
      </w:r>
      <w:r w:rsidRPr="00E067E6">
        <w:rPr>
          <w:rFonts w:ascii="Arial" w:hAnsi="Arial" w:cs="Arial"/>
          <w:sz w:val="24"/>
          <w:szCs w:val="24"/>
        </w:rPr>
        <w:t xml:space="preserve">é um líquido </w:t>
      </w:r>
      <w:r w:rsidR="00620350">
        <w:rPr>
          <w:rFonts w:ascii="Arial" w:hAnsi="Arial" w:cs="Arial"/>
          <w:sz w:val="24"/>
          <w:szCs w:val="24"/>
        </w:rPr>
        <w:t xml:space="preserve">branco </w:t>
      </w:r>
      <w:r w:rsidRPr="00E067E6">
        <w:rPr>
          <w:rFonts w:ascii="Arial" w:hAnsi="Arial" w:cs="Arial"/>
          <w:sz w:val="24"/>
          <w:szCs w:val="24"/>
        </w:rPr>
        <w:t>homogêneo</w:t>
      </w:r>
      <w:r w:rsidR="00620350">
        <w:rPr>
          <w:rFonts w:ascii="Arial" w:hAnsi="Arial" w:cs="Arial"/>
          <w:sz w:val="24"/>
          <w:szCs w:val="24"/>
        </w:rPr>
        <w:t xml:space="preserve"> (</w:t>
      </w:r>
      <w:r w:rsidR="00620350" w:rsidRPr="00620350">
        <w:rPr>
          <w:rFonts w:ascii="Arial" w:hAnsi="Arial" w:cs="Arial"/>
          <w:b/>
          <w:bCs/>
          <w:sz w:val="24"/>
          <w:szCs w:val="24"/>
        </w:rPr>
        <w:t>Figura 5</w:t>
      </w:r>
      <w:r w:rsidR="00620350">
        <w:rPr>
          <w:rFonts w:ascii="Arial" w:hAnsi="Arial" w:cs="Arial"/>
          <w:sz w:val="24"/>
          <w:szCs w:val="24"/>
        </w:rPr>
        <w:t>)</w:t>
      </w:r>
      <w:r w:rsidRPr="00E067E6">
        <w:rPr>
          <w:rFonts w:ascii="Arial" w:hAnsi="Arial" w:cs="Arial"/>
          <w:sz w:val="24"/>
          <w:szCs w:val="24"/>
        </w:rPr>
        <w:t>, de fácil aplicação e com boa adesão às folhas da planta</w:t>
      </w:r>
      <w:r w:rsidR="00F163E8">
        <w:rPr>
          <w:rFonts w:ascii="Arial" w:hAnsi="Arial" w:cs="Arial"/>
          <w:sz w:val="24"/>
          <w:szCs w:val="24"/>
        </w:rPr>
        <w:t xml:space="preserve"> (</w:t>
      </w:r>
      <w:r w:rsidR="00016F79">
        <w:rPr>
          <w:rFonts w:ascii="Arial" w:hAnsi="Arial" w:cs="Arial"/>
          <w:b/>
          <w:bCs/>
          <w:sz w:val="24"/>
          <w:szCs w:val="24"/>
        </w:rPr>
        <w:t xml:space="preserve">Figura </w:t>
      </w:r>
      <w:r w:rsidR="00620350">
        <w:rPr>
          <w:rFonts w:ascii="Arial" w:hAnsi="Arial" w:cs="Arial"/>
          <w:b/>
          <w:bCs/>
          <w:sz w:val="24"/>
          <w:szCs w:val="24"/>
        </w:rPr>
        <w:t>6</w:t>
      </w:r>
      <w:r w:rsidR="00F163E8">
        <w:rPr>
          <w:rFonts w:ascii="Arial" w:hAnsi="Arial" w:cs="Arial"/>
          <w:sz w:val="24"/>
          <w:szCs w:val="24"/>
        </w:rPr>
        <w:t>)</w:t>
      </w:r>
      <w:r w:rsidRPr="00E067E6">
        <w:rPr>
          <w:rFonts w:ascii="Arial" w:hAnsi="Arial" w:cs="Arial"/>
          <w:sz w:val="24"/>
          <w:szCs w:val="24"/>
        </w:rPr>
        <w:t xml:space="preserve">. </w:t>
      </w:r>
      <w:r w:rsidR="00851387" w:rsidRPr="00851387">
        <w:rPr>
          <w:rFonts w:ascii="Arial" w:hAnsi="Arial" w:cs="Arial"/>
          <w:sz w:val="24"/>
          <w:szCs w:val="24"/>
        </w:rPr>
        <w:t>A aplicação é realizada por pulverização foliar, com diluições apropriadas (entre 1:50 e 1:100), utilizando equipamentos convencionais, como pulverizadores costais (20 L) ou sistemas de pulverização mecanizada acoplados a tratores</w:t>
      </w:r>
      <w:r w:rsidRPr="00E067E6">
        <w:rPr>
          <w:rFonts w:ascii="Arial" w:hAnsi="Arial" w:cs="Arial"/>
          <w:sz w:val="24"/>
          <w:szCs w:val="24"/>
        </w:rPr>
        <w:t>.</w:t>
      </w:r>
      <w:r w:rsidR="003B6C83">
        <w:rPr>
          <w:rFonts w:ascii="Arial" w:hAnsi="Arial" w:cs="Arial"/>
          <w:sz w:val="24"/>
          <w:szCs w:val="24"/>
        </w:rPr>
        <w:t xml:space="preserve"> Para fins </w:t>
      </w:r>
      <w:r w:rsidR="00EB312A">
        <w:rPr>
          <w:rFonts w:ascii="Arial" w:hAnsi="Arial" w:cs="Arial"/>
          <w:sz w:val="24"/>
          <w:szCs w:val="24"/>
        </w:rPr>
        <w:t>práticos, o produto formulado objeto desta patente foi denominado de “</w:t>
      </w:r>
      <w:proofErr w:type="spellStart"/>
      <w:r w:rsidR="00EB312A">
        <w:rPr>
          <w:rFonts w:ascii="Arial" w:hAnsi="Arial" w:cs="Arial"/>
          <w:sz w:val="24"/>
          <w:szCs w:val="24"/>
        </w:rPr>
        <w:t>FerExtrat</w:t>
      </w:r>
      <w:proofErr w:type="spellEnd"/>
      <w:r w:rsidR="00EB312A">
        <w:rPr>
          <w:rFonts w:ascii="Arial" w:hAnsi="Arial" w:cs="Arial"/>
          <w:sz w:val="24"/>
          <w:szCs w:val="24"/>
        </w:rPr>
        <w:t>”.</w:t>
      </w:r>
    </w:p>
    <w:p w14:paraId="0B18FAA2" w14:textId="77777777" w:rsidR="003A14C9" w:rsidRDefault="003A14C9" w:rsidP="00D56A59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3F6841" w14:textId="77777777" w:rsidR="003A14C9" w:rsidRPr="00E067E6" w:rsidRDefault="003A14C9" w:rsidP="00D56A59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7E837E" w14:textId="77777777" w:rsidR="00E067E6" w:rsidRPr="00E067E6" w:rsidRDefault="00E067E6" w:rsidP="00BB4B9F">
      <w:pPr>
        <w:tabs>
          <w:tab w:val="num" w:pos="720"/>
        </w:tabs>
        <w:spacing w:before="240"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067E6">
        <w:rPr>
          <w:rFonts w:ascii="Arial" w:hAnsi="Arial" w:cs="Arial"/>
          <w:b/>
          <w:bCs/>
          <w:sz w:val="24"/>
          <w:szCs w:val="24"/>
        </w:rPr>
        <w:lastRenderedPageBreak/>
        <w:t>Exemplos de concretizações da invenção</w:t>
      </w:r>
    </w:p>
    <w:p w14:paraId="02874415" w14:textId="735732DA" w:rsidR="00E067E6" w:rsidRDefault="00F14D81" w:rsidP="00BB4B9F">
      <w:pPr>
        <w:tabs>
          <w:tab w:val="num" w:pos="720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</w:t>
      </w:r>
      <w:r w:rsidR="00F024F1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 xml:space="preserve">Para demonstrar a eficácia do produto e processo da presente invenção, foram realizados testes </w:t>
      </w:r>
      <w:r w:rsidR="00E067E6" w:rsidRPr="00F14D81">
        <w:rPr>
          <w:rFonts w:ascii="Arial" w:hAnsi="Arial" w:cs="Arial"/>
          <w:i/>
          <w:iCs/>
          <w:sz w:val="24"/>
          <w:szCs w:val="24"/>
        </w:rPr>
        <w:t>in vitro</w:t>
      </w:r>
      <w:r w:rsidR="00E067E6" w:rsidRPr="00E067E6">
        <w:rPr>
          <w:rFonts w:ascii="Arial" w:hAnsi="Arial" w:cs="Arial"/>
          <w:sz w:val="24"/>
          <w:szCs w:val="24"/>
        </w:rPr>
        <w:t xml:space="preserve"> contra os patógenos </w:t>
      </w:r>
      <w:proofErr w:type="spellStart"/>
      <w:r w:rsidR="00E067E6" w:rsidRPr="009D6086">
        <w:rPr>
          <w:rFonts w:ascii="Arial" w:hAnsi="Arial" w:cs="Arial"/>
          <w:i/>
          <w:iCs/>
          <w:sz w:val="24"/>
          <w:szCs w:val="24"/>
        </w:rPr>
        <w:t>Colletotrichum</w:t>
      </w:r>
      <w:proofErr w:type="spellEnd"/>
      <w:r w:rsidR="00E067E6" w:rsidRPr="009D608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E067E6" w:rsidRPr="009D6086">
        <w:rPr>
          <w:rFonts w:ascii="Arial" w:hAnsi="Arial" w:cs="Arial"/>
          <w:i/>
          <w:iCs/>
          <w:sz w:val="24"/>
          <w:szCs w:val="24"/>
        </w:rPr>
        <w:t>gloeosporioides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067E6" w:rsidRPr="009D6086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sp., principais causadores da antracnose e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fusariose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na cultura da mandioca</w:t>
      </w:r>
      <w:r w:rsidR="009D6086">
        <w:rPr>
          <w:rFonts w:ascii="Arial" w:hAnsi="Arial" w:cs="Arial"/>
          <w:sz w:val="24"/>
          <w:szCs w:val="24"/>
        </w:rPr>
        <w:t>, respectivamente</w:t>
      </w:r>
      <w:r w:rsidR="00E067E6" w:rsidRPr="00E067E6">
        <w:rPr>
          <w:rFonts w:ascii="Arial" w:hAnsi="Arial" w:cs="Arial"/>
          <w:sz w:val="24"/>
          <w:szCs w:val="24"/>
        </w:rPr>
        <w:t>.</w:t>
      </w:r>
      <w:r w:rsidR="00C906BD">
        <w:rPr>
          <w:rFonts w:ascii="Arial" w:hAnsi="Arial" w:cs="Arial"/>
          <w:sz w:val="24"/>
          <w:szCs w:val="24"/>
        </w:rPr>
        <w:t xml:space="preserve"> </w:t>
      </w:r>
      <w:r w:rsidR="00A46EAD">
        <w:rPr>
          <w:rFonts w:ascii="Arial" w:hAnsi="Arial" w:cs="Arial"/>
          <w:sz w:val="24"/>
          <w:szCs w:val="24"/>
        </w:rPr>
        <w:t xml:space="preserve">Esses patógenos foram isolados de tecidos infectados de plantas de mandioca </w:t>
      </w:r>
      <w:r w:rsidR="007C36A1">
        <w:rPr>
          <w:rFonts w:ascii="Arial" w:hAnsi="Arial" w:cs="Arial"/>
          <w:sz w:val="24"/>
          <w:szCs w:val="24"/>
        </w:rPr>
        <w:t>em cultivos situados no município de São João, PE</w:t>
      </w:r>
      <w:r w:rsidR="00520E31">
        <w:rPr>
          <w:rFonts w:ascii="Arial" w:hAnsi="Arial" w:cs="Arial"/>
          <w:sz w:val="24"/>
          <w:szCs w:val="24"/>
        </w:rPr>
        <w:t>, Brasil</w:t>
      </w:r>
      <w:r w:rsidR="007C36A1">
        <w:rPr>
          <w:rFonts w:ascii="Arial" w:hAnsi="Arial" w:cs="Arial"/>
          <w:sz w:val="24"/>
          <w:szCs w:val="24"/>
        </w:rPr>
        <w:t xml:space="preserve">. </w:t>
      </w:r>
    </w:p>
    <w:p w14:paraId="217FB6DE" w14:textId="3D29EEA6" w:rsidR="000E0F17" w:rsidRDefault="000E0F17" w:rsidP="00B33CF0">
      <w:pPr>
        <w:tabs>
          <w:tab w:val="num" w:pos="720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[02</w:t>
      </w:r>
      <w:r w:rsidR="00F024F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4564EA" w:rsidRPr="004564EA">
        <w:rPr>
          <w:rFonts w:ascii="Arial" w:hAnsi="Arial" w:cs="Arial"/>
          <w:sz w:val="24"/>
          <w:szCs w:val="24"/>
        </w:rPr>
        <w:t xml:space="preserve">Visando a identificação precisa dos isolados fúngicos, quatro </w:t>
      </w:r>
      <w:r w:rsidR="006A4EED">
        <w:rPr>
          <w:rFonts w:ascii="Arial" w:hAnsi="Arial" w:cs="Arial"/>
          <w:sz w:val="24"/>
          <w:szCs w:val="24"/>
        </w:rPr>
        <w:t>isolado</w:t>
      </w:r>
      <w:r w:rsidR="004564EA" w:rsidRPr="004564EA">
        <w:rPr>
          <w:rFonts w:ascii="Arial" w:hAnsi="Arial" w:cs="Arial"/>
          <w:sz w:val="24"/>
          <w:szCs w:val="24"/>
        </w:rPr>
        <w:t xml:space="preserve"> foram </w:t>
      </w:r>
      <w:r w:rsidR="006A4EED" w:rsidRPr="004564EA">
        <w:rPr>
          <w:rFonts w:ascii="Arial" w:hAnsi="Arial" w:cs="Arial"/>
          <w:sz w:val="24"/>
          <w:szCs w:val="24"/>
        </w:rPr>
        <w:t>selecionados e encaminhados</w:t>
      </w:r>
      <w:r w:rsidR="004564EA" w:rsidRPr="004564EA">
        <w:rPr>
          <w:rFonts w:ascii="Arial" w:hAnsi="Arial" w:cs="Arial"/>
          <w:sz w:val="24"/>
          <w:szCs w:val="24"/>
        </w:rPr>
        <w:t xml:space="preserve"> ao Laboratório de Biologia Molecular Aplicada da Universidade Federal de Pernambuco (UFPE). Nesse laboratório, foram construídas bibliotecas de </w:t>
      </w:r>
      <w:proofErr w:type="spellStart"/>
      <w:r w:rsidR="004564EA" w:rsidRPr="00D207D5">
        <w:rPr>
          <w:rFonts w:ascii="Arial" w:hAnsi="Arial" w:cs="Arial"/>
          <w:i/>
          <w:iCs/>
          <w:sz w:val="24"/>
          <w:szCs w:val="24"/>
        </w:rPr>
        <w:t>amplicons</w:t>
      </w:r>
      <w:proofErr w:type="spellEnd"/>
      <w:r w:rsidR="004564EA" w:rsidRPr="004564EA">
        <w:rPr>
          <w:rFonts w:ascii="Arial" w:hAnsi="Arial" w:cs="Arial"/>
          <w:sz w:val="24"/>
          <w:szCs w:val="24"/>
        </w:rPr>
        <w:t xml:space="preserve"> dos genes ITS (White et al., </w:t>
      </w:r>
      <w:r w:rsidR="00ED1B8C">
        <w:rPr>
          <w:rFonts w:ascii="Arial" w:hAnsi="Arial" w:cs="Arial"/>
          <w:sz w:val="24"/>
          <w:szCs w:val="24"/>
        </w:rPr>
        <w:t xml:space="preserve">PCR - </w:t>
      </w:r>
      <w:proofErr w:type="spellStart"/>
      <w:r w:rsidR="00991F03" w:rsidRPr="00991F03">
        <w:rPr>
          <w:rFonts w:ascii="Arial" w:hAnsi="Arial" w:cs="Arial"/>
          <w:sz w:val="24"/>
          <w:szCs w:val="24"/>
        </w:rPr>
        <w:t>Protocols</w:t>
      </w:r>
      <w:proofErr w:type="spellEnd"/>
      <w:r w:rsidR="00991F03" w:rsidRPr="00991F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1F03" w:rsidRPr="00991F03">
        <w:rPr>
          <w:rFonts w:ascii="Arial" w:hAnsi="Arial" w:cs="Arial"/>
          <w:sz w:val="24"/>
          <w:szCs w:val="24"/>
        </w:rPr>
        <w:t>and</w:t>
      </w:r>
      <w:proofErr w:type="spellEnd"/>
      <w:r w:rsidR="00991F03" w:rsidRPr="00991F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1F03" w:rsidRPr="00991F03">
        <w:rPr>
          <w:rFonts w:ascii="Arial" w:hAnsi="Arial" w:cs="Arial"/>
          <w:sz w:val="24"/>
          <w:szCs w:val="24"/>
        </w:rPr>
        <w:t>Applications</w:t>
      </w:r>
      <w:proofErr w:type="spellEnd"/>
      <w:r w:rsidR="00991F03" w:rsidRPr="00991F03">
        <w:rPr>
          <w:rFonts w:ascii="Arial" w:hAnsi="Arial" w:cs="Arial"/>
          <w:sz w:val="24"/>
          <w:szCs w:val="24"/>
        </w:rPr>
        <w:t xml:space="preserve"> - A </w:t>
      </w:r>
      <w:proofErr w:type="spellStart"/>
      <w:r w:rsidR="00991F03" w:rsidRPr="00991F03">
        <w:rPr>
          <w:rFonts w:ascii="Arial" w:hAnsi="Arial" w:cs="Arial"/>
          <w:sz w:val="24"/>
          <w:szCs w:val="24"/>
        </w:rPr>
        <w:t>Laboratory</w:t>
      </w:r>
      <w:proofErr w:type="spellEnd"/>
      <w:r w:rsidR="00991F03" w:rsidRPr="00991F03">
        <w:rPr>
          <w:rFonts w:ascii="Arial" w:hAnsi="Arial" w:cs="Arial"/>
          <w:sz w:val="24"/>
          <w:szCs w:val="24"/>
        </w:rPr>
        <w:t xml:space="preserve"> Manual</w:t>
      </w:r>
      <w:r w:rsidR="00991F03">
        <w:rPr>
          <w:rFonts w:ascii="Arial" w:hAnsi="Arial" w:cs="Arial"/>
          <w:sz w:val="24"/>
          <w:szCs w:val="24"/>
        </w:rPr>
        <w:t xml:space="preserve">, p. </w:t>
      </w:r>
      <w:r w:rsidR="00991F03" w:rsidRPr="00991F03">
        <w:rPr>
          <w:rFonts w:ascii="Arial" w:hAnsi="Arial" w:cs="Arial"/>
          <w:sz w:val="24"/>
          <w:szCs w:val="24"/>
        </w:rPr>
        <w:t>315</w:t>
      </w:r>
      <w:r w:rsidR="00991F03" w:rsidRPr="00E067E6">
        <w:rPr>
          <w:rFonts w:ascii="Arial" w:hAnsi="Arial" w:cs="Arial"/>
          <w:sz w:val="24"/>
          <w:szCs w:val="24"/>
        </w:rPr>
        <w:t>–</w:t>
      </w:r>
      <w:r w:rsidR="00991F03" w:rsidRPr="00991F03">
        <w:rPr>
          <w:rFonts w:ascii="Arial" w:hAnsi="Arial" w:cs="Arial"/>
          <w:sz w:val="24"/>
          <w:szCs w:val="24"/>
        </w:rPr>
        <w:t>322</w:t>
      </w:r>
      <w:r w:rsidR="00991F03">
        <w:rPr>
          <w:rFonts w:ascii="Arial" w:hAnsi="Arial" w:cs="Arial"/>
          <w:sz w:val="24"/>
          <w:szCs w:val="24"/>
        </w:rPr>
        <w:t xml:space="preserve">, </w:t>
      </w:r>
      <w:r w:rsidR="004564EA" w:rsidRPr="004564EA">
        <w:rPr>
          <w:rFonts w:ascii="Arial" w:hAnsi="Arial" w:cs="Arial"/>
          <w:sz w:val="24"/>
          <w:szCs w:val="24"/>
        </w:rPr>
        <w:t>1990) e RPB2 (</w:t>
      </w:r>
      <w:r w:rsidR="00CD11C3" w:rsidRPr="004564EA">
        <w:rPr>
          <w:rFonts w:ascii="Arial" w:hAnsi="Arial" w:cs="Arial"/>
          <w:sz w:val="24"/>
          <w:szCs w:val="24"/>
        </w:rPr>
        <w:t xml:space="preserve">LIU </w:t>
      </w:r>
      <w:r w:rsidR="004564EA" w:rsidRPr="004564EA">
        <w:rPr>
          <w:rFonts w:ascii="Arial" w:hAnsi="Arial" w:cs="Arial"/>
          <w:sz w:val="24"/>
          <w:szCs w:val="24"/>
        </w:rPr>
        <w:t xml:space="preserve">et al., </w:t>
      </w:r>
      <w:r w:rsidR="00CD11C3" w:rsidRPr="00CD11C3">
        <w:rPr>
          <w:rFonts w:ascii="Arial" w:hAnsi="Arial" w:cs="Arial"/>
          <w:sz w:val="24"/>
          <w:szCs w:val="24"/>
        </w:rPr>
        <w:t xml:space="preserve">Molecular </w:t>
      </w:r>
      <w:proofErr w:type="spellStart"/>
      <w:r w:rsidR="00CD11C3" w:rsidRPr="00CD11C3">
        <w:rPr>
          <w:rFonts w:ascii="Arial" w:hAnsi="Arial" w:cs="Arial"/>
          <w:sz w:val="24"/>
          <w:szCs w:val="24"/>
        </w:rPr>
        <w:t>Biology</w:t>
      </w:r>
      <w:proofErr w:type="spellEnd"/>
      <w:r w:rsidR="00CD11C3" w:rsidRPr="00CD11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11C3" w:rsidRPr="00CD11C3">
        <w:rPr>
          <w:rFonts w:ascii="Arial" w:hAnsi="Arial" w:cs="Arial"/>
          <w:sz w:val="24"/>
          <w:szCs w:val="24"/>
        </w:rPr>
        <w:t>and</w:t>
      </w:r>
      <w:proofErr w:type="spellEnd"/>
      <w:r w:rsidR="00CD11C3" w:rsidRPr="00CD11C3">
        <w:rPr>
          <w:rFonts w:ascii="Arial" w:hAnsi="Arial" w:cs="Arial"/>
          <w:sz w:val="24"/>
          <w:szCs w:val="24"/>
        </w:rPr>
        <w:t xml:space="preserve"> Evolution</w:t>
      </w:r>
      <w:r w:rsidR="00CD11C3">
        <w:rPr>
          <w:rFonts w:ascii="Arial" w:hAnsi="Arial" w:cs="Arial"/>
          <w:sz w:val="24"/>
          <w:szCs w:val="24"/>
        </w:rPr>
        <w:t xml:space="preserve">, v. </w:t>
      </w:r>
      <w:r w:rsidR="00152599" w:rsidRPr="00152599">
        <w:rPr>
          <w:rFonts w:ascii="Arial" w:hAnsi="Arial" w:cs="Arial"/>
          <w:sz w:val="24"/>
          <w:szCs w:val="24"/>
        </w:rPr>
        <w:t>16</w:t>
      </w:r>
      <w:r w:rsidR="00CD11C3">
        <w:rPr>
          <w:rFonts w:ascii="Arial" w:hAnsi="Arial" w:cs="Arial"/>
          <w:sz w:val="24"/>
          <w:szCs w:val="24"/>
        </w:rPr>
        <w:t xml:space="preserve">, n. </w:t>
      </w:r>
      <w:r w:rsidR="00152599" w:rsidRPr="00152599">
        <w:rPr>
          <w:rFonts w:ascii="Arial" w:hAnsi="Arial" w:cs="Arial"/>
          <w:sz w:val="24"/>
          <w:szCs w:val="24"/>
        </w:rPr>
        <w:t>12</w:t>
      </w:r>
      <w:r w:rsidR="00152599">
        <w:rPr>
          <w:rFonts w:ascii="Arial" w:hAnsi="Arial" w:cs="Arial"/>
          <w:sz w:val="24"/>
          <w:szCs w:val="24"/>
        </w:rPr>
        <w:t xml:space="preserve">, p. </w:t>
      </w:r>
      <w:r w:rsidR="00152599" w:rsidRPr="00152599">
        <w:rPr>
          <w:rFonts w:ascii="Arial" w:hAnsi="Arial" w:cs="Arial"/>
          <w:sz w:val="24"/>
          <w:szCs w:val="24"/>
        </w:rPr>
        <w:t>1799-1808</w:t>
      </w:r>
      <w:r w:rsidR="00152599">
        <w:rPr>
          <w:rFonts w:ascii="Arial" w:hAnsi="Arial" w:cs="Arial"/>
          <w:sz w:val="24"/>
          <w:szCs w:val="24"/>
        </w:rPr>
        <w:t xml:space="preserve">, </w:t>
      </w:r>
      <w:r w:rsidR="004564EA" w:rsidRPr="004564EA">
        <w:rPr>
          <w:rFonts w:ascii="Arial" w:hAnsi="Arial" w:cs="Arial"/>
          <w:sz w:val="24"/>
          <w:szCs w:val="24"/>
        </w:rPr>
        <w:t>2000), que foram então submetidas ao sequenciamento genético na plataforma Sanger (ABI 3500xl, UFPE)</w:t>
      </w:r>
      <w:r w:rsidR="001F6DB1">
        <w:rPr>
          <w:rFonts w:ascii="Arial" w:hAnsi="Arial" w:cs="Arial"/>
          <w:sz w:val="24"/>
          <w:szCs w:val="24"/>
        </w:rPr>
        <w:t>.</w:t>
      </w:r>
      <w:r w:rsidR="001F6DB1" w:rsidRPr="001F6DB1">
        <w:rPr>
          <w:rFonts w:ascii="Arial" w:hAnsi="Arial" w:cs="Arial"/>
          <w:sz w:val="24"/>
          <w:szCs w:val="24"/>
        </w:rPr>
        <w:t xml:space="preserve"> </w:t>
      </w:r>
      <w:r w:rsidR="001F6DB1">
        <w:rPr>
          <w:rFonts w:ascii="Arial" w:hAnsi="Arial" w:cs="Arial"/>
          <w:sz w:val="24"/>
          <w:szCs w:val="24"/>
        </w:rPr>
        <w:t xml:space="preserve">Em seguida, utilizando o software </w:t>
      </w:r>
      <w:r w:rsidR="00272730" w:rsidRPr="00272730">
        <w:rPr>
          <w:rFonts w:ascii="Arial" w:hAnsi="Arial" w:cs="Arial"/>
          <w:sz w:val="24"/>
          <w:szCs w:val="24"/>
        </w:rPr>
        <w:t>MEGA11,</w:t>
      </w:r>
      <w:r w:rsidR="00272730">
        <w:rPr>
          <w:rFonts w:ascii="Arial" w:hAnsi="Arial" w:cs="Arial"/>
          <w:sz w:val="24"/>
          <w:szCs w:val="24"/>
        </w:rPr>
        <w:t xml:space="preserve"> as sequ</w:t>
      </w:r>
      <w:r w:rsidR="006A4EED">
        <w:rPr>
          <w:rFonts w:ascii="Arial" w:hAnsi="Arial" w:cs="Arial"/>
          <w:sz w:val="24"/>
          <w:szCs w:val="24"/>
        </w:rPr>
        <w:t>ê</w:t>
      </w:r>
      <w:r w:rsidR="00272730">
        <w:rPr>
          <w:rFonts w:ascii="Arial" w:hAnsi="Arial" w:cs="Arial"/>
          <w:sz w:val="24"/>
          <w:szCs w:val="24"/>
        </w:rPr>
        <w:t xml:space="preserve">ncias foram comparadas </w:t>
      </w:r>
      <w:r w:rsidR="006A4EED">
        <w:rPr>
          <w:rFonts w:ascii="Arial" w:hAnsi="Arial" w:cs="Arial"/>
          <w:sz w:val="24"/>
          <w:szCs w:val="24"/>
        </w:rPr>
        <w:t>com outras pertencentes a</w:t>
      </w:r>
      <w:r w:rsidR="00272730">
        <w:rPr>
          <w:rFonts w:ascii="Arial" w:hAnsi="Arial" w:cs="Arial"/>
          <w:sz w:val="24"/>
          <w:szCs w:val="24"/>
        </w:rPr>
        <w:t xml:space="preserve">o banco de dados </w:t>
      </w:r>
      <w:r w:rsidR="00267C58">
        <w:rPr>
          <w:rFonts w:ascii="Arial" w:hAnsi="Arial" w:cs="Arial"/>
          <w:sz w:val="24"/>
          <w:szCs w:val="24"/>
        </w:rPr>
        <w:t xml:space="preserve">do </w:t>
      </w:r>
      <w:r w:rsidR="00267C58" w:rsidRPr="00267C58">
        <w:rPr>
          <w:rFonts w:ascii="Arial" w:hAnsi="Arial" w:cs="Arial"/>
          <w:sz w:val="24"/>
          <w:szCs w:val="24"/>
        </w:rPr>
        <w:t>NCBI (</w:t>
      </w:r>
      <w:proofErr w:type="spellStart"/>
      <w:r w:rsidR="00267C58" w:rsidRPr="00267C58">
        <w:rPr>
          <w:rFonts w:ascii="Arial" w:hAnsi="Arial" w:cs="Arial"/>
          <w:sz w:val="24"/>
          <w:szCs w:val="24"/>
        </w:rPr>
        <w:t>National</w:t>
      </w:r>
      <w:proofErr w:type="spellEnd"/>
      <w:r w:rsidR="00267C58" w:rsidRPr="00267C58">
        <w:rPr>
          <w:rFonts w:ascii="Arial" w:hAnsi="Arial" w:cs="Arial"/>
          <w:sz w:val="24"/>
          <w:szCs w:val="24"/>
        </w:rPr>
        <w:t xml:space="preserve"> Center for </w:t>
      </w:r>
      <w:proofErr w:type="spellStart"/>
      <w:r w:rsidR="00267C58" w:rsidRPr="00267C58">
        <w:rPr>
          <w:rFonts w:ascii="Arial" w:hAnsi="Arial" w:cs="Arial"/>
          <w:sz w:val="24"/>
          <w:szCs w:val="24"/>
        </w:rPr>
        <w:t>Biotechnology</w:t>
      </w:r>
      <w:proofErr w:type="spellEnd"/>
      <w:r w:rsidR="00267C58" w:rsidRPr="00267C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7C58" w:rsidRPr="00267C58">
        <w:rPr>
          <w:rFonts w:ascii="Arial" w:hAnsi="Arial" w:cs="Arial"/>
          <w:sz w:val="24"/>
          <w:szCs w:val="24"/>
        </w:rPr>
        <w:t>Information</w:t>
      </w:r>
      <w:proofErr w:type="spellEnd"/>
      <w:r w:rsidR="00267C58" w:rsidRPr="00267C58">
        <w:rPr>
          <w:rFonts w:ascii="Arial" w:hAnsi="Arial" w:cs="Arial"/>
          <w:sz w:val="24"/>
          <w:szCs w:val="24"/>
        </w:rPr>
        <w:t xml:space="preserve">; </w:t>
      </w:r>
      <w:hyperlink r:id="rId7" w:history="1">
        <w:r w:rsidR="00267C58" w:rsidRPr="0041020A">
          <w:rPr>
            <w:rStyle w:val="Hyperlink"/>
            <w:rFonts w:ascii="Arial" w:hAnsi="Arial" w:cs="Arial"/>
            <w:sz w:val="24"/>
            <w:szCs w:val="24"/>
          </w:rPr>
          <w:t>https://blast.ncbi.nlm.nih.gov/</w:t>
        </w:r>
      </w:hyperlink>
      <w:r w:rsidR="00267C58" w:rsidRPr="00267C58">
        <w:rPr>
          <w:rFonts w:ascii="Arial" w:hAnsi="Arial" w:cs="Arial"/>
          <w:sz w:val="24"/>
          <w:szCs w:val="24"/>
        </w:rPr>
        <w:t>)</w:t>
      </w:r>
      <w:r w:rsidR="00267C58">
        <w:rPr>
          <w:rFonts w:ascii="Arial" w:hAnsi="Arial" w:cs="Arial"/>
          <w:sz w:val="24"/>
          <w:szCs w:val="24"/>
        </w:rPr>
        <w:t xml:space="preserve"> através da ferramenta “</w:t>
      </w:r>
      <w:proofErr w:type="spellStart"/>
      <w:r w:rsidR="00267C58">
        <w:rPr>
          <w:rFonts w:ascii="Arial" w:hAnsi="Arial" w:cs="Arial"/>
          <w:sz w:val="24"/>
          <w:szCs w:val="24"/>
        </w:rPr>
        <w:t>blastn</w:t>
      </w:r>
      <w:proofErr w:type="spellEnd"/>
      <w:r w:rsidR="00267C58">
        <w:rPr>
          <w:rFonts w:ascii="Arial" w:hAnsi="Arial" w:cs="Arial"/>
          <w:sz w:val="24"/>
          <w:szCs w:val="24"/>
        </w:rPr>
        <w:t>”</w:t>
      </w:r>
      <w:r w:rsidR="006A4EED">
        <w:rPr>
          <w:rFonts w:ascii="Arial" w:hAnsi="Arial" w:cs="Arial"/>
          <w:sz w:val="24"/>
          <w:szCs w:val="24"/>
        </w:rPr>
        <w:t>, prosseguindo com as etapas de alinhamento e construção de arvore filogenética</w:t>
      </w:r>
      <w:r w:rsidR="005F4E59">
        <w:rPr>
          <w:rFonts w:ascii="Arial" w:hAnsi="Arial" w:cs="Arial"/>
          <w:sz w:val="24"/>
          <w:szCs w:val="24"/>
        </w:rPr>
        <w:t xml:space="preserve"> pelo método </w:t>
      </w:r>
      <w:r w:rsidR="00DD7684">
        <w:rPr>
          <w:rFonts w:ascii="Arial" w:hAnsi="Arial" w:cs="Arial"/>
          <w:sz w:val="24"/>
          <w:szCs w:val="24"/>
        </w:rPr>
        <w:t xml:space="preserve">de agrupamento </w:t>
      </w:r>
      <w:r w:rsidR="005F4E59" w:rsidRPr="005F4E59">
        <w:rPr>
          <w:rFonts w:ascii="Arial" w:hAnsi="Arial" w:cs="Arial"/>
          <w:sz w:val="24"/>
          <w:szCs w:val="24"/>
        </w:rPr>
        <w:t>UPGMA (</w:t>
      </w:r>
      <w:proofErr w:type="spellStart"/>
      <w:r w:rsidR="005F4E59" w:rsidRPr="005F4E59">
        <w:rPr>
          <w:rFonts w:ascii="Arial" w:hAnsi="Arial" w:cs="Arial"/>
          <w:sz w:val="24"/>
          <w:szCs w:val="24"/>
        </w:rPr>
        <w:t>Unweighted</w:t>
      </w:r>
      <w:proofErr w:type="spellEnd"/>
      <w:r w:rsidR="005F4E59" w:rsidRPr="005F4E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4E59" w:rsidRPr="005F4E59">
        <w:rPr>
          <w:rFonts w:ascii="Arial" w:hAnsi="Arial" w:cs="Arial"/>
          <w:sz w:val="24"/>
          <w:szCs w:val="24"/>
        </w:rPr>
        <w:t>Pair</w:t>
      </w:r>
      <w:proofErr w:type="spellEnd"/>
      <w:r w:rsidR="005F4E59" w:rsidRPr="005F4E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4E59" w:rsidRPr="005F4E59">
        <w:rPr>
          <w:rFonts w:ascii="Arial" w:hAnsi="Arial" w:cs="Arial"/>
          <w:sz w:val="24"/>
          <w:szCs w:val="24"/>
        </w:rPr>
        <w:t>Group</w:t>
      </w:r>
      <w:proofErr w:type="spellEnd"/>
      <w:r w:rsidR="005F4E59" w:rsidRPr="005F4E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4E59" w:rsidRPr="005F4E59">
        <w:rPr>
          <w:rFonts w:ascii="Arial" w:hAnsi="Arial" w:cs="Arial"/>
          <w:sz w:val="24"/>
          <w:szCs w:val="24"/>
        </w:rPr>
        <w:t>Method</w:t>
      </w:r>
      <w:proofErr w:type="spellEnd"/>
      <w:r w:rsidR="005F4E59" w:rsidRPr="005F4E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4E59" w:rsidRPr="005F4E59">
        <w:rPr>
          <w:rFonts w:ascii="Arial" w:hAnsi="Arial" w:cs="Arial"/>
          <w:sz w:val="24"/>
          <w:szCs w:val="24"/>
        </w:rPr>
        <w:t>with</w:t>
      </w:r>
      <w:proofErr w:type="spellEnd"/>
      <w:r w:rsidR="005F4E59" w:rsidRPr="005F4E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4E59" w:rsidRPr="005F4E59">
        <w:rPr>
          <w:rFonts w:ascii="Arial" w:hAnsi="Arial" w:cs="Arial"/>
          <w:sz w:val="24"/>
          <w:szCs w:val="24"/>
        </w:rPr>
        <w:t>Arithmetic</w:t>
      </w:r>
      <w:proofErr w:type="spellEnd"/>
      <w:r w:rsidR="005F4E59" w:rsidRPr="005F4E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4E59" w:rsidRPr="005F4E59">
        <w:rPr>
          <w:rFonts w:ascii="Arial" w:hAnsi="Arial" w:cs="Arial"/>
          <w:sz w:val="24"/>
          <w:szCs w:val="24"/>
        </w:rPr>
        <w:t>mean</w:t>
      </w:r>
      <w:proofErr w:type="spellEnd"/>
      <w:r w:rsidR="005F4E59" w:rsidRPr="005F4E59">
        <w:rPr>
          <w:rFonts w:ascii="Arial" w:hAnsi="Arial" w:cs="Arial"/>
          <w:sz w:val="24"/>
          <w:szCs w:val="24"/>
        </w:rPr>
        <w:t>)</w:t>
      </w:r>
      <w:r w:rsidR="005F4E59">
        <w:rPr>
          <w:rFonts w:ascii="Arial" w:hAnsi="Arial" w:cs="Arial"/>
          <w:sz w:val="24"/>
          <w:szCs w:val="24"/>
        </w:rPr>
        <w:t>.</w:t>
      </w:r>
      <w:r w:rsidR="00DD7684">
        <w:rPr>
          <w:rFonts w:ascii="Arial" w:hAnsi="Arial" w:cs="Arial"/>
          <w:sz w:val="24"/>
          <w:szCs w:val="24"/>
        </w:rPr>
        <w:t xml:space="preserve"> Isso </w:t>
      </w:r>
      <w:r w:rsidR="004564EA" w:rsidRPr="004564EA">
        <w:rPr>
          <w:rFonts w:ascii="Arial" w:hAnsi="Arial" w:cs="Arial"/>
          <w:sz w:val="24"/>
          <w:szCs w:val="24"/>
        </w:rPr>
        <w:t>possibilit</w:t>
      </w:r>
      <w:r w:rsidR="00DD7684">
        <w:rPr>
          <w:rFonts w:ascii="Arial" w:hAnsi="Arial" w:cs="Arial"/>
          <w:sz w:val="24"/>
          <w:szCs w:val="24"/>
        </w:rPr>
        <w:t>ou</w:t>
      </w:r>
      <w:r w:rsidR="004564EA" w:rsidRPr="004564EA">
        <w:rPr>
          <w:rFonts w:ascii="Arial" w:hAnsi="Arial" w:cs="Arial"/>
          <w:sz w:val="24"/>
          <w:szCs w:val="24"/>
        </w:rPr>
        <w:t xml:space="preserve"> a determinação d</w:t>
      </w:r>
      <w:r w:rsidR="00DD7684">
        <w:rPr>
          <w:rFonts w:ascii="Arial" w:hAnsi="Arial" w:cs="Arial"/>
          <w:sz w:val="24"/>
          <w:szCs w:val="24"/>
        </w:rPr>
        <w:t>e</w:t>
      </w:r>
      <w:r w:rsidR="004564EA" w:rsidRPr="004564EA">
        <w:rPr>
          <w:rFonts w:ascii="Arial" w:hAnsi="Arial" w:cs="Arial"/>
          <w:sz w:val="24"/>
          <w:szCs w:val="24"/>
        </w:rPr>
        <w:t xml:space="preserve"> espécies </w:t>
      </w:r>
      <w:r w:rsidR="00DD7684">
        <w:rPr>
          <w:rFonts w:ascii="Arial" w:hAnsi="Arial" w:cs="Arial"/>
          <w:sz w:val="24"/>
          <w:szCs w:val="24"/>
        </w:rPr>
        <w:t xml:space="preserve">ou gêneros </w:t>
      </w:r>
      <w:r w:rsidR="00132641">
        <w:rPr>
          <w:rFonts w:ascii="Arial" w:hAnsi="Arial" w:cs="Arial"/>
          <w:sz w:val="24"/>
          <w:szCs w:val="24"/>
        </w:rPr>
        <w:t>pertencentes dos quatro isolados, permitindo avaliações</w:t>
      </w:r>
      <w:r w:rsidR="004564EA">
        <w:rPr>
          <w:rFonts w:ascii="Arial" w:hAnsi="Arial" w:cs="Arial"/>
          <w:sz w:val="24"/>
          <w:szCs w:val="24"/>
        </w:rPr>
        <w:t xml:space="preserve"> mais </w:t>
      </w:r>
      <w:r w:rsidR="00D207D5">
        <w:rPr>
          <w:rFonts w:ascii="Arial" w:hAnsi="Arial" w:cs="Arial"/>
          <w:sz w:val="24"/>
          <w:szCs w:val="24"/>
        </w:rPr>
        <w:t>precisos do produto “</w:t>
      </w:r>
      <w:proofErr w:type="spellStart"/>
      <w:r w:rsidR="00B45475">
        <w:rPr>
          <w:rFonts w:ascii="Arial" w:hAnsi="Arial" w:cs="Arial"/>
          <w:sz w:val="24"/>
          <w:szCs w:val="24"/>
        </w:rPr>
        <w:t>CrotonMax</w:t>
      </w:r>
      <w:proofErr w:type="spellEnd"/>
      <w:r w:rsidR="00D207D5">
        <w:rPr>
          <w:rFonts w:ascii="Arial" w:hAnsi="Arial" w:cs="Arial"/>
          <w:sz w:val="24"/>
          <w:szCs w:val="24"/>
        </w:rPr>
        <w:t>”</w:t>
      </w:r>
      <w:r w:rsidR="004564EA" w:rsidRPr="004564EA">
        <w:rPr>
          <w:rFonts w:ascii="Arial" w:hAnsi="Arial" w:cs="Arial"/>
          <w:sz w:val="24"/>
          <w:szCs w:val="24"/>
        </w:rPr>
        <w:t>.</w:t>
      </w:r>
      <w:r w:rsidR="00D54FD4">
        <w:rPr>
          <w:rFonts w:ascii="Arial" w:hAnsi="Arial" w:cs="Arial"/>
          <w:sz w:val="24"/>
          <w:szCs w:val="24"/>
        </w:rPr>
        <w:t xml:space="preserve"> </w:t>
      </w:r>
    </w:p>
    <w:p w14:paraId="54EDD9F9" w14:textId="1ED9838C" w:rsidR="006E4BE2" w:rsidRDefault="00132641" w:rsidP="00BB4B9F">
      <w:pPr>
        <w:tabs>
          <w:tab w:val="num" w:pos="720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[02</w:t>
      </w:r>
      <w:r w:rsidR="00F024F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>Como resultados, quatro grupos taxonômicos distintos foram detectados</w:t>
      </w:r>
      <w:r w:rsidR="00417AA2">
        <w:rPr>
          <w:rFonts w:ascii="Arial" w:hAnsi="Arial" w:cs="Arial"/>
          <w:sz w:val="24"/>
          <w:szCs w:val="24"/>
        </w:rPr>
        <w:t xml:space="preserve">, com alta similaridade com as espécies </w:t>
      </w:r>
      <w:proofErr w:type="spellStart"/>
      <w:r w:rsidR="00417AA2" w:rsidRPr="00417AA2">
        <w:rPr>
          <w:rFonts w:ascii="Arial" w:hAnsi="Arial" w:cs="Arial"/>
          <w:i/>
          <w:iCs/>
          <w:sz w:val="24"/>
          <w:szCs w:val="24"/>
        </w:rPr>
        <w:t>Colletotrichum</w:t>
      </w:r>
      <w:proofErr w:type="spellEnd"/>
      <w:r w:rsidR="00417AA2" w:rsidRPr="00417AA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17AA2" w:rsidRPr="00417AA2">
        <w:rPr>
          <w:rFonts w:ascii="Arial" w:hAnsi="Arial" w:cs="Arial"/>
          <w:i/>
          <w:iCs/>
          <w:sz w:val="24"/>
          <w:szCs w:val="24"/>
        </w:rPr>
        <w:t>gloesporioides</w:t>
      </w:r>
      <w:proofErr w:type="spellEnd"/>
      <w:r w:rsidR="00417AA2" w:rsidRPr="00417AA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7AA2" w:rsidRPr="00417AA2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417AA2" w:rsidRPr="00417AA2">
        <w:rPr>
          <w:rFonts w:ascii="Arial" w:hAnsi="Arial" w:cs="Arial"/>
          <w:sz w:val="24"/>
          <w:szCs w:val="24"/>
        </w:rPr>
        <w:t xml:space="preserve"> sp., </w:t>
      </w:r>
      <w:proofErr w:type="spellStart"/>
      <w:r w:rsidR="00417AA2" w:rsidRPr="00417AA2">
        <w:rPr>
          <w:rFonts w:ascii="Arial" w:hAnsi="Arial" w:cs="Arial"/>
          <w:i/>
          <w:iCs/>
          <w:sz w:val="24"/>
          <w:szCs w:val="24"/>
        </w:rPr>
        <w:t>Pestalotiopsis</w:t>
      </w:r>
      <w:proofErr w:type="spellEnd"/>
      <w:r w:rsidR="00417AA2" w:rsidRPr="00417AA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17AA2" w:rsidRPr="00417AA2">
        <w:rPr>
          <w:rFonts w:ascii="Arial" w:hAnsi="Arial" w:cs="Arial"/>
          <w:i/>
          <w:iCs/>
          <w:sz w:val="24"/>
          <w:szCs w:val="24"/>
        </w:rPr>
        <w:t>kenyana</w:t>
      </w:r>
      <w:proofErr w:type="spellEnd"/>
      <w:r w:rsidR="00417AA2" w:rsidRPr="00417AA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17AA2" w:rsidRPr="00417AA2">
        <w:rPr>
          <w:rFonts w:ascii="Arial" w:hAnsi="Arial" w:cs="Arial"/>
          <w:i/>
          <w:iCs/>
          <w:sz w:val="24"/>
          <w:szCs w:val="24"/>
        </w:rPr>
        <w:t>Nigrospora</w:t>
      </w:r>
      <w:proofErr w:type="spellEnd"/>
      <w:r w:rsidR="00417AA2" w:rsidRPr="00417AA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17AA2" w:rsidRPr="00417AA2">
        <w:rPr>
          <w:rFonts w:ascii="Arial" w:hAnsi="Arial" w:cs="Arial"/>
          <w:i/>
          <w:iCs/>
          <w:sz w:val="24"/>
          <w:szCs w:val="24"/>
        </w:rPr>
        <w:t>sphaerica</w:t>
      </w:r>
      <w:proofErr w:type="spellEnd"/>
      <w:r w:rsidR="00417AA2" w:rsidRPr="00417AA2">
        <w:rPr>
          <w:rFonts w:ascii="Arial" w:hAnsi="Arial" w:cs="Arial"/>
          <w:sz w:val="24"/>
          <w:szCs w:val="24"/>
        </w:rPr>
        <w:t xml:space="preserve"> (</w:t>
      </w:r>
      <w:r w:rsidR="00417AA2" w:rsidRPr="001C2BC4">
        <w:rPr>
          <w:rFonts w:ascii="Arial" w:hAnsi="Arial" w:cs="Arial"/>
          <w:b/>
          <w:bCs/>
          <w:sz w:val="24"/>
          <w:szCs w:val="24"/>
        </w:rPr>
        <w:t>F</w:t>
      </w:r>
      <w:r w:rsidR="001C2BC4" w:rsidRPr="001C2BC4">
        <w:rPr>
          <w:rFonts w:ascii="Arial" w:hAnsi="Arial" w:cs="Arial"/>
          <w:b/>
          <w:bCs/>
          <w:sz w:val="24"/>
          <w:szCs w:val="24"/>
        </w:rPr>
        <w:t xml:space="preserve">igura </w:t>
      </w:r>
      <w:r w:rsidR="00520E31">
        <w:rPr>
          <w:rFonts w:ascii="Arial" w:hAnsi="Arial" w:cs="Arial"/>
          <w:b/>
          <w:bCs/>
          <w:sz w:val="24"/>
          <w:szCs w:val="24"/>
        </w:rPr>
        <w:t>7</w:t>
      </w:r>
      <w:r w:rsidR="00417AA2" w:rsidRPr="00417AA2">
        <w:rPr>
          <w:rFonts w:ascii="Arial" w:hAnsi="Arial" w:cs="Arial"/>
          <w:sz w:val="24"/>
          <w:szCs w:val="24"/>
        </w:rPr>
        <w:t>).</w:t>
      </w:r>
      <w:r w:rsidR="00417AA2">
        <w:rPr>
          <w:rFonts w:ascii="Arial" w:hAnsi="Arial" w:cs="Arial"/>
          <w:sz w:val="24"/>
          <w:szCs w:val="24"/>
        </w:rPr>
        <w:t xml:space="preserve"> As espécies </w:t>
      </w:r>
      <w:proofErr w:type="spellStart"/>
      <w:r w:rsidR="00417AA2" w:rsidRPr="00417AA2">
        <w:rPr>
          <w:rFonts w:ascii="Arial" w:hAnsi="Arial" w:cs="Arial"/>
          <w:i/>
          <w:iCs/>
          <w:sz w:val="24"/>
          <w:szCs w:val="24"/>
        </w:rPr>
        <w:t>Colletotrichum</w:t>
      </w:r>
      <w:proofErr w:type="spellEnd"/>
      <w:r w:rsidR="00417AA2" w:rsidRPr="00417AA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417AA2" w:rsidRPr="00417AA2">
        <w:rPr>
          <w:rFonts w:ascii="Arial" w:hAnsi="Arial" w:cs="Arial"/>
          <w:i/>
          <w:iCs/>
          <w:sz w:val="24"/>
          <w:szCs w:val="24"/>
        </w:rPr>
        <w:t>gloesporioides</w:t>
      </w:r>
      <w:proofErr w:type="spellEnd"/>
      <w:r w:rsidR="00417AA2">
        <w:rPr>
          <w:rFonts w:ascii="Arial" w:hAnsi="Arial" w:cs="Arial"/>
          <w:sz w:val="24"/>
          <w:szCs w:val="24"/>
        </w:rPr>
        <w:t xml:space="preserve"> e</w:t>
      </w:r>
      <w:r w:rsidR="00417AA2" w:rsidRPr="00417A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7AA2" w:rsidRPr="00417AA2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417AA2" w:rsidRPr="00417AA2">
        <w:rPr>
          <w:rFonts w:ascii="Arial" w:hAnsi="Arial" w:cs="Arial"/>
          <w:sz w:val="24"/>
          <w:szCs w:val="24"/>
        </w:rPr>
        <w:t xml:space="preserve"> sp.</w:t>
      </w:r>
      <w:r w:rsidR="00417AA2">
        <w:rPr>
          <w:rFonts w:ascii="Arial" w:hAnsi="Arial" w:cs="Arial"/>
          <w:sz w:val="24"/>
          <w:szCs w:val="24"/>
        </w:rPr>
        <w:t xml:space="preserve"> foram utilizadas em teste </w:t>
      </w:r>
      <w:r w:rsidR="00417AA2" w:rsidRPr="00253460">
        <w:rPr>
          <w:rFonts w:ascii="Arial" w:hAnsi="Arial" w:cs="Arial"/>
          <w:i/>
          <w:iCs/>
          <w:sz w:val="24"/>
          <w:szCs w:val="24"/>
        </w:rPr>
        <w:t xml:space="preserve">in </w:t>
      </w:r>
      <w:r w:rsidR="00253460" w:rsidRPr="00253460">
        <w:rPr>
          <w:rFonts w:ascii="Arial" w:hAnsi="Arial" w:cs="Arial"/>
          <w:i/>
          <w:iCs/>
          <w:sz w:val="24"/>
          <w:szCs w:val="24"/>
        </w:rPr>
        <w:t>vitro</w:t>
      </w:r>
      <w:r w:rsidR="00253460">
        <w:rPr>
          <w:rFonts w:ascii="Arial" w:hAnsi="Arial" w:cs="Arial"/>
          <w:i/>
          <w:iCs/>
          <w:sz w:val="24"/>
          <w:szCs w:val="24"/>
        </w:rPr>
        <w:t xml:space="preserve">, </w:t>
      </w:r>
      <w:r w:rsidR="00253460" w:rsidRPr="00253460">
        <w:rPr>
          <w:rFonts w:ascii="Arial" w:hAnsi="Arial" w:cs="Arial"/>
          <w:sz w:val="24"/>
          <w:szCs w:val="24"/>
        </w:rPr>
        <w:t>con</w:t>
      </w:r>
      <w:r w:rsidR="00253460">
        <w:rPr>
          <w:rFonts w:ascii="Arial" w:hAnsi="Arial" w:cs="Arial"/>
          <w:sz w:val="24"/>
          <w:szCs w:val="24"/>
        </w:rPr>
        <w:t xml:space="preserve">sistindo na inoculação de um disco </w:t>
      </w:r>
      <w:r w:rsidR="0020636C">
        <w:rPr>
          <w:rFonts w:ascii="Arial" w:hAnsi="Arial" w:cs="Arial"/>
          <w:sz w:val="24"/>
          <w:szCs w:val="24"/>
        </w:rPr>
        <w:t xml:space="preserve">(sólido) </w:t>
      </w:r>
      <w:r w:rsidR="00DF3942">
        <w:rPr>
          <w:rFonts w:ascii="Arial" w:hAnsi="Arial" w:cs="Arial"/>
          <w:sz w:val="24"/>
          <w:szCs w:val="24"/>
        </w:rPr>
        <w:t>de meio de cultura BDA (</w:t>
      </w:r>
      <w:r w:rsidR="0020636C" w:rsidRPr="0020636C">
        <w:rPr>
          <w:rFonts w:ascii="Arial" w:hAnsi="Arial" w:cs="Arial"/>
          <w:sz w:val="24"/>
          <w:szCs w:val="24"/>
        </w:rPr>
        <w:t>Agar Batata Dextrose</w:t>
      </w:r>
      <w:r w:rsidR="00DF3942">
        <w:rPr>
          <w:rFonts w:ascii="Arial" w:hAnsi="Arial" w:cs="Arial"/>
          <w:sz w:val="24"/>
          <w:szCs w:val="24"/>
        </w:rPr>
        <w:t xml:space="preserve">) </w:t>
      </w:r>
      <w:r w:rsidR="00253460">
        <w:rPr>
          <w:rFonts w:ascii="Arial" w:hAnsi="Arial" w:cs="Arial"/>
          <w:sz w:val="24"/>
          <w:szCs w:val="24"/>
        </w:rPr>
        <w:t xml:space="preserve">de </w:t>
      </w:r>
      <w:r w:rsidR="00DF3942">
        <w:rPr>
          <w:rFonts w:ascii="Arial" w:hAnsi="Arial" w:cs="Arial"/>
          <w:sz w:val="24"/>
          <w:szCs w:val="24"/>
        </w:rPr>
        <w:t>5 mm de diâmetro</w:t>
      </w:r>
      <w:r w:rsidR="0020636C">
        <w:rPr>
          <w:rFonts w:ascii="Arial" w:hAnsi="Arial" w:cs="Arial"/>
          <w:sz w:val="24"/>
          <w:szCs w:val="24"/>
        </w:rPr>
        <w:t>,</w:t>
      </w:r>
      <w:r w:rsidR="00DF3942">
        <w:rPr>
          <w:rFonts w:ascii="Arial" w:hAnsi="Arial" w:cs="Arial"/>
          <w:sz w:val="24"/>
          <w:szCs w:val="24"/>
        </w:rPr>
        <w:t xml:space="preserve"> contendo micélios crescidos dos patógenos das últimas 24 h</w:t>
      </w:r>
      <w:r w:rsidR="0020636C">
        <w:rPr>
          <w:rFonts w:ascii="Arial" w:hAnsi="Arial" w:cs="Arial"/>
          <w:sz w:val="24"/>
          <w:szCs w:val="24"/>
        </w:rPr>
        <w:t xml:space="preserve">, em placas de Petri de 80 mm de diâmetro contendo o mesmo meio. </w:t>
      </w:r>
      <w:r w:rsidR="00234123">
        <w:rPr>
          <w:rFonts w:ascii="Arial" w:hAnsi="Arial" w:cs="Arial"/>
          <w:sz w:val="24"/>
          <w:szCs w:val="24"/>
        </w:rPr>
        <w:t>O</w:t>
      </w:r>
      <w:r w:rsidR="00034E11">
        <w:rPr>
          <w:rFonts w:ascii="Arial" w:hAnsi="Arial" w:cs="Arial"/>
          <w:sz w:val="24"/>
          <w:szCs w:val="24"/>
        </w:rPr>
        <w:t xml:space="preserve"> crescimento micelial desses patógenos foi avaliado diariamente</w:t>
      </w:r>
      <w:r w:rsidR="00D42692">
        <w:rPr>
          <w:rFonts w:ascii="Arial" w:hAnsi="Arial" w:cs="Arial"/>
          <w:sz w:val="24"/>
          <w:szCs w:val="24"/>
        </w:rPr>
        <w:t xml:space="preserve"> (a cada 24 h), com </w:t>
      </w:r>
      <w:r w:rsidR="00861A6C">
        <w:rPr>
          <w:rFonts w:ascii="Arial" w:hAnsi="Arial" w:cs="Arial"/>
          <w:sz w:val="24"/>
          <w:szCs w:val="24"/>
        </w:rPr>
        <w:t xml:space="preserve">meios de cultura contidos nas placas de </w:t>
      </w:r>
      <w:r w:rsidR="00FC2773">
        <w:rPr>
          <w:rFonts w:ascii="Arial" w:hAnsi="Arial" w:cs="Arial"/>
          <w:sz w:val="24"/>
          <w:szCs w:val="24"/>
        </w:rPr>
        <w:t xml:space="preserve">Petri </w:t>
      </w:r>
      <w:r w:rsidR="00D42692">
        <w:rPr>
          <w:rFonts w:ascii="Arial" w:hAnsi="Arial" w:cs="Arial"/>
          <w:sz w:val="24"/>
          <w:szCs w:val="24"/>
        </w:rPr>
        <w:t xml:space="preserve">variando </w:t>
      </w:r>
      <w:r w:rsidR="00861A6C">
        <w:rPr>
          <w:rFonts w:ascii="Arial" w:hAnsi="Arial" w:cs="Arial"/>
          <w:sz w:val="24"/>
          <w:szCs w:val="24"/>
        </w:rPr>
        <w:t xml:space="preserve">em sua composição entre 0-2% </w:t>
      </w:r>
      <w:r w:rsidR="00653F90">
        <w:rPr>
          <w:rFonts w:ascii="Arial" w:hAnsi="Arial" w:cs="Arial"/>
          <w:sz w:val="24"/>
          <w:szCs w:val="24"/>
        </w:rPr>
        <w:t xml:space="preserve">(0%, 0,1% e 2%) </w:t>
      </w:r>
      <w:r w:rsidR="00861A6C">
        <w:rPr>
          <w:rFonts w:ascii="Arial" w:hAnsi="Arial" w:cs="Arial"/>
          <w:sz w:val="24"/>
          <w:szCs w:val="24"/>
        </w:rPr>
        <w:t xml:space="preserve">do </w:t>
      </w:r>
      <w:r w:rsidR="00D42692">
        <w:rPr>
          <w:rFonts w:ascii="Arial" w:hAnsi="Arial" w:cs="Arial"/>
          <w:sz w:val="24"/>
          <w:szCs w:val="24"/>
        </w:rPr>
        <w:t xml:space="preserve">produto </w:t>
      </w:r>
      <w:r w:rsidR="00861A6C">
        <w:rPr>
          <w:rFonts w:ascii="Arial" w:hAnsi="Arial" w:cs="Arial"/>
          <w:sz w:val="24"/>
          <w:szCs w:val="24"/>
        </w:rPr>
        <w:t>“</w:t>
      </w:r>
      <w:proofErr w:type="spellStart"/>
      <w:r w:rsidR="00B45475">
        <w:rPr>
          <w:rFonts w:ascii="Arial" w:hAnsi="Arial" w:cs="Arial"/>
          <w:sz w:val="24"/>
          <w:szCs w:val="24"/>
        </w:rPr>
        <w:t>CrotonMax</w:t>
      </w:r>
      <w:proofErr w:type="spellEnd"/>
      <w:r w:rsidR="00861A6C">
        <w:rPr>
          <w:rFonts w:ascii="Arial" w:hAnsi="Arial" w:cs="Arial"/>
          <w:sz w:val="24"/>
          <w:szCs w:val="24"/>
        </w:rPr>
        <w:t xml:space="preserve">”. </w:t>
      </w:r>
      <w:r w:rsidR="00653F90">
        <w:rPr>
          <w:rFonts w:ascii="Arial" w:hAnsi="Arial" w:cs="Arial"/>
          <w:sz w:val="24"/>
          <w:szCs w:val="24"/>
        </w:rPr>
        <w:t xml:space="preserve">Esses experimentos foram </w:t>
      </w:r>
      <w:r w:rsidR="002503BF">
        <w:rPr>
          <w:rFonts w:ascii="Arial" w:hAnsi="Arial" w:cs="Arial"/>
          <w:sz w:val="24"/>
          <w:szCs w:val="24"/>
        </w:rPr>
        <w:t>replicados</w:t>
      </w:r>
      <w:r w:rsidR="00653F90">
        <w:rPr>
          <w:rFonts w:ascii="Arial" w:hAnsi="Arial" w:cs="Arial"/>
          <w:sz w:val="24"/>
          <w:szCs w:val="24"/>
        </w:rPr>
        <w:t xml:space="preserve"> diversas vezes </w:t>
      </w:r>
      <w:r w:rsidR="002503BF">
        <w:rPr>
          <w:rFonts w:ascii="Arial" w:hAnsi="Arial" w:cs="Arial"/>
          <w:sz w:val="24"/>
          <w:szCs w:val="24"/>
        </w:rPr>
        <w:t>para cada patógeno (</w:t>
      </w:r>
      <w:proofErr w:type="spellStart"/>
      <w:r w:rsidR="002503BF" w:rsidRPr="00417AA2">
        <w:rPr>
          <w:rFonts w:ascii="Arial" w:hAnsi="Arial" w:cs="Arial"/>
          <w:i/>
          <w:iCs/>
          <w:sz w:val="24"/>
          <w:szCs w:val="24"/>
        </w:rPr>
        <w:t>Colletotrichum</w:t>
      </w:r>
      <w:proofErr w:type="spellEnd"/>
      <w:r w:rsidR="002503BF" w:rsidRPr="00417AA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503BF" w:rsidRPr="00417AA2">
        <w:rPr>
          <w:rFonts w:ascii="Arial" w:hAnsi="Arial" w:cs="Arial"/>
          <w:i/>
          <w:iCs/>
          <w:sz w:val="24"/>
          <w:szCs w:val="24"/>
        </w:rPr>
        <w:t>gloesporioides</w:t>
      </w:r>
      <w:proofErr w:type="spellEnd"/>
      <w:r w:rsidR="002503BF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503BF" w:rsidRPr="002503BF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2503BF">
        <w:rPr>
          <w:rFonts w:ascii="Arial" w:hAnsi="Arial" w:cs="Arial"/>
          <w:sz w:val="24"/>
          <w:szCs w:val="24"/>
        </w:rPr>
        <w:t xml:space="preserve"> sp.), </w:t>
      </w:r>
      <w:r w:rsidR="00653F90">
        <w:rPr>
          <w:rFonts w:ascii="Arial" w:hAnsi="Arial" w:cs="Arial"/>
          <w:sz w:val="24"/>
          <w:szCs w:val="24"/>
        </w:rPr>
        <w:t xml:space="preserve">com os </w:t>
      </w:r>
      <w:r w:rsidR="002503BF">
        <w:rPr>
          <w:rFonts w:ascii="Arial" w:hAnsi="Arial" w:cs="Arial"/>
          <w:sz w:val="24"/>
          <w:szCs w:val="24"/>
        </w:rPr>
        <w:t xml:space="preserve">tratamentos sempre apresentando ao menos </w:t>
      </w:r>
      <w:r w:rsidR="002503BF">
        <w:rPr>
          <w:rFonts w:ascii="Arial" w:hAnsi="Arial" w:cs="Arial"/>
          <w:sz w:val="24"/>
          <w:szCs w:val="24"/>
        </w:rPr>
        <w:lastRenderedPageBreak/>
        <w:t xml:space="preserve">quatro repetições. Os dados foram avaliados estatisticamente </w:t>
      </w:r>
      <w:r w:rsidR="00EB1A00">
        <w:rPr>
          <w:rFonts w:ascii="Arial" w:hAnsi="Arial" w:cs="Arial"/>
          <w:sz w:val="24"/>
          <w:szCs w:val="24"/>
        </w:rPr>
        <w:t xml:space="preserve">de acordo com o delineamento inteiramente </w:t>
      </w:r>
      <w:proofErr w:type="spellStart"/>
      <w:r w:rsidR="00EB1A00">
        <w:rPr>
          <w:rFonts w:ascii="Arial" w:hAnsi="Arial" w:cs="Arial"/>
          <w:sz w:val="24"/>
          <w:szCs w:val="24"/>
        </w:rPr>
        <w:t>ca</w:t>
      </w:r>
      <w:r w:rsidR="00C317A4">
        <w:rPr>
          <w:rFonts w:ascii="Arial" w:hAnsi="Arial" w:cs="Arial"/>
          <w:sz w:val="24"/>
          <w:szCs w:val="24"/>
        </w:rPr>
        <w:t>s</w:t>
      </w:r>
      <w:r w:rsidR="00EB1A00">
        <w:rPr>
          <w:rFonts w:ascii="Arial" w:hAnsi="Arial" w:cs="Arial"/>
          <w:sz w:val="24"/>
          <w:szCs w:val="24"/>
        </w:rPr>
        <w:t>ualizado</w:t>
      </w:r>
      <w:proofErr w:type="spellEnd"/>
      <w:r w:rsidR="00EB1A00">
        <w:rPr>
          <w:rFonts w:ascii="Arial" w:hAnsi="Arial" w:cs="Arial"/>
          <w:sz w:val="24"/>
          <w:szCs w:val="24"/>
        </w:rPr>
        <w:t xml:space="preserve">. </w:t>
      </w:r>
    </w:p>
    <w:p w14:paraId="4ACA21D0" w14:textId="40F86CC9" w:rsidR="00DF3942" w:rsidRDefault="006E4BE2" w:rsidP="00BB4B9F">
      <w:pPr>
        <w:tabs>
          <w:tab w:val="num" w:pos="720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[02</w:t>
      </w:r>
      <w:r w:rsidR="001F501A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Pr="006E4BE2">
        <w:rPr>
          <w:rFonts w:ascii="Arial" w:hAnsi="Arial" w:cs="Arial"/>
          <w:sz w:val="24"/>
          <w:szCs w:val="24"/>
        </w:rPr>
        <w:t>As análises estatísticas foram realizadas para validar os resultados dest</w:t>
      </w:r>
      <w:r>
        <w:rPr>
          <w:rFonts w:ascii="Arial" w:hAnsi="Arial" w:cs="Arial"/>
          <w:sz w:val="24"/>
          <w:szCs w:val="24"/>
        </w:rPr>
        <w:t>a pesquisa</w:t>
      </w:r>
      <w:r w:rsidRPr="006E4BE2">
        <w:rPr>
          <w:rFonts w:ascii="Arial" w:hAnsi="Arial" w:cs="Arial"/>
          <w:sz w:val="24"/>
          <w:szCs w:val="24"/>
        </w:rPr>
        <w:t xml:space="preserve">, fazendo uso da plataforma computacional R (v.4.4.0; R Core Team, 2023) com o ambiente integrado </w:t>
      </w:r>
      <w:proofErr w:type="spellStart"/>
      <w:r w:rsidRPr="006E4BE2">
        <w:rPr>
          <w:rFonts w:ascii="Arial" w:hAnsi="Arial" w:cs="Arial"/>
          <w:sz w:val="24"/>
          <w:szCs w:val="24"/>
        </w:rPr>
        <w:t>RStudio</w:t>
      </w:r>
      <w:proofErr w:type="spellEnd"/>
      <w:r w:rsidRPr="006E4BE2">
        <w:rPr>
          <w:rFonts w:ascii="Arial" w:hAnsi="Arial" w:cs="Arial"/>
          <w:sz w:val="24"/>
          <w:szCs w:val="24"/>
        </w:rPr>
        <w:t xml:space="preserve"> (v.2023.06.1; </w:t>
      </w:r>
      <w:proofErr w:type="spellStart"/>
      <w:r w:rsidRPr="006E4BE2">
        <w:rPr>
          <w:rFonts w:ascii="Arial" w:hAnsi="Arial" w:cs="Arial"/>
          <w:sz w:val="24"/>
          <w:szCs w:val="24"/>
        </w:rPr>
        <w:t>RStudio</w:t>
      </w:r>
      <w:proofErr w:type="spellEnd"/>
      <w:r w:rsidRPr="006E4BE2">
        <w:rPr>
          <w:rFonts w:ascii="Arial" w:hAnsi="Arial" w:cs="Arial"/>
          <w:sz w:val="24"/>
          <w:szCs w:val="24"/>
        </w:rPr>
        <w:t xml:space="preserve"> Team, 2023). Todos os dados de crescimento/desenvolvimento de patógenos </w:t>
      </w:r>
      <w:r w:rsidRPr="006E4BE2">
        <w:rPr>
          <w:rFonts w:ascii="Arial" w:hAnsi="Arial" w:cs="Arial"/>
          <w:i/>
          <w:iCs/>
          <w:sz w:val="24"/>
          <w:szCs w:val="24"/>
        </w:rPr>
        <w:t xml:space="preserve">in vitro </w:t>
      </w:r>
      <w:r w:rsidRPr="006E4BE2">
        <w:rPr>
          <w:rFonts w:ascii="Arial" w:hAnsi="Arial" w:cs="Arial"/>
          <w:sz w:val="24"/>
          <w:szCs w:val="24"/>
        </w:rPr>
        <w:t xml:space="preserve">ou </w:t>
      </w:r>
      <w:r w:rsidRPr="006E4BE2">
        <w:rPr>
          <w:rFonts w:ascii="Arial" w:hAnsi="Arial" w:cs="Arial"/>
          <w:i/>
          <w:iCs/>
          <w:sz w:val="24"/>
          <w:szCs w:val="24"/>
        </w:rPr>
        <w:t>in vivo</w:t>
      </w:r>
      <w:r w:rsidRPr="006E4BE2">
        <w:rPr>
          <w:rFonts w:ascii="Arial" w:hAnsi="Arial" w:cs="Arial"/>
          <w:sz w:val="24"/>
          <w:szCs w:val="24"/>
        </w:rPr>
        <w:t xml:space="preserve"> (quando aplicável) foram analisados de acordo com modelos matemáticos de regressão baseados na equação de </w:t>
      </w:r>
      <w:proofErr w:type="spellStart"/>
      <w:r w:rsidRPr="006E4BE2">
        <w:rPr>
          <w:rFonts w:ascii="Arial" w:hAnsi="Arial" w:cs="Arial"/>
          <w:sz w:val="24"/>
          <w:szCs w:val="24"/>
        </w:rPr>
        <w:t>Gompertz</w:t>
      </w:r>
      <w:proofErr w:type="spellEnd"/>
      <w:r w:rsidRPr="006E4BE2">
        <w:rPr>
          <w:rFonts w:ascii="Arial" w:hAnsi="Arial" w:cs="Arial"/>
          <w:sz w:val="24"/>
          <w:szCs w:val="24"/>
        </w:rPr>
        <w:t xml:space="preserve"> modificada (</w:t>
      </w:r>
      <w:proofErr w:type="spellStart"/>
      <w:r w:rsidRPr="006E4BE2">
        <w:rPr>
          <w:rFonts w:ascii="Arial" w:hAnsi="Arial" w:cs="Arial"/>
          <w:sz w:val="24"/>
          <w:szCs w:val="24"/>
        </w:rPr>
        <w:t>Fincheira</w:t>
      </w:r>
      <w:proofErr w:type="spellEnd"/>
      <w:r w:rsidRPr="006E4BE2">
        <w:rPr>
          <w:rFonts w:ascii="Arial" w:hAnsi="Arial" w:cs="Arial"/>
          <w:sz w:val="24"/>
          <w:szCs w:val="24"/>
        </w:rPr>
        <w:t xml:space="preserve"> et al., </w:t>
      </w:r>
      <w:proofErr w:type="spellStart"/>
      <w:r w:rsidR="007973F2" w:rsidRPr="007973F2">
        <w:rPr>
          <w:rFonts w:ascii="Arial" w:hAnsi="Arial" w:cs="Arial"/>
          <w:sz w:val="24"/>
          <w:szCs w:val="24"/>
        </w:rPr>
        <w:t>Microbiological</w:t>
      </w:r>
      <w:proofErr w:type="spellEnd"/>
      <w:r w:rsidR="007973F2" w:rsidRPr="007973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73F2" w:rsidRPr="007973F2">
        <w:rPr>
          <w:rFonts w:ascii="Arial" w:hAnsi="Arial" w:cs="Arial"/>
          <w:sz w:val="24"/>
          <w:szCs w:val="24"/>
        </w:rPr>
        <w:t>Research</w:t>
      </w:r>
      <w:proofErr w:type="spellEnd"/>
      <w:r w:rsidR="005F1B71">
        <w:rPr>
          <w:rFonts w:ascii="Arial" w:hAnsi="Arial" w:cs="Arial"/>
          <w:sz w:val="24"/>
          <w:szCs w:val="24"/>
        </w:rPr>
        <w:t>,</w:t>
      </w:r>
      <w:r w:rsidR="007973F2" w:rsidRPr="007973F2">
        <w:rPr>
          <w:rFonts w:ascii="Arial" w:hAnsi="Arial" w:cs="Arial"/>
          <w:sz w:val="24"/>
          <w:szCs w:val="24"/>
        </w:rPr>
        <w:t xml:space="preserve"> </w:t>
      </w:r>
      <w:r w:rsidR="00173274">
        <w:rPr>
          <w:rFonts w:ascii="Arial" w:hAnsi="Arial" w:cs="Arial"/>
          <w:sz w:val="24"/>
          <w:szCs w:val="24"/>
        </w:rPr>
        <w:t xml:space="preserve">v. </w:t>
      </w:r>
      <w:r w:rsidR="007973F2" w:rsidRPr="007973F2">
        <w:rPr>
          <w:rFonts w:ascii="Arial" w:hAnsi="Arial" w:cs="Arial"/>
          <w:sz w:val="24"/>
          <w:szCs w:val="24"/>
        </w:rPr>
        <w:t xml:space="preserve">277, </w:t>
      </w:r>
      <w:proofErr w:type="spellStart"/>
      <w:r w:rsidR="007973F2">
        <w:rPr>
          <w:rFonts w:ascii="Arial" w:hAnsi="Arial" w:cs="Arial"/>
          <w:sz w:val="24"/>
          <w:szCs w:val="24"/>
        </w:rPr>
        <w:t>article</w:t>
      </w:r>
      <w:proofErr w:type="spellEnd"/>
      <w:r w:rsidR="007973F2">
        <w:rPr>
          <w:rFonts w:ascii="Arial" w:hAnsi="Arial" w:cs="Arial"/>
          <w:sz w:val="24"/>
          <w:szCs w:val="24"/>
        </w:rPr>
        <w:t xml:space="preserve"> </w:t>
      </w:r>
      <w:r w:rsidR="007973F2" w:rsidRPr="007973F2">
        <w:rPr>
          <w:rFonts w:ascii="Arial" w:hAnsi="Arial" w:cs="Arial"/>
          <w:sz w:val="24"/>
          <w:szCs w:val="24"/>
        </w:rPr>
        <w:t>127486</w:t>
      </w:r>
      <w:r w:rsidR="007973F2">
        <w:rPr>
          <w:rFonts w:ascii="Arial" w:hAnsi="Arial" w:cs="Arial"/>
          <w:sz w:val="24"/>
          <w:szCs w:val="24"/>
        </w:rPr>
        <w:t xml:space="preserve">, </w:t>
      </w:r>
      <w:r w:rsidRPr="006E4BE2">
        <w:rPr>
          <w:rFonts w:ascii="Arial" w:hAnsi="Arial" w:cs="Arial"/>
          <w:sz w:val="24"/>
          <w:szCs w:val="24"/>
        </w:rPr>
        <w:t>2023), seguindo com a estatística de médias marginais estimadas (</w:t>
      </w:r>
      <w:proofErr w:type="spellStart"/>
      <w:r w:rsidRPr="006E4BE2">
        <w:rPr>
          <w:rFonts w:ascii="Arial" w:hAnsi="Arial" w:cs="Arial"/>
          <w:sz w:val="24"/>
          <w:szCs w:val="24"/>
        </w:rPr>
        <w:t>EMMs</w:t>
      </w:r>
      <w:proofErr w:type="spellEnd"/>
      <w:r w:rsidRPr="006E4BE2">
        <w:rPr>
          <w:rFonts w:ascii="Arial" w:hAnsi="Arial" w:cs="Arial"/>
          <w:sz w:val="24"/>
          <w:szCs w:val="24"/>
        </w:rPr>
        <w:t>) dos coeficientes de cada tratamento, calculadas utilizando o pacote ‘</w:t>
      </w:r>
      <w:proofErr w:type="spellStart"/>
      <w:r w:rsidRPr="006E4BE2">
        <w:rPr>
          <w:rFonts w:ascii="Arial" w:hAnsi="Arial" w:cs="Arial"/>
          <w:sz w:val="24"/>
          <w:szCs w:val="24"/>
        </w:rPr>
        <w:t>emmeans</w:t>
      </w:r>
      <w:proofErr w:type="spellEnd"/>
      <w:r w:rsidRPr="006E4BE2">
        <w:rPr>
          <w:rFonts w:ascii="Arial" w:hAnsi="Arial" w:cs="Arial"/>
          <w:sz w:val="24"/>
          <w:szCs w:val="24"/>
        </w:rPr>
        <w:t xml:space="preserve">’ (v.1.10.5). Comparações múltiplas entre tratamentos foram realizadas com o método de </w:t>
      </w:r>
      <w:proofErr w:type="spellStart"/>
      <w:r w:rsidRPr="006E4BE2">
        <w:rPr>
          <w:rFonts w:ascii="Arial" w:hAnsi="Arial" w:cs="Arial"/>
          <w:sz w:val="24"/>
          <w:szCs w:val="24"/>
        </w:rPr>
        <w:t>Sidak</w:t>
      </w:r>
      <w:proofErr w:type="spellEnd"/>
      <w:r w:rsidRPr="006E4BE2">
        <w:rPr>
          <w:rFonts w:ascii="Arial" w:hAnsi="Arial" w:cs="Arial"/>
          <w:sz w:val="24"/>
          <w:szCs w:val="24"/>
        </w:rPr>
        <w:t xml:space="preserve"> para ajuste do erro tipo I. Diferenças significativas (p-</w:t>
      </w:r>
      <w:proofErr w:type="spellStart"/>
      <w:r w:rsidRPr="006E4BE2">
        <w:rPr>
          <w:rFonts w:ascii="Arial" w:hAnsi="Arial" w:cs="Arial"/>
          <w:sz w:val="24"/>
          <w:szCs w:val="24"/>
        </w:rPr>
        <w:t>value</w:t>
      </w:r>
      <w:proofErr w:type="spellEnd"/>
      <w:r w:rsidRPr="006E4BE2">
        <w:rPr>
          <w:rFonts w:ascii="Arial" w:hAnsi="Arial" w:cs="Arial"/>
          <w:sz w:val="24"/>
          <w:szCs w:val="24"/>
        </w:rPr>
        <w:t xml:space="preserve"> &lt; 5%) foram representadas por letras minúsculas distintas, geradas pela função “</w:t>
      </w:r>
      <w:proofErr w:type="spellStart"/>
      <w:r w:rsidRPr="006E4BE2">
        <w:rPr>
          <w:rFonts w:ascii="Arial" w:hAnsi="Arial" w:cs="Arial"/>
          <w:sz w:val="24"/>
          <w:szCs w:val="24"/>
        </w:rPr>
        <w:t>cld</w:t>
      </w:r>
      <w:proofErr w:type="spellEnd"/>
      <w:r w:rsidRPr="006E4BE2">
        <w:rPr>
          <w:rFonts w:ascii="Arial" w:hAnsi="Arial" w:cs="Arial"/>
          <w:sz w:val="24"/>
          <w:szCs w:val="24"/>
        </w:rPr>
        <w:t>” do pacote ‘</w:t>
      </w:r>
      <w:proofErr w:type="spellStart"/>
      <w:r w:rsidRPr="006E4BE2">
        <w:rPr>
          <w:rFonts w:ascii="Arial" w:hAnsi="Arial" w:cs="Arial"/>
          <w:sz w:val="24"/>
          <w:szCs w:val="24"/>
        </w:rPr>
        <w:t>multcomp</w:t>
      </w:r>
      <w:proofErr w:type="spellEnd"/>
      <w:r w:rsidRPr="006E4BE2">
        <w:rPr>
          <w:rFonts w:ascii="Arial" w:hAnsi="Arial" w:cs="Arial"/>
          <w:sz w:val="24"/>
          <w:szCs w:val="24"/>
        </w:rPr>
        <w:t>’ (v.1.4-26), onde tratamentos que compartilham a mesma letra não diferiram estatisticamente. Os dados bromatológicos foram submetidos a análise de variância (ANOVA) seguida pelo teste post-hoc LSD (</w:t>
      </w:r>
      <w:proofErr w:type="spellStart"/>
      <w:r w:rsidRPr="006E4BE2">
        <w:rPr>
          <w:rFonts w:ascii="Arial" w:hAnsi="Arial" w:cs="Arial"/>
          <w:sz w:val="24"/>
          <w:szCs w:val="24"/>
        </w:rPr>
        <w:t>Least</w:t>
      </w:r>
      <w:proofErr w:type="spellEnd"/>
      <w:r w:rsidRPr="006E4B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4BE2">
        <w:rPr>
          <w:rFonts w:ascii="Arial" w:hAnsi="Arial" w:cs="Arial"/>
          <w:sz w:val="24"/>
          <w:szCs w:val="24"/>
        </w:rPr>
        <w:t>Significant</w:t>
      </w:r>
      <w:proofErr w:type="spellEnd"/>
      <w:r w:rsidRPr="006E4B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4BE2">
        <w:rPr>
          <w:rFonts w:ascii="Arial" w:hAnsi="Arial" w:cs="Arial"/>
          <w:sz w:val="24"/>
          <w:szCs w:val="24"/>
        </w:rPr>
        <w:t>Difference</w:t>
      </w:r>
      <w:proofErr w:type="spellEnd"/>
      <w:r w:rsidRPr="006E4BE2">
        <w:rPr>
          <w:rFonts w:ascii="Arial" w:hAnsi="Arial" w:cs="Arial"/>
          <w:sz w:val="24"/>
          <w:szCs w:val="24"/>
        </w:rPr>
        <w:t>) de Fisher.</w:t>
      </w:r>
    </w:p>
    <w:p w14:paraId="1A4B7BCD" w14:textId="6F89AD37" w:rsidR="00E067E6" w:rsidRPr="00E067E6" w:rsidRDefault="001B0518" w:rsidP="00BB4B9F">
      <w:pPr>
        <w:tabs>
          <w:tab w:val="num" w:pos="720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[02</w:t>
      </w:r>
      <w:r w:rsidR="001F501A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 xml:space="preserve">Nos testes </w:t>
      </w:r>
      <w:r w:rsidR="00E067E6" w:rsidRPr="009D6086">
        <w:rPr>
          <w:rFonts w:ascii="Arial" w:hAnsi="Arial" w:cs="Arial"/>
          <w:i/>
          <w:iCs/>
          <w:sz w:val="24"/>
          <w:szCs w:val="24"/>
        </w:rPr>
        <w:t>in vitro</w:t>
      </w:r>
      <w:r w:rsidR="00E067E6" w:rsidRPr="00E067E6">
        <w:rPr>
          <w:rFonts w:ascii="Arial" w:hAnsi="Arial" w:cs="Arial"/>
          <w:sz w:val="24"/>
          <w:szCs w:val="24"/>
        </w:rPr>
        <w:t>, o produto demonstrou alta capacidade de inibição do crescimento micelial dos patógenos, com uma concentração inibitória mínima (CIM) de 2%</w:t>
      </w:r>
      <w:r>
        <w:rPr>
          <w:rFonts w:ascii="Arial" w:hAnsi="Arial" w:cs="Arial"/>
          <w:sz w:val="24"/>
          <w:szCs w:val="24"/>
        </w:rPr>
        <w:t xml:space="preserve"> (</w:t>
      </w:r>
      <w:r w:rsidR="003B60E2">
        <w:rPr>
          <w:rFonts w:ascii="Arial" w:hAnsi="Arial" w:cs="Arial"/>
          <w:b/>
          <w:bCs/>
          <w:sz w:val="24"/>
          <w:szCs w:val="24"/>
        </w:rPr>
        <w:t xml:space="preserve">Figura </w:t>
      </w:r>
      <w:r w:rsidR="00520E31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), </w:t>
      </w:r>
      <w:r w:rsidRPr="001B0518">
        <w:rPr>
          <w:rFonts w:ascii="Arial" w:hAnsi="Arial" w:cs="Arial"/>
          <w:sz w:val="24"/>
          <w:szCs w:val="24"/>
        </w:rPr>
        <w:t xml:space="preserve">comprovando o seu potencial de controlar e até mesmo exterminar por completo os propágulos fúngicos, principalmente de </w:t>
      </w:r>
      <w:r w:rsidRPr="001B0518">
        <w:rPr>
          <w:rFonts w:ascii="Arial" w:hAnsi="Arial" w:cs="Arial"/>
          <w:i/>
          <w:iCs/>
          <w:sz w:val="24"/>
          <w:szCs w:val="24"/>
        </w:rPr>
        <w:t xml:space="preserve">C. </w:t>
      </w:r>
      <w:proofErr w:type="spellStart"/>
      <w:r w:rsidRPr="001B0518">
        <w:rPr>
          <w:rFonts w:ascii="Arial" w:hAnsi="Arial" w:cs="Arial"/>
          <w:i/>
          <w:iCs/>
          <w:sz w:val="24"/>
          <w:szCs w:val="24"/>
        </w:rPr>
        <w:t>gloeosporioides</w:t>
      </w:r>
      <w:proofErr w:type="spellEnd"/>
      <w:r w:rsidR="00A43A03">
        <w:rPr>
          <w:rFonts w:ascii="Arial" w:hAnsi="Arial" w:cs="Arial"/>
          <w:sz w:val="24"/>
          <w:szCs w:val="24"/>
        </w:rPr>
        <w:t xml:space="preserve"> (</w:t>
      </w:r>
      <w:r w:rsidR="003B60E2">
        <w:rPr>
          <w:rFonts w:ascii="Arial" w:hAnsi="Arial" w:cs="Arial"/>
          <w:b/>
          <w:bCs/>
          <w:sz w:val="24"/>
          <w:szCs w:val="24"/>
        </w:rPr>
        <w:t xml:space="preserve">Figura </w:t>
      </w:r>
      <w:r w:rsidR="00520E31">
        <w:rPr>
          <w:rFonts w:ascii="Arial" w:hAnsi="Arial" w:cs="Arial"/>
          <w:b/>
          <w:bCs/>
          <w:sz w:val="24"/>
          <w:szCs w:val="24"/>
        </w:rPr>
        <w:t>9</w:t>
      </w:r>
      <w:r w:rsidR="00A43A03">
        <w:rPr>
          <w:rFonts w:ascii="Arial" w:hAnsi="Arial" w:cs="Arial"/>
          <w:sz w:val="24"/>
          <w:szCs w:val="24"/>
        </w:rPr>
        <w:t>)</w:t>
      </w:r>
      <w:r w:rsidR="00E067E6" w:rsidRPr="00E067E6">
        <w:rPr>
          <w:rFonts w:ascii="Arial" w:hAnsi="Arial" w:cs="Arial"/>
          <w:sz w:val="24"/>
          <w:szCs w:val="24"/>
        </w:rPr>
        <w:t>.</w:t>
      </w:r>
    </w:p>
    <w:p w14:paraId="56D88095" w14:textId="01E24355" w:rsidR="00403AE1" w:rsidRDefault="00403AE1" w:rsidP="006206FA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[02</w:t>
      </w:r>
      <w:r w:rsidR="001F501A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  <w:t xml:space="preserve">A </w:t>
      </w:r>
      <w:r w:rsidRPr="00403AE1">
        <w:rPr>
          <w:rFonts w:ascii="Arial" w:hAnsi="Arial" w:cs="Arial"/>
          <w:sz w:val="24"/>
          <w:szCs w:val="24"/>
        </w:rPr>
        <w:t xml:space="preserve">utilização </w:t>
      </w:r>
      <w:r>
        <w:rPr>
          <w:rFonts w:ascii="Arial" w:hAnsi="Arial" w:cs="Arial"/>
          <w:sz w:val="24"/>
          <w:szCs w:val="24"/>
        </w:rPr>
        <w:t>de “</w:t>
      </w:r>
      <w:proofErr w:type="spellStart"/>
      <w:r>
        <w:rPr>
          <w:rFonts w:ascii="Arial" w:hAnsi="Arial" w:cs="Arial"/>
          <w:sz w:val="24"/>
          <w:szCs w:val="24"/>
        </w:rPr>
        <w:t>FerExtrat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Pr="00403AE1">
        <w:rPr>
          <w:rFonts w:ascii="Arial" w:hAnsi="Arial" w:cs="Arial"/>
          <w:sz w:val="24"/>
          <w:szCs w:val="24"/>
        </w:rPr>
        <w:t xml:space="preserve">na concentração de apenas 0,1% </w:t>
      </w:r>
      <w:r>
        <w:rPr>
          <w:rFonts w:ascii="Arial" w:hAnsi="Arial" w:cs="Arial"/>
          <w:sz w:val="24"/>
          <w:szCs w:val="24"/>
        </w:rPr>
        <w:t xml:space="preserve">também apresentou alto potencial inibitório. No geral, o produto diminuindo o crescimento micelial </w:t>
      </w:r>
      <w:r w:rsidR="005A4B12">
        <w:rPr>
          <w:rFonts w:ascii="Arial" w:hAnsi="Arial" w:cs="Arial"/>
          <w:sz w:val="24"/>
          <w:szCs w:val="24"/>
        </w:rPr>
        <w:t>(</w:t>
      </w:r>
      <w:r w:rsidR="005A4B12" w:rsidRPr="005A4B12">
        <w:rPr>
          <w:rFonts w:ascii="Arial" w:hAnsi="Arial" w:cs="Arial"/>
          <w:i/>
          <w:iCs/>
          <w:sz w:val="24"/>
          <w:szCs w:val="24"/>
        </w:rPr>
        <w:t>in vitro</w:t>
      </w:r>
      <w:r w:rsidR="005A4B12">
        <w:rPr>
          <w:rFonts w:ascii="Arial" w:hAnsi="Arial" w:cs="Arial"/>
          <w:sz w:val="24"/>
          <w:szCs w:val="24"/>
        </w:rPr>
        <w:t xml:space="preserve">) dos patógenos </w:t>
      </w:r>
      <w:r w:rsidRPr="00403AE1">
        <w:rPr>
          <w:rFonts w:ascii="Arial" w:hAnsi="Arial" w:cs="Arial"/>
          <w:sz w:val="24"/>
          <w:szCs w:val="24"/>
        </w:rPr>
        <w:t>em 38% (</w:t>
      </w:r>
      <w:r w:rsidR="007101EF">
        <w:rPr>
          <w:rFonts w:ascii="Arial" w:hAnsi="Arial" w:cs="Arial"/>
          <w:b/>
          <w:bCs/>
          <w:sz w:val="24"/>
          <w:szCs w:val="24"/>
        </w:rPr>
        <w:t>Figura 1</w:t>
      </w:r>
      <w:r w:rsidR="00520E31">
        <w:rPr>
          <w:rFonts w:ascii="Arial" w:hAnsi="Arial" w:cs="Arial"/>
          <w:b/>
          <w:bCs/>
          <w:sz w:val="24"/>
          <w:szCs w:val="24"/>
        </w:rPr>
        <w:t>0</w:t>
      </w:r>
      <w:r w:rsidRPr="00403AE1">
        <w:rPr>
          <w:rFonts w:ascii="Arial" w:hAnsi="Arial" w:cs="Arial"/>
          <w:sz w:val="24"/>
          <w:szCs w:val="24"/>
        </w:rPr>
        <w:t>), incluindo as quatro espécies isoladas e identificadas na mandioca (</w:t>
      </w:r>
      <w:proofErr w:type="spellStart"/>
      <w:r w:rsidRPr="005A4B12">
        <w:rPr>
          <w:rFonts w:ascii="Arial" w:hAnsi="Arial" w:cs="Arial"/>
          <w:i/>
          <w:iCs/>
          <w:sz w:val="24"/>
          <w:szCs w:val="24"/>
        </w:rPr>
        <w:t>Colletotrichum</w:t>
      </w:r>
      <w:proofErr w:type="spellEnd"/>
      <w:r w:rsidRPr="005A4B1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A4B12">
        <w:rPr>
          <w:rFonts w:ascii="Arial" w:hAnsi="Arial" w:cs="Arial"/>
          <w:i/>
          <w:iCs/>
          <w:sz w:val="24"/>
          <w:szCs w:val="24"/>
        </w:rPr>
        <w:t>gloesporioides</w:t>
      </w:r>
      <w:proofErr w:type="spellEnd"/>
      <w:r w:rsidRPr="00403A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4B12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Pr="00403AE1">
        <w:rPr>
          <w:rFonts w:ascii="Arial" w:hAnsi="Arial" w:cs="Arial"/>
          <w:sz w:val="24"/>
          <w:szCs w:val="24"/>
        </w:rPr>
        <w:t xml:space="preserve"> sp., </w:t>
      </w:r>
      <w:proofErr w:type="spellStart"/>
      <w:r w:rsidRPr="005A4B12">
        <w:rPr>
          <w:rFonts w:ascii="Arial" w:hAnsi="Arial" w:cs="Arial"/>
          <w:i/>
          <w:iCs/>
          <w:sz w:val="24"/>
          <w:szCs w:val="24"/>
        </w:rPr>
        <w:t>Pestalotiopsis</w:t>
      </w:r>
      <w:proofErr w:type="spellEnd"/>
      <w:r w:rsidRPr="005A4B1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A4B12">
        <w:rPr>
          <w:rFonts w:ascii="Arial" w:hAnsi="Arial" w:cs="Arial"/>
          <w:i/>
          <w:iCs/>
          <w:sz w:val="24"/>
          <w:szCs w:val="24"/>
        </w:rPr>
        <w:t>kenyana</w:t>
      </w:r>
      <w:proofErr w:type="spellEnd"/>
      <w:r w:rsidRPr="00403AE1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A4B12">
        <w:rPr>
          <w:rFonts w:ascii="Arial" w:hAnsi="Arial" w:cs="Arial"/>
          <w:i/>
          <w:iCs/>
          <w:sz w:val="24"/>
          <w:szCs w:val="24"/>
        </w:rPr>
        <w:t>Nigrospora</w:t>
      </w:r>
      <w:proofErr w:type="spellEnd"/>
      <w:r w:rsidRPr="005A4B1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A4B12">
        <w:rPr>
          <w:rFonts w:ascii="Arial" w:hAnsi="Arial" w:cs="Arial"/>
          <w:i/>
          <w:iCs/>
          <w:sz w:val="24"/>
          <w:szCs w:val="24"/>
        </w:rPr>
        <w:t>sphaerica</w:t>
      </w:r>
      <w:proofErr w:type="spellEnd"/>
      <w:r w:rsidRPr="00403AE1">
        <w:rPr>
          <w:rFonts w:ascii="Arial" w:hAnsi="Arial" w:cs="Arial"/>
          <w:sz w:val="24"/>
          <w:szCs w:val="24"/>
        </w:rPr>
        <w:t>)</w:t>
      </w:r>
      <w:r w:rsidR="005448D0">
        <w:rPr>
          <w:rFonts w:ascii="Arial" w:hAnsi="Arial" w:cs="Arial"/>
          <w:sz w:val="24"/>
          <w:szCs w:val="24"/>
        </w:rPr>
        <w:t xml:space="preserve"> e um isolado de </w:t>
      </w:r>
      <w:proofErr w:type="spellStart"/>
      <w:r w:rsidRPr="005448D0">
        <w:rPr>
          <w:rFonts w:ascii="Arial" w:hAnsi="Arial" w:cs="Arial"/>
          <w:i/>
          <w:iCs/>
          <w:sz w:val="24"/>
          <w:szCs w:val="24"/>
        </w:rPr>
        <w:t>Sclerotinia</w:t>
      </w:r>
      <w:proofErr w:type="spellEnd"/>
      <w:r w:rsidRPr="005448D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448D0">
        <w:rPr>
          <w:rFonts w:ascii="Arial" w:hAnsi="Arial" w:cs="Arial"/>
          <w:i/>
          <w:iCs/>
          <w:sz w:val="24"/>
          <w:szCs w:val="24"/>
        </w:rPr>
        <w:t>sclerotiorum</w:t>
      </w:r>
      <w:proofErr w:type="spellEnd"/>
      <w:r w:rsidR="005448D0">
        <w:rPr>
          <w:rFonts w:ascii="Arial" w:hAnsi="Arial" w:cs="Arial"/>
          <w:i/>
          <w:iCs/>
          <w:sz w:val="24"/>
          <w:szCs w:val="24"/>
        </w:rPr>
        <w:t xml:space="preserve"> </w:t>
      </w:r>
      <w:r w:rsidR="005448D0" w:rsidRPr="005448D0">
        <w:rPr>
          <w:rFonts w:ascii="Arial" w:hAnsi="Arial" w:cs="Arial"/>
          <w:sz w:val="24"/>
          <w:szCs w:val="24"/>
        </w:rPr>
        <w:t>em posse da coleção da INSYGRO</w:t>
      </w:r>
      <w:r w:rsidR="005A32BC">
        <w:rPr>
          <w:rFonts w:ascii="Arial" w:hAnsi="Arial" w:cs="Arial"/>
          <w:sz w:val="24"/>
          <w:szCs w:val="24"/>
        </w:rPr>
        <w:t xml:space="preserve"> C&amp;T Agronômica, isolado de cultivos de soja do município de Luiz </w:t>
      </w:r>
      <w:proofErr w:type="spellStart"/>
      <w:r w:rsidR="005A32BC">
        <w:rPr>
          <w:rFonts w:ascii="Arial" w:hAnsi="Arial" w:cs="Arial"/>
          <w:sz w:val="24"/>
          <w:szCs w:val="24"/>
        </w:rPr>
        <w:t>Edurdo</w:t>
      </w:r>
      <w:proofErr w:type="spellEnd"/>
      <w:r w:rsidR="005A3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32BC">
        <w:rPr>
          <w:rFonts w:ascii="Arial" w:hAnsi="Arial" w:cs="Arial"/>
          <w:sz w:val="24"/>
          <w:szCs w:val="24"/>
        </w:rPr>
        <w:t>Magalhão</w:t>
      </w:r>
      <w:proofErr w:type="spellEnd"/>
      <w:r w:rsidR="005A32BC">
        <w:rPr>
          <w:rFonts w:ascii="Arial" w:hAnsi="Arial" w:cs="Arial"/>
          <w:sz w:val="24"/>
          <w:szCs w:val="24"/>
        </w:rPr>
        <w:t xml:space="preserve">, BA. A adição deste isolado nos testes se deve a sua alta relevância </w:t>
      </w:r>
      <w:r w:rsidR="006206FA">
        <w:rPr>
          <w:rFonts w:ascii="Arial" w:hAnsi="Arial" w:cs="Arial"/>
          <w:sz w:val="24"/>
          <w:szCs w:val="24"/>
        </w:rPr>
        <w:t xml:space="preserve">agronômica, sendo </w:t>
      </w:r>
      <w:r w:rsidRPr="00403AE1">
        <w:rPr>
          <w:rFonts w:ascii="Arial" w:hAnsi="Arial" w:cs="Arial"/>
          <w:sz w:val="24"/>
          <w:szCs w:val="24"/>
        </w:rPr>
        <w:t xml:space="preserve">agente causal do mofo branco em importantes culturas como </w:t>
      </w:r>
      <w:proofErr w:type="spellStart"/>
      <w:r w:rsidRPr="00403AE1">
        <w:rPr>
          <w:rFonts w:ascii="Arial" w:hAnsi="Arial" w:cs="Arial"/>
          <w:sz w:val="24"/>
          <w:szCs w:val="24"/>
        </w:rPr>
        <w:t>bóbora</w:t>
      </w:r>
      <w:proofErr w:type="spellEnd"/>
      <w:r w:rsidRPr="00403AE1">
        <w:rPr>
          <w:rFonts w:ascii="Arial" w:hAnsi="Arial" w:cs="Arial"/>
          <w:sz w:val="24"/>
          <w:szCs w:val="24"/>
        </w:rPr>
        <w:t>, alface, algodão, amendoim, batata, berinjela, canola, ervilha, feijão, girassol, hortaliças, melancia, melão, pepino, soja e tomate (AGROLINK, 2025)</w:t>
      </w:r>
      <w:r w:rsidR="006206FA">
        <w:rPr>
          <w:rFonts w:ascii="Arial" w:hAnsi="Arial" w:cs="Arial"/>
          <w:sz w:val="24"/>
          <w:szCs w:val="24"/>
        </w:rPr>
        <w:t xml:space="preserve">. Isso justifica a importância </w:t>
      </w:r>
      <w:r w:rsidRPr="00403AE1">
        <w:rPr>
          <w:rFonts w:ascii="Arial" w:hAnsi="Arial" w:cs="Arial"/>
          <w:sz w:val="24"/>
          <w:szCs w:val="24"/>
        </w:rPr>
        <w:t xml:space="preserve">de se incluir este patógeno como alvo de controle utilizando o </w:t>
      </w:r>
      <w:proofErr w:type="spellStart"/>
      <w:r w:rsidR="00B45475">
        <w:rPr>
          <w:rFonts w:ascii="Arial" w:hAnsi="Arial" w:cs="Arial"/>
          <w:sz w:val="24"/>
          <w:szCs w:val="24"/>
        </w:rPr>
        <w:t>CrotonMax</w:t>
      </w:r>
      <w:proofErr w:type="spellEnd"/>
      <w:r w:rsidRPr="00403AE1">
        <w:rPr>
          <w:rFonts w:ascii="Arial" w:hAnsi="Arial" w:cs="Arial"/>
          <w:sz w:val="24"/>
          <w:szCs w:val="24"/>
        </w:rPr>
        <w:t xml:space="preserve">. </w:t>
      </w:r>
    </w:p>
    <w:p w14:paraId="536A5DF9" w14:textId="0423000D" w:rsidR="00A87501" w:rsidRDefault="00C16557" w:rsidP="00403AE1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[0</w:t>
      </w:r>
      <w:r w:rsidR="00F508AD">
        <w:rPr>
          <w:rFonts w:ascii="Arial" w:hAnsi="Arial" w:cs="Arial"/>
          <w:sz w:val="24"/>
          <w:szCs w:val="24"/>
        </w:rPr>
        <w:t>2</w:t>
      </w:r>
      <w:r w:rsidR="006C61D2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DF1255">
        <w:rPr>
          <w:rFonts w:ascii="Arial" w:hAnsi="Arial" w:cs="Arial"/>
          <w:sz w:val="24"/>
          <w:szCs w:val="24"/>
        </w:rPr>
        <w:t xml:space="preserve">Considerando exclusivamente o controle do </w:t>
      </w:r>
      <w:r w:rsidR="00DF1255" w:rsidRPr="00DF1255">
        <w:rPr>
          <w:rFonts w:ascii="Arial" w:hAnsi="Arial" w:cs="Arial"/>
          <w:sz w:val="24"/>
          <w:szCs w:val="24"/>
        </w:rPr>
        <w:t>patógeno</w:t>
      </w:r>
      <w:r w:rsidR="00DF1255" w:rsidRPr="00DF1255">
        <w:rPr>
          <w:rFonts w:ascii="Arial" w:hAnsi="Arial" w:cs="Arial"/>
          <w:i/>
          <w:iCs/>
          <w:sz w:val="24"/>
          <w:szCs w:val="24"/>
        </w:rPr>
        <w:t xml:space="preserve"> C</w:t>
      </w:r>
      <w:r w:rsidR="00DF1255">
        <w:rPr>
          <w:rFonts w:ascii="Arial" w:hAnsi="Arial" w:cs="Arial"/>
          <w:i/>
          <w:iCs/>
          <w:sz w:val="24"/>
          <w:szCs w:val="24"/>
        </w:rPr>
        <w:t>.</w:t>
      </w:r>
      <w:r w:rsidR="00DF1255" w:rsidRPr="00DF125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DF1255" w:rsidRPr="00DF1255">
        <w:rPr>
          <w:rFonts w:ascii="Arial" w:hAnsi="Arial" w:cs="Arial"/>
          <w:i/>
          <w:iCs/>
          <w:sz w:val="24"/>
          <w:szCs w:val="24"/>
        </w:rPr>
        <w:t>gloeosporioides</w:t>
      </w:r>
      <w:proofErr w:type="spellEnd"/>
      <w:r w:rsidR="00DF1255">
        <w:rPr>
          <w:rFonts w:ascii="Arial" w:hAnsi="Arial" w:cs="Arial"/>
          <w:sz w:val="24"/>
          <w:szCs w:val="24"/>
        </w:rPr>
        <w:t xml:space="preserve">, os resultados foram mais </w:t>
      </w:r>
      <w:r w:rsidR="00E65291">
        <w:rPr>
          <w:rFonts w:ascii="Arial" w:hAnsi="Arial" w:cs="Arial"/>
          <w:sz w:val="24"/>
          <w:szCs w:val="24"/>
        </w:rPr>
        <w:t>relevantes</w:t>
      </w:r>
      <w:r w:rsidR="00403AE1" w:rsidRPr="00403AE1">
        <w:rPr>
          <w:rFonts w:ascii="Arial" w:hAnsi="Arial" w:cs="Arial"/>
          <w:sz w:val="24"/>
          <w:szCs w:val="24"/>
        </w:rPr>
        <w:t xml:space="preserve">. O </w:t>
      </w:r>
      <w:proofErr w:type="spellStart"/>
      <w:r w:rsidR="00B45475">
        <w:rPr>
          <w:rFonts w:ascii="Arial" w:hAnsi="Arial" w:cs="Arial"/>
          <w:sz w:val="24"/>
          <w:szCs w:val="24"/>
        </w:rPr>
        <w:t>CrotonMax</w:t>
      </w:r>
      <w:proofErr w:type="spellEnd"/>
      <w:r w:rsidR="00403AE1" w:rsidRPr="00403AE1">
        <w:rPr>
          <w:rFonts w:ascii="Arial" w:hAnsi="Arial" w:cs="Arial"/>
          <w:sz w:val="24"/>
          <w:szCs w:val="24"/>
        </w:rPr>
        <w:t xml:space="preserve"> reduziu em 73% (em média) o crescimento micelial deste patógeno em uma concentração de apenas 0,1%, sendo o resultado</w:t>
      </w:r>
      <w:r w:rsidR="00E344BA">
        <w:rPr>
          <w:rFonts w:ascii="Arial" w:hAnsi="Arial" w:cs="Arial"/>
          <w:sz w:val="24"/>
          <w:szCs w:val="24"/>
        </w:rPr>
        <w:t xml:space="preserve"> </w:t>
      </w:r>
      <w:r w:rsidR="00403AE1" w:rsidRPr="00403AE1">
        <w:rPr>
          <w:rFonts w:ascii="Arial" w:hAnsi="Arial" w:cs="Arial"/>
          <w:sz w:val="24"/>
          <w:szCs w:val="24"/>
        </w:rPr>
        <w:t>mais promissor dentre os patógenos testados</w:t>
      </w:r>
      <w:r w:rsidR="00F508AD">
        <w:rPr>
          <w:rFonts w:ascii="Arial" w:hAnsi="Arial" w:cs="Arial"/>
          <w:sz w:val="24"/>
          <w:szCs w:val="24"/>
        </w:rPr>
        <w:t xml:space="preserve"> (</w:t>
      </w:r>
      <w:r w:rsidR="00DD0540">
        <w:rPr>
          <w:rFonts w:ascii="Arial" w:hAnsi="Arial" w:cs="Arial"/>
          <w:b/>
          <w:bCs/>
          <w:sz w:val="24"/>
          <w:szCs w:val="24"/>
        </w:rPr>
        <w:t>Figura 1</w:t>
      </w:r>
      <w:r w:rsidR="00520E31">
        <w:rPr>
          <w:rFonts w:ascii="Arial" w:hAnsi="Arial" w:cs="Arial"/>
          <w:b/>
          <w:bCs/>
          <w:sz w:val="24"/>
          <w:szCs w:val="24"/>
        </w:rPr>
        <w:t>1</w:t>
      </w:r>
      <w:r w:rsidR="00F508AD">
        <w:rPr>
          <w:rFonts w:ascii="Arial" w:hAnsi="Arial" w:cs="Arial"/>
          <w:sz w:val="24"/>
          <w:szCs w:val="24"/>
        </w:rPr>
        <w:t>)</w:t>
      </w:r>
      <w:r w:rsidR="00E344BA">
        <w:rPr>
          <w:rFonts w:ascii="Arial" w:hAnsi="Arial" w:cs="Arial"/>
          <w:sz w:val="24"/>
          <w:szCs w:val="24"/>
        </w:rPr>
        <w:t xml:space="preserve">, considerando dosagens </w:t>
      </w:r>
      <w:r w:rsidR="00333A13">
        <w:rPr>
          <w:rFonts w:ascii="Arial" w:hAnsi="Arial" w:cs="Arial"/>
          <w:sz w:val="24"/>
          <w:szCs w:val="24"/>
        </w:rPr>
        <w:t xml:space="preserve">eficientes </w:t>
      </w:r>
      <w:r w:rsidR="00E344BA">
        <w:rPr>
          <w:rFonts w:ascii="Arial" w:hAnsi="Arial" w:cs="Arial"/>
          <w:sz w:val="24"/>
          <w:szCs w:val="24"/>
        </w:rPr>
        <w:t>abaixo da concentração inibitória mínima</w:t>
      </w:r>
      <w:r w:rsidR="00333A13">
        <w:rPr>
          <w:rFonts w:ascii="Arial" w:hAnsi="Arial" w:cs="Arial"/>
          <w:sz w:val="24"/>
          <w:szCs w:val="24"/>
        </w:rPr>
        <w:t xml:space="preserve"> (2% de </w:t>
      </w:r>
      <w:proofErr w:type="spellStart"/>
      <w:r w:rsidR="00B45475">
        <w:rPr>
          <w:rFonts w:ascii="Arial" w:hAnsi="Arial" w:cs="Arial"/>
          <w:sz w:val="24"/>
          <w:szCs w:val="24"/>
        </w:rPr>
        <w:t>CrotonMax</w:t>
      </w:r>
      <w:proofErr w:type="spellEnd"/>
      <w:r w:rsidR="00333A13">
        <w:rPr>
          <w:rFonts w:ascii="Arial" w:hAnsi="Arial" w:cs="Arial"/>
          <w:sz w:val="24"/>
          <w:szCs w:val="24"/>
        </w:rPr>
        <w:t>), na qual o patógeno foi praticamente eliminado por completo</w:t>
      </w:r>
      <w:r w:rsidR="00403AE1" w:rsidRPr="00403AE1">
        <w:rPr>
          <w:rFonts w:ascii="Arial" w:hAnsi="Arial" w:cs="Arial"/>
          <w:sz w:val="24"/>
          <w:szCs w:val="24"/>
        </w:rPr>
        <w:t>.</w:t>
      </w:r>
      <w:r w:rsidR="00333A13">
        <w:rPr>
          <w:rFonts w:ascii="Arial" w:hAnsi="Arial" w:cs="Arial"/>
          <w:sz w:val="24"/>
          <w:szCs w:val="24"/>
        </w:rPr>
        <w:t xml:space="preserve"> O estudo de</w:t>
      </w:r>
      <w:r w:rsidR="00E17373">
        <w:rPr>
          <w:rFonts w:ascii="Arial" w:hAnsi="Arial" w:cs="Arial"/>
          <w:sz w:val="24"/>
          <w:szCs w:val="24"/>
        </w:rPr>
        <w:t xml:space="preserve"> dosagens inferiores a 2% de </w:t>
      </w:r>
      <w:proofErr w:type="spellStart"/>
      <w:r w:rsidR="00E17373">
        <w:rPr>
          <w:rFonts w:ascii="Arial" w:hAnsi="Arial" w:cs="Arial"/>
          <w:sz w:val="24"/>
          <w:szCs w:val="24"/>
        </w:rPr>
        <w:t>FerExtrat</w:t>
      </w:r>
      <w:proofErr w:type="spellEnd"/>
      <w:r w:rsidR="00E17373">
        <w:rPr>
          <w:rFonts w:ascii="Arial" w:hAnsi="Arial" w:cs="Arial"/>
          <w:sz w:val="24"/>
          <w:szCs w:val="24"/>
        </w:rPr>
        <w:t xml:space="preserve"> foi relevante, pois permitiu encontrar o menor valor possível de diluição onde ainda é viável e eficiente aplicar o produto. Neste caso, os resultados </w:t>
      </w:r>
      <w:r w:rsidR="00782B9C">
        <w:rPr>
          <w:rFonts w:ascii="Arial" w:hAnsi="Arial" w:cs="Arial"/>
          <w:sz w:val="24"/>
          <w:szCs w:val="24"/>
        </w:rPr>
        <w:t>a aplica</w:t>
      </w:r>
      <w:r w:rsidR="00AA7F9F">
        <w:rPr>
          <w:rFonts w:ascii="Arial" w:hAnsi="Arial" w:cs="Arial"/>
          <w:sz w:val="24"/>
          <w:szCs w:val="24"/>
        </w:rPr>
        <w:t xml:space="preserve"> do produto a </w:t>
      </w:r>
      <w:r w:rsidR="00782B9C">
        <w:rPr>
          <w:rFonts w:ascii="Arial" w:hAnsi="Arial" w:cs="Arial"/>
          <w:sz w:val="24"/>
          <w:szCs w:val="24"/>
        </w:rPr>
        <w:t xml:space="preserve">0,1% ainda representa </w:t>
      </w:r>
      <w:r w:rsidR="002A726F">
        <w:rPr>
          <w:rFonts w:ascii="Arial" w:hAnsi="Arial" w:cs="Arial"/>
          <w:sz w:val="24"/>
          <w:szCs w:val="24"/>
        </w:rPr>
        <w:t xml:space="preserve">potencial de controle efetivo contra os fitopatógenos avaliados, especialmente o </w:t>
      </w:r>
      <w:r w:rsidR="002A726F" w:rsidRPr="00DF1255">
        <w:rPr>
          <w:rFonts w:ascii="Arial" w:hAnsi="Arial" w:cs="Arial"/>
          <w:i/>
          <w:iCs/>
          <w:sz w:val="24"/>
          <w:szCs w:val="24"/>
        </w:rPr>
        <w:t>C</w:t>
      </w:r>
      <w:r w:rsidR="002A726F">
        <w:rPr>
          <w:rFonts w:ascii="Arial" w:hAnsi="Arial" w:cs="Arial"/>
          <w:i/>
          <w:iCs/>
          <w:sz w:val="24"/>
          <w:szCs w:val="24"/>
        </w:rPr>
        <w:t>.</w:t>
      </w:r>
      <w:r w:rsidR="002A726F" w:rsidRPr="00DF125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2A726F" w:rsidRPr="00DF1255">
        <w:rPr>
          <w:rFonts w:ascii="Arial" w:hAnsi="Arial" w:cs="Arial"/>
          <w:i/>
          <w:iCs/>
          <w:sz w:val="24"/>
          <w:szCs w:val="24"/>
        </w:rPr>
        <w:t>gloeosporioides</w:t>
      </w:r>
      <w:proofErr w:type="spellEnd"/>
      <w:r w:rsidR="002A726F" w:rsidRPr="002A726F">
        <w:rPr>
          <w:rFonts w:ascii="Arial" w:hAnsi="Arial" w:cs="Arial"/>
          <w:sz w:val="24"/>
          <w:szCs w:val="24"/>
        </w:rPr>
        <w:t>,</w:t>
      </w:r>
      <w:r w:rsidR="002A726F">
        <w:rPr>
          <w:rFonts w:ascii="Arial" w:hAnsi="Arial" w:cs="Arial"/>
          <w:sz w:val="24"/>
          <w:szCs w:val="24"/>
        </w:rPr>
        <w:t xml:space="preserve"> sendo uma dosagem vinte vezes inferior a concentração inibitória mínima (2%). </w:t>
      </w:r>
    </w:p>
    <w:p w14:paraId="0EEED056" w14:textId="3391182C" w:rsidR="00E067E6" w:rsidRPr="00E067E6" w:rsidRDefault="00F508AD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[02</w:t>
      </w:r>
      <w:r w:rsidR="006C61D2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 xml:space="preserve">Nos testes </w:t>
      </w:r>
      <w:r w:rsidR="00E067E6" w:rsidRPr="00E067E6">
        <w:rPr>
          <w:rFonts w:ascii="Arial" w:hAnsi="Arial" w:cs="Arial"/>
          <w:i/>
          <w:iCs/>
          <w:sz w:val="24"/>
          <w:szCs w:val="24"/>
        </w:rPr>
        <w:t>in vivo</w:t>
      </w:r>
      <w:r w:rsidR="00E067E6" w:rsidRPr="00E067E6">
        <w:rPr>
          <w:rFonts w:ascii="Arial" w:hAnsi="Arial" w:cs="Arial"/>
          <w:sz w:val="24"/>
          <w:szCs w:val="24"/>
        </w:rPr>
        <w:t xml:space="preserve">, </w:t>
      </w:r>
      <w:r w:rsidR="00293D1A">
        <w:rPr>
          <w:rFonts w:ascii="Arial" w:hAnsi="Arial" w:cs="Arial"/>
          <w:sz w:val="24"/>
          <w:szCs w:val="24"/>
        </w:rPr>
        <w:t xml:space="preserve">um experimento com </w:t>
      </w:r>
      <w:r w:rsidR="00E067E6" w:rsidRPr="00E067E6">
        <w:rPr>
          <w:rFonts w:ascii="Arial" w:hAnsi="Arial" w:cs="Arial"/>
          <w:sz w:val="24"/>
          <w:szCs w:val="24"/>
        </w:rPr>
        <w:t xml:space="preserve">plantas de mandioca cultivadas </w:t>
      </w:r>
      <w:r w:rsidR="002B41F2">
        <w:rPr>
          <w:rFonts w:ascii="Arial" w:hAnsi="Arial" w:cs="Arial"/>
          <w:sz w:val="24"/>
          <w:szCs w:val="24"/>
        </w:rPr>
        <w:t xml:space="preserve">há cerca de seis </w:t>
      </w:r>
      <w:r w:rsidR="00293D1A">
        <w:rPr>
          <w:rFonts w:ascii="Arial" w:hAnsi="Arial" w:cs="Arial"/>
          <w:sz w:val="24"/>
          <w:szCs w:val="24"/>
        </w:rPr>
        <w:t xml:space="preserve">meses </w:t>
      </w:r>
      <w:r w:rsidR="00E067E6" w:rsidRPr="00E067E6">
        <w:rPr>
          <w:rFonts w:ascii="Arial" w:hAnsi="Arial" w:cs="Arial"/>
          <w:sz w:val="24"/>
          <w:szCs w:val="24"/>
        </w:rPr>
        <w:t>em campo experimental</w:t>
      </w:r>
      <w:r w:rsidR="003C76BE">
        <w:rPr>
          <w:rFonts w:ascii="Arial" w:hAnsi="Arial" w:cs="Arial"/>
          <w:sz w:val="24"/>
          <w:szCs w:val="24"/>
        </w:rPr>
        <w:t xml:space="preserve"> </w:t>
      </w:r>
      <w:r w:rsidR="002B41F2">
        <w:rPr>
          <w:rFonts w:ascii="Arial" w:hAnsi="Arial" w:cs="Arial"/>
          <w:sz w:val="24"/>
          <w:szCs w:val="24"/>
        </w:rPr>
        <w:t xml:space="preserve">da INSYGRO, em Brejão, PE, foram </w:t>
      </w:r>
      <w:r w:rsidR="003C76BE">
        <w:rPr>
          <w:rFonts w:ascii="Arial" w:hAnsi="Arial" w:cs="Arial"/>
          <w:sz w:val="24"/>
          <w:szCs w:val="24"/>
        </w:rPr>
        <w:t>tratadas preventivamente com “</w:t>
      </w:r>
      <w:proofErr w:type="spellStart"/>
      <w:r w:rsidR="00B45475">
        <w:rPr>
          <w:rFonts w:ascii="Arial" w:hAnsi="Arial" w:cs="Arial"/>
          <w:sz w:val="24"/>
          <w:szCs w:val="24"/>
        </w:rPr>
        <w:t>CrotonMax</w:t>
      </w:r>
      <w:proofErr w:type="spellEnd"/>
      <w:r w:rsidR="003C76BE">
        <w:rPr>
          <w:rFonts w:ascii="Arial" w:hAnsi="Arial" w:cs="Arial"/>
          <w:sz w:val="24"/>
          <w:szCs w:val="24"/>
        </w:rPr>
        <w:t xml:space="preserve">” </w:t>
      </w:r>
      <w:r w:rsidR="00293D1A">
        <w:rPr>
          <w:rFonts w:ascii="Arial" w:hAnsi="Arial" w:cs="Arial"/>
          <w:sz w:val="24"/>
          <w:szCs w:val="24"/>
        </w:rPr>
        <w:t xml:space="preserve">(dosagem 1:50) </w:t>
      </w:r>
      <w:r w:rsidR="003C76BE">
        <w:rPr>
          <w:rFonts w:ascii="Arial" w:hAnsi="Arial" w:cs="Arial"/>
          <w:sz w:val="24"/>
          <w:szCs w:val="24"/>
        </w:rPr>
        <w:t xml:space="preserve">a cada 15 dias </w:t>
      </w:r>
      <w:r w:rsidR="00293D1A">
        <w:rPr>
          <w:rFonts w:ascii="Arial" w:hAnsi="Arial" w:cs="Arial"/>
          <w:sz w:val="24"/>
          <w:szCs w:val="24"/>
        </w:rPr>
        <w:t xml:space="preserve">a partir dos 4 meses de idade, reservando um grupo controle negativo. As plantas tratadas </w:t>
      </w:r>
      <w:r w:rsidR="003C76BE">
        <w:rPr>
          <w:rFonts w:ascii="Arial" w:hAnsi="Arial" w:cs="Arial"/>
          <w:sz w:val="24"/>
          <w:szCs w:val="24"/>
        </w:rPr>
        <w:t>não apresentaram sintomas das doenças</w:t>
      </w:r>
      <w:r w:rsidR="00293D1A">
        <w:rPr>
          <w:rFonts w:ascii="Arial" w:hAnsi="Arial" w:cs="Arial"/>
          <w:sz w:val="24"/>
          <w:szCs w:val="24"/>
        </w:rPr>
        <w:t xml:space="preserve">, enquanto as </w:t>
      </w:r>
      <w:r w:rsidR="009A723B">
        <w:rPr>
          <w:rFonts w:ascii="Arial" w:hAnsi="Arial" w:cs="Arial"/>
          <w:sz w:val="24"/>
          <w:szCs w:val="24"/>
        </w:rPr>
        <w:t>planas controles</w:t>
      </w:r>
      <w:r w:rsidR="00293D1A">
        <w:rPr>
          <w:rFonts w:ascii="Arial" w:hAnsi="Arial" w:cs="Arial"/>
          <w:sz w:val="24"/>
          <w:szCs w:val="24"/>
        </w:rPr>
        <w:t xml:space="preserve"> apresentaram diversos sintomas, incluindo a necrose na gema apical em diversas plantas, sintoma típico da </w:t>
      </w:r>
      <w:r w:rsidR="009A723B">
        <w:rPr>
          <w:rFonts w:ascii="Arial" w:hAnsi="Arial" w:cs="Arial"/>
          <w:sz w:val="24"/>
          <w:szCs w:val="24"/>
        </w:rPr>
        <w:t>antracnose e de outras doenças oportunistas</w:t>
      </w:r>
      <w:r w:rsidR="00964A7A">
        <w:rPr>
          <w:rFonts w:ascii="Arial" w:hAnsi="Arial" w:cs="Arial"/>
          <w:sz w:val="24"/>
          <w:szCs w:val="24"/>
        </w:rPr>
        <w:t xml:space="preserve"> (</w:t>
      </w:r>
      <w:r w:rsidR="00A01034" w:rsidRPr="00A01034">
        <w:rPr>
          <w:rFonts w:ascii="Arial" w:hAnsi="Arial" w:cs="Arial"/>
          <w:b/>
          <w:bCs/>
          <w:sz w:val="24"/>
          <w:szCs w:val="24"/>
        </w:rPr>
        <w:t>Figura 12</w:t>
      </w:r>
      <w:r w:rsidR="00964A7A">
        <w:rPr>
          <w:rFonts w:ascii="Arial" w:hAnsi="Arial" w:cs="Arial"/>
          <w:sz w:val="24"/>
          <w:szCs w:val="24"/>
        </w:rPr>
        <w:t>)</w:t>
      </w:r>
      <w:r w:rsidR="00293D1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Essas observações em campo </w:t>
      </w:r>
      <w:r w:rsidR="00E067E6" w:rsidRPr="00E067E6">
        <w:rPr>
          <w:rFonts w:ascii="Arial" w:hAnsi="Arial" w:cs="Arial"/>
          <w:sz w:val="24"/>
          <w:szCs w:val="24"/>
        </w:rPr>
        <w:t>demonstr</w:t>
      </w:r>
      <w:r w:rsidR="008535B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ram</w:t>
      </w:r>
      <w:r w:rsidR="008535B1">
        <w:rPr>
          <w:rFonts w:ascii="Arial" w:hAnsi="Arial" w:cs="Arial"/>
          <w:sz w:val="24"/>
          <w:szCs w:val="24"/>
        </w:rPr>
        <w:t xml:space="preserve"> </w:t>
      </w:r>
      <w:r w:rsidR="00E067E6" w:rsidRPr="00E067E6">
        <w:rPr>
          <w:rFonts w:ascii="Arial" w:hAnsi="Arial" w:cs="Arial"/>
          <w:sz w:val="24"/>
          <w:szCs w:val="24"/>
        </w:rPr>
        <w:t>eficácia</w:t>
      </w:r>
      <w:r>
        <w:rPr>
          <w:rFonts w:ascii="Arial" w:hAnsi="Arial" w:cs="Arial"/>
          <w:sz w:val="24"/>
          <w:szCs w:val="24"/>
        </w:rPr>
        <w:t>,</w:t>
      </w:r>
      <w:r w:rsidR="00E067E6" w:rsidRPr="00E067E6">
        <w:rPr>
          <w:rFonts w:ascii="Arial" w:hAnsi="Arial" w:cs="Arial"/>
          <w:sz w:val="24"/>
          <w:szCs w:val="24"/>
        </w:rPr>
        <w:t xml:space="preserve"> </w:t>
      </w:r>
      <w:r w:rsidR="00C906BD">
        <w:rPr>
          <w:rFonts w:ascii="Arial" w:hAnsi="Arial" w:cs="Arial"/>
          <w:sz w:val="24"/>
          <w:szCs w:val="24"/>
        </w:rPr>
        <w:t xml:space="preserve">principalmente </w:t>
      </w:r>
      <w:r w:rsidR="00E067E6" w:rsidRPr="00E067E6">
        <w:rPr>
          <w:rFonts w:ascii="Arial" w:hAnsi="Arial" w:cs="Arial"/>
          <w:sz w:val="24"/>
          <w:szCs w:val="24"/>
        </w:rPr>
        <w:t xml:space="preserve">no controle da antracnose, </w:t>
      </w:r>
      <w:r w:rsidR="00893CCD">
        <w:rPr>
          <w:rFonts w:ascii="Arial" w:hAnsi="Arial" w:cs="Arial"/>
          <w:sz w:val="24"/>
          <w:szCs w:val="24"/>
        </w:rPr>
        <w:t xml:space="preserve">havendo </w:t>
      </w:r>
      <w:r w:rsidR="00E067E6" w:rsidRPr="00E067E6">
        <w:rPr>
          <w:rFonts w:ascii="Arial" w:hAnsi="Arial" w:cs="Arial"/>
          <w:sz w:val="24"/>
          <w:szCs w:val="24"/>
        </w:rPr>
        <w:t>redu</w:t>
      </w:r>
      <w:r w:rsidR="00893CCD">
        <w:rPr>
          <w:rFonts w:ascii="Arial" w:hAnsi="Arial" w:cs="Arial"/>
          <w:sz w:val="24"/>
          <w:szCs w:val="24"/>
        </w:rPr>
        <w:t>ção d</w:t>
      </w:r>
      <w:r w:rsidR="00E067E6" w:rsidRPr="00E067E6">
        <w:rPr>
          <w:rFonts w:ascii="Arial" w:hAnsi="Arial" w:cs="Arial"/>
          <w:sz w:val="24"/>
          <w:szCs w:val="24"/>
        </w:rPr>
        <w:t>a incidência e severidade da doença.</w:t>
      </w:r>
      <w:r w:rsidR="00C906BD">
        <w:rPr>
          <w:rFonts w:ascii="Arial" w:hAnsi="Arial" w:cs="Arial"/>
          <w:sz w:val="24"/>
          <w:szCs w:val="24"/>
        </w:rPr>
        <w:t xml:space="preserve"> </w:t>
      </w:r>
      <w:r w:rsidR="00E067E6" w:rsidRPr="00E067E6">
        <w:rPr>
          <w:rFonts w:ascii="Arial" w:hAnsi="Arial" w:cs="Arial"/>
          <w:sz w:val="24"/>
          <w:szCs w:val="24"/>
        </w:rPr>
        <w:t>Além disso, o produto demonstrou boa adesão às folhas da planta</w:t>
      </w:r>
      <w:r w:rsidR="002B41F2">
        <w:rPr>
          <w:rFonts w:ascii="Arial" w:hAnsi="Arial" w:cs="Arial"/>
          <w:sz w:val="24"/>
          <w:szCs w:val="24"/>
        </w:rPr>
        <w:t xml:space="preserve"> e não apresentou sinais claros de “queima” ou toxidez química nessas concentrações</w:t>
      </w:r>
      <w:r w:rsidR="00E067E6" w:rsidRPr="00E067E6">
        <w:rPr>
          <w:rFonts w:ascii="Arial" w:hAnsi="Arial" w:cs="Arial"/>
          <w:sz w:val="24"/>
          <w:szCs w:val="24"/>
        </w:rPr>
        <w:t>, garantindo um tempo de contato prolongado e uma maior absorção dos compostos bioativos</w:t>
      </w:r>
      <w:r w:rsidR="00A43A03">
        <w:rPr>
          <w:rFonts w:ascii="Arial" w:hAnsi="Arial" w:cs="Arial"/>
          <w:sz w:val="24"/>
          <w:szCs w:val="24"/>
        </w:rPr>
        <w:t xml:space="preserve"> (</w:t>
      </w:r>
      <w:r w:rsidR="00E90718">
        <w:rPr>
          <w:rFonts w:ascii="Arial" w:hAnsi="Arial" w:cs="Arial"/>
          <w:b/>
          <w:bCs/>
          <w:sz w:val="24"/>
          <w:szCs w:val="24"/>
        </w:rPr>
        <w:t>Figura 6</w:t>
      </w:r>
      <w:r w:rsidR="00A43A03">
        <w:rPr>
          <w:rFonts w:ascii="Arial" w:hAnsi="Arial" w:cs="Arial"/>
          <w:sz w:val="24"/>
          <w:szCs w:val="24"/>
        </w:rPr>
        <w:t>)</w:t>
      </w:r>
      <w:r w:rsidR="00E067E6" w:rsidRPr="00E067E6">
        <w:rPr>
          <w:rFonts w:ascii="Arial" w:hAnsi="Arial" w:cs="Arial"/>
          <w:sz w:val="24"/>
          <w:szCs w:val="24"/>
        </w:rPr>
        <w:t>.</w:t>
      </w:r>
    </w:p>
    <w:p w14:paraId="7ABB2E95" w14:textId="57A37574" w:rsidR="00E067E6" w:rsidRDefault="009A723B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[02</w:t>
      </w:r>
      <w:r w:rsidR="006C61D2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E067E6" w:rsidRPr="009A723B">
        <w:rPr>
          <w:rFonts w:ascii="Arial" w:hAnsi="Arial" w:cs="Arial"/>
          <w:sz w:val="24"/>
          <w:szCs w:val="24"/>
        </w:rPr>
        <w:t xml:space="preserve">A seguir, apresentamos a formulação final do produto </w:t>
      </w:r>
      <w:proofErr w:type="spellStart"/>
      <w:r w:rsidR="00B45475">
        <w:rPr>
          <w:rFonts w:ascii="Arial" w:hAnsi="Arial" w:cs="Arial"/>
          <w:sz w:val="24"/>
          <w:szCs w:val="24"/>
        </w:rPr>
        <w:t>CrotonMax</w:t>
      </w:r>
      <w:proofErr w:type="spellEnd"/>
      <w:r w:rsidR="00E067E6" w:rsidRPr="009A723B">
        <w:rPr>
          <w:rFonts w:ascii="Arial" w:hAnsi="Arial" w:cs="Arial"/>
          <w:sz w:val="24"/>
          <w:szCs w:val="24"/>
        </w:rPr>
        <w:t>, bem como o protocolo de fabricação</w:t>
      </w:r>
      <w:r>
        <w:rPr>
          <w:rFonts w:ascii="Arial" w:hAnsi="Arial" w:cs="Arial"/>
          <w:sz w:val="24"/>
          <w:szCs w:val="24"/>
        </w:rPr>
        <w:t xml:space="preserve"> para o volume de 1000 </w:t>
      </w:r>
      <w:proofErr w:type="spellStart"/>
      <w:r>
        <w:rPr>
          <w:rFonts w:ascii="Arial" w:hAnsi="Arial" w:cs="Arial"/>
          <w:sz w:val="24"/>
          <w:szCs w:val="24"/>
        </w:rPr>
        <w:t>mL</w:t>
      </w:r>
      <w:proofErr w:type="spellEnd"/>
      <w:r w:rsidR="007817CF">
        <w:rPr>
          <w:rFonts w:ascii="Arial" w:hAnsi="Arial" w:cs="Arial"/>
          <w:sz w:val="24"/>
          <w:szCs w:val="24"/>
        </w:rPr>
        <w:t>, consistindo em um p</w:t>
      </w:r>
      <w:r w:rsidR="007817CF" w:rsidRPr="00E067E6">
        <w:rPr>
          <w:rFonts w:ascii="Arial" w:hAnsi="Arial" w:cs="Arial"/>
          <w:sz w:val="24"/>
          <w:szCs w:val="24"/>
        </w:rPr>
        <w:t>roduto foliar antifúngico, bioestimulante e protetor, com estabilidade prolongada e aderência otimizada.</w:t>
      </w:r>
    </w:p>
    <w:p w14:paraId="74B2FCF6" w14:textId="77777777" w:rsidR="007433F8" w:rsidRDefault="007433F8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571B26" w14:textId="77777777" w:rsidR="007433F8" w:rsidRDefault="007433F8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A0A012" w14:textId="77777777" w:rsidR="007433F8" w:rsidRDefault="007433F8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A2189F" w14:textId="7E7B7094" w:rsidR="00E067E6" w:rsidRPr="006A7DDB" w:rsidRDefault="00E067E6" w:rsidP="006A7DDB">
      <w:pPr>
        <w:spacing w:before="240" w:after="0" w:line="360" w:lineRule="auto"/>
        <w:ind w:left="284"/>
        <w:jc w:val="both"/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</w:pPr>
      <w:r w:rsidRPr="006A7DDB"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Tabela </w:t>
      </w:r>
      <w:r w:rsidR="007817CF" w:rsidRPr="006A7DDB"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  <w:t>1</w:t>
      </w:r>
      <w:r w:rsidR="006A7DDB"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3C2705"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  <w:t>–</w:t>
      </w:r>
      <w:r w:rsidR="00311F40"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  <w:t xml:space="preserve"> Ordem na mistura, c</w:t>
      </w:r>
      <w:r w:rsidRPr="006A7DDB"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  <w:t>omponen</w:t>
      </w:r>
      <w:r w:rsidR="006A7DDB" w:rsidRPr="006A7DDB"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  <w:t xml:space="preserve">tes, </w:t>
      </w:r>
      <w:r w:rsidR="003C2705"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  <w:t>quantidades</w:t>
      </w:r>
      <w:r w:rsidR="006A7DDB" w:rsidRPr="006A7DDB"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311F40"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  <w:t xml:space="preserve">funções </w:t>
      </w:r>
      <w:r w:rsidR="006A7DDB"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  <w:t xml:space="preserve">no </w:t>
      </w:r>
      <w:r w:rsidR="00EC66A7"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  <w:t>produto</w:t>
      </w:r>
      <w:r w:rsidR="006A7DDB">
        <w:rPr>
          <w:rFonts w:ascii="Arial" w:eastAsia="Arial" w:hAnsi="Arial" w:cs="Arial"/>
          <w:kern w:val="0"/>
          <w:sz w:val="24"/>
          <w:szCs w:val="24"/>
          <w:lang w:eastAsia="pt-BR"/>
          <w14:ligatures w14:val="none"/>
        </w:rPr>
        <w:t>.</w:t>
      </w:r>
    </w:p>
    <w:tbl>
      <w:tblPr>
        <w:tblW w:w="487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2606"/>
        <w:gridCol w:w="1539"/>
        <w:gridCol w:w="4033"/>
      </w:tblGrid>
      <w:tr w:rsidR="00A01694" w:rsidRPr="00D4152B" w14:paraId="45C76EA5" w14:textId="77777777" w:rsidTr="00C523E4">
        <w:trPr>
          <w:trHeight w:val="120"/>
          <w:tblHeader/>
        </w:trPr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74800" w14:textId="77777777" w:rsidR="00A01694" w:rsidRPr="00D4152B" w:rsidRDefault="00A01694" w:rsidP="00E067E6">
            <w:pPr>
              <w:rPr>
                <w:b/>
                <w:bCs/>
              </w:rPr>
            </w:pPr>
            <w:r w:rsidRPr="00D4152B">
              <w:rPr>
                <w:b/>
                <w:bCs/>
              </w:rPr>
              <w:t>Ordem</w:t>
            </w:r>
          </w:p>
        </w:tc>
        <w:tc>
          <w:tcPr>
            <w:tcW w:w="1431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229B4" w14:textId="77777777" w:rsidR="00A01694" w:rsidRPr="00D4152B" w:rsidRDefault="00A01694" w:rsidP="00E067E6">
            <w:pPr>
              <w:rPr>
                <w:b/>
                <w:bCs/>
              </w:rPr>
            </w:pPr>
            <w:r w:rsidRPr="00D4152B">
              <w:rPr>
                <w:b/>
                <w:bCs/>
              </w:rPr>
              <w:t>Componente</w:t>
            </w:r>
          </w:p>
        </w:tc>
        <w:tc>
          <w:tcPr>
            <w:tcW w:w="845" w:type="pct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3A762" w14:textId="15F4B031" w:rsidR="00A01694" w:rsidRPr="00D4152B" w:rsidRDefault="00A01694" w:rsidP="00E067E6">
            <w:pPr>
              <w:rPr>
                <w:b/>
                <w:bCs/>
              </w:rPr>
            </w:pPr>
            <w:r w:rsidRPr="00D4152B">
              <w:rPr>
                <w:b/>
                <w:bCs/>
              </w:rPr>
              <w:t>Quantidades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95290" w14:textId="31A9949A" w:rsidR="00A01694" w:rsidRPr="00D4152B" w:rsidRDefault="00A01694" w:rsidP="00E067E6">
            <w:pPr>
              <w:rPr>
                <w:b/>
                <w:bCs/>
              </w:rPr>
            </w:pPr>
            <w:r w:rsidRPr="00D4152B">
              <w:rPr>
                <w:b/>
                <w:bCs/>
              </w:rPr>
              <w:t xml:space="preserve">Função </w:t>
            </w:r>
            <w:r w:rsidR="00EC66A7">
              <w:rPr>
                <w:b/>
                <w:bCs/>
              </w:rPr>
              <w:t>p</w:t>
            </w:r>
            <w:r w:rsidRPr="00D4152B">
              <w:rPr>
                <w:b/>
                <w:bCs/>
              </w:rPr>
              <w:t>rincipal</w:t>
            </w:r>
          </w:p>
        </w:tc>
      </w:tr>
      <w:tr w:rsidR="00A01694" w:rsidRPr="00D4152B" w14:paraId="47D44D01" w14:textId="77777777" w:rsidTr="00C523E4">
        <w:trPr>
          <w:trHeight w:val="120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C7B53" w14:textId="77777777" w:rsidR="00A01694" w:rsidRPr="00D4152B" w:rsidRDefault="00A01694" w:rsidP="00E067E6">
            <w:r w:rsidRPr="00D4152B">
              <w:t>1</w:t>
            </w:r>
          </w:p>
        </w:tc>
        <w:tc>
          <w:tcPr>
            <w:tcW w:w="143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3D6AD" w14:textId="0DB4AAAC" w:rsidR="00A01694" w:rsidRPr="00D4152B" w:rsidRDefault="00A01694" w:rsidP="00E067E6">
            <w:proofErr w:type="spellStart"/>
            <w:r w:rsidRPr="00D4152B">
              <w:t>Hidrolato</w:t>
            </w:r>
            <w:proofErr w:type="spellEnd"/>
            <w:r w:rsidRPr="00D4152B">
              <w:t xml:space="preserve"> de </w:t>
            </w:r>
            <w:proofErr w:type="spellStart"/>
            <w:r w:rsidRPr="00D4152B">
              <w:rPr>
                <w:i/>
                <w:iCs/>
              </w:rPr>
              <w:t>Croton</w:t>
            </w:r>
            <w:proofErr w:type="spellEnd"/>
            <w:r w:rsidRPr="00D4152B">
              <w:rPr>
                <w:i/>
                <w:iCs/>
              </w:rPr>
              <w:t xml:space="preserve"> </w:t>
            </w:r>
            <w:proofErr w:type="spellStart"/>
            <w:r w:rsidR="00C523E4" w:rsidRPr="00C523E4">
              <w:rPr>
                <w:i/>
                <w:iCs/>
              </w:rPr>
              <w:t>heliotropiifolius</w:t>
            </w:r>
            <w:proofErr w:type="spellEnd"/>
          </w:p>
        </w:tc>
        <w:tc>
          <w:tcPr>
            <w:tcW w:w="8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F2062" w14:textId="77777777" w:rsidR="00A01694" w:rsidRPr="00D4152B" w:rsidRDefault="00A01694" w:rsidP="00E067E6">
            <w:r w:rsidRPr="00D4152B">
              <w:t xml:space="preserve">400 </w:t>
            </w:r>
            <w:proofErr w:type="spellStart"/>
            <w:r w:rsidRPr="00D4152B">
              <w:t>mL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A0BB1" w14:textId="77777777" w:rsidR="00A01694" w:rsidRPr="00D4152B" w:rsidRDefault="00A01694" w:rsidP="00E067E6">
            <w:r w:rsidRPr="00D4152B">
              <w:t>Veículo aquoso, atividade antifúngica residual e carreador.</w:t>
            </w:r>
          </w:p>
        </w:tc>
      </w:tr>
      <w:tr w:rsidR="00A01694" w:rsidRPr="00D4152B" w14:paraId="09914A36" w14:textId="77777777" w:rsidTr="00C523E4">
        <w:trPr>
          <w:trHeight w:val="120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AF24F" w14:textId="77777777" w:rsidR="00A01694" w:rsidRPr="00D4152B" w:rsidRDefault="00A01694" w:rsidP="00E067E6">
            <w:r w:rsidRPr="00D4152B">
              <w:t>2</w:t>
            </w:r>
          </w:p>
        </w:tc>
        <w:tc>
          <w:tcPr>
            <w:tcW w:w="143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E9D75" w14:textId="77777777" w:rsidR="00A01694" w:rsidRPr="00D4152B" w:rsidRDefault="00A01694" w:rsidP="00E067E6">
            <w:r w:rsidRPr="00D4152B">
              <w:t>Água destilada (fase inicial)</w:t>
            </w:r>
          </w:p>
        </w:tc>
        <w:tc>
          <w:tcPr>
            <w:tcW w:w="8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3E70A" w14:textId="77777777" w:rsidR="00A01694" w:rsidRPr="00D4152B" w:rsidRDefault="00A01694" w:rsidP="00E067E6">
            <w:r w:rsidRPr="00D4152B">
              <w:t xml:space="preserve">100 </w:t>
            </w:r>
            <w:proofErr w:type="spellStart"/>
            <w:r w:rsidRPr="00D4152B">
              <w:t>mL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32826" w14:textId="77777777" w:rsidR="00A01694" w:rsidRPr="00D4152B" w:rsidRDefault="00A01694" w:rsidP="00E067E6">
            <w:r w:rsidRPr="00D4152B">
              <w:t>Dissolução inicial de hidrossolúveis.</w:t>
            </w:r>
          </w:p>
        </w:tc>
      </w:tr>
      <w:tr w:rsidR="00A01694" w:rsidRPr="00D4152B" w14:paraId="579C19F1" w14:textId="77777777" w:rsidTr="00C523E4">
        <w:trPr>
          <w:trHeight w:val="120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8AD52" w14:textId="77777777" w:rsidR="00A01694" w:rsidRPr="00D4152B" w:rsidRDefault="00A01694" w:rsidP="00E067E6">
            <w:r w:rsidRPr="00D4152B">
              <w:t>3</w:t>
            </w:r>
          </w:p>
        </w:tc>
        <w:tc>
          <w:tcPr>
            <w:tcW w:w="143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DE302" w14:textId="77777777" w:rsidR="00A01694" w:rsidRPr="00D4152B" w:rsidRDefault="00A01694" w:rsidP="00E067E6">
            <w:r w:rsidRPr="00D4152B">
              <w:t>PVP K30</w:t>
            </w:r>
          </w:p>
        </w:tc>
        <w:tc>
          <w:tcPr>
            <w:tcW w:w="8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04DAE" w14:textId="77777777" w:rsidR="00A01694" w:rsidRPr="00D4152B" w:rsidRDefault="00A01694" w:rsidP="00E067E6">
            <w:r w:rsidRPr="00D4152B">
              <w:t>30 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0CD79" w14:textId="77777777" w:rsidR="00A01694" w:rsidRPr="00D4152B" w:rsidRDefault="00A01694" w:rsidP="00E067E6">
            <w:r w:rsidRPr="00D4152B">
              <w:t>Estabilizante/solubilizante (complexa óleos, evita separação).</w:t>
            </w:r>
          </w:p>
        </w:tc>
      </w:tr>
      <w:tr w:rsidR="00A01694" w:rsidRPr="00D4152B" w14:paraId="5935C53C" w14:textId="77777777" w:rsidTr="00C523E4">
        <w:trPr>
          <w:trHeight w:val="120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C1F59" w14:textId="77777777" w:rsidR="00A01694" w:rsidRPr="00D4152B" w:rsidRDefault="00A01694" w:rsidP="00E067E6">
            <w:r w:rsidRPr="00D4152B">
              <w:t>4</w:t>
            </w:r>
          </w:p>
        </w:tc>
        <w:tc>
          <w:tcPr>
            <w:tcW w:w="143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B6947" w14:textId="77777777" w:rsidR="00A01694" w:rsidRPr="00D4152B" w:rsidRDefault="00A01694" w:rsidP="00E067E6">
            <w:r w:rsidRPr="00D4152B">
              <w:t>Propilenoglicol</w:t>
            </w:r>
          </w:p>
        </w:tc>
        <w:tc>
          <w:tcPr>
            <w:tcW w:w="8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EDD00" w14:textId="77777777" w:rsidR="00A01694" w:rsidRPr="00D4152B" w:rsidRDefault="00A01694" w:rsidP="00E067E6">
            <w:r w:rsidRPr="00D4152B">
              <w:t xml:space="preserve">100 </w:t>
            </w:r>
            <w:proofErr w:type="spellStart"/>
            <w:r w:rsidRPr="00D4152B">
              <w:t>mL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1406F" w14:textId="77777777" w:rsidR="00A01694" w:rsidRPr="00D4152B" w:rsidRDefault="00A01694" w:rsidP="00E067E6">
            <w:r w:rsidRPr="00D4152B">
              <w:t>Solvente, umectante e sinergista de PVP.</w:t>
            </w:r>
          </w:p>
        </w:tc>
      </w:tr>
      <w:tr w:rsidR="00A01694" w:rsidRPr="00D4152B" w14:paraId="0D274B0B" w14:textId="77777777" w:rsidTr="00C523E4">
        <w:trPr>
          <w:trHeight w:val="120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C75AB" w14:textId="77777777" w:rsidR="00A01694" w:rsidRPr="00D4152B" w:rsidRDefault="00A01694" w:rsidP="00E067E6">
            <w:r w:rsidRPr="00D4152B">
              <w:t>5</w:t>
            </w:r>
          </w:p>
        </w:tc>
        <w:tc>
          <w:tcPr>
            <w:tcW w:w="143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B3062" w14:textId="77777777" w:rsidR="00A01694" w:rsidRPr="00D4152B" w:rsidRDefault="00A01694" w:rsidP="00E067E6">
            <w:r w:rsidRPr="00D4152B">
              <w:t>EDTA dissódico</w:t>
            </w:r>
          </w:p>
        </w:tc>
        <w:tc>
          <w:tcPr>
            <w:tcW w:w="8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22211" w14:textId="77777777" w:rsidR="00A01694" w:rsidRPr="00D4152B" w:rsidRDefault="00A01694" w:rsidP="00E067E6">
            <w:r w:rsidRPr="00D4152B">
              <w:t>0,2 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1B2FB" w14:textId="77777777" w:rsidR="00A01694" w:rsidRPr="00D4152B" w:rsidRDefault="00A01694" w:rsidP="00E067E6">
            <w:r w:rsidRPr="00D4152B">
              <w:t>Quelante de metais (previne degradação oxidativa).</w:t>
            </w:r>
          </w:p>
        </w:tc>
      </w:tr>
      <w:tr w:rsidR="00A01694" w:rsidRPr="00D4152B" w14:paraId="10BCA560" w14:textId="77777777" w:rsidTr="00C523E4">
        <w:trPr>
          <w:trHeight w:val="120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6B0B5" w14:textId="4A4DE8EF" w:rsidR="00A01694" w:rsidRPr="00D4152B" w:rsidRDefault="00A01694" w:rsidP="00E067E6">
            <w:r w:rsidRPr="00D4152B">
              <w:t>6</w:t>
            </w:r>
          </w:p>
        </w:tc>
        <w:tc>
          <w:tcPr>
            <w:tcW w:w="143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5E6AD" w14:textId="182053C9" w:rsidR="00A01694" w:rsidRPr="00D4152B" w:rsidRDefault="00A01694" w:rsidP="00E067E6">
            <w:r w:rsidRPr="00D4152B">
              <w:t xml:space="preserve">Ácido </w:t>
            </w:r>
            <w:proofErr w:type="spellStart"/>
            <w:r w:rsidRPr="00D4152B">
              <w:t>benzóico</w:t>
            </w:r>
            <w:proofErr w:type="spellEnd"/>
            <w:r w:rsidRPr="00D4152B">
              <w:t xml:space="preserve"> ou</w:t>
            </w:r>
            <w:r w:rsidR="00A40283">
              <w:t xml:space="preserve"> </w:t>
            </w:r>
            <w:proofErr w:type="spellStart"/>
            <w:r w:rsidR="00A40283">
              <w:t>benzaoto</w:t>
            </w:r>
            <w:proofErr w:type="spellEnd"/>
            <w:r w:rsidR="00A40283">
              <w:t xml:space="preserve"> de sódio</w:t>
            </w:r>
          </w:p>
        </w:tc>
        <w:tc>
          <w:tcPr>
            <w:tcW w:w="8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C0B7C" w14:textId="77777777" w:rsidR="00A01694" w:rsidRPr="00D4152B" w:rsidRDefault="00A01694" w:rsidP="00E067E6">
            <w:r w:rsidRPr="00D4152B">
              <w:t>3 g ou 4 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153A9" w14:textId="77777777" w:rsidR="00A01694" w:rsidRPr="00D4152B" w:rsidRDefault="00A01694" w:rsidP="00E067E6">
            <w:r w:rsidRPr="00D4152B">
              <w:t>Conservante primário (ação contra bactérias e fungos).</w:t>
            </w:r>
          </w:p>
        </w:tc>
      </w:tr>
      <w:tr w:rsidR="00A01694" w:rsidRPr="00D4152B" w14:paraId="7DC0468D" w14:textId="77777777" w:rsidTr="00C523E4">
        <w:trPr>
          <w:trHeight w:val="859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11224" w14:textId="2B46559E" w:rsidR="00A01694" w:rsidRPr="00D4152B" w:rsidRDefault="00A01694" w:rsidP="00E067E6">
            <w:r w:rsidRPr="00D4152B">
              <w:t>7</w:t>
            </w:r>
          </w:p>
        </w:tc>
        <w:tc>
          <w:tcPr>
            <w:tcW w:w="143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1C6BE" w14:textId="77777777" w:rsidR="00A01694" w:rsidRPr="00D4152B" w:rsidRDefault="00A01694" w:rsidP="00E067E6">
            <w:proofErr w:type="spellStart"/>
            <w:r w:rsidRPr="00D4152B">
              <w:t>Sorbato</w:t>
            </w:r>
            <w:proofErr w:type="spellEnd"/>
            <w:r w:rsidRPr="00D4152B">
              <w:t xml:space="preserve"> de potássio</w:t>
            </w:r>
          </w:p>
        </w:tc>
        <w:tc>
          <w:tcPr>
            <w:tcW w:w="8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BCDA2" w14:textId="77777777" w:rsidR="00A01694" w:rsidRPr="00D4152B" w:rsidRDefault="00A01694" w:rsidP="00E067E6">
            <w:r w:rsidRPr="00D4152B">
              <w:t>1 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C8A2D" w14:textId="77777777" w:rsidR="00A01694" w:rsidRPr="00D4152B" w:rsidRDefault="00A01694" w:rsidP="00E067E6">
            <w:r w:rsidRPr="00D4152B">
              <w:t>Conservante secundário (foco em bolores/leveduras).</w:t>
            </w:r>
          </w:p>
        </w:tc>
      </w:tr>
      <w:tr w:rsidR="00A01694" w:rsidRPr="00D4152B" w14:paraId="6BCBF4E8" w14:textId="77777777" w:rsidTr="00C523E4">
        <w:trPr>
          <w:trHeight w:val="611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F89F4" w14:textId="32DADACD" w:rsidR="00A01694" w:rsidRPr="00D4152B" w:rsidRDefault="00A01694" w:rsidP="00E067E6">
            <w:r w:rsidRPr="00D4152B">
              <w:t>8</w:t>
            </w:r>
          </w:p>
        </w:tc>
        <w:tc>
          <w:tcPr>
            <w:tcW w:w="143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C43DC" w14:textId="77777777" w:rsidR="00A01694" w:rsidRPr="00D4152B" w:rsidRDefault="00A01694" w:rsidP="00E067E6">
            <w:r w:rsidRPr="00D4152B">
              <w:t>Goma xantana</w:t>
            </w:r>
          </w:p>
        </w:tc>
        <w:tc>
          <w:tcPr>
            <w:tcW w:w="8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925DB" w14:textId="77777777" w:rsidR="00A01694" w:rsidRPr="00D4152B" w:rsidRDefault="00A01694" w:rsidP="00E067E6">
            <w:r w:rsidRPr="00D4152B">
              <w:t>5 g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E37E5" w14:textId="77777777" w:rsidR="00A01694" w:rsidRPr="00D4152B" w:rsidRDefault="00A01694" w:rsidP="00E067E6">
            <w:r w:rsidRPr="00D4152B">
              <w:t>Espessante (aumenta aderência às folhas).</w:t>
            </w:r>
          </w:p>
        </w:tc>
      </w:tr>
      <w:tr w:rsidR="00A01694" w:rsidRPr="00D4152B" w14:paraId="184A91E2" w14:textId="77777777" w:rsidTr="00C523E4">
        <w:trPr>
          <w:trHeight w:val="110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F53E2" w14:textId="18AABF60" w:rsidR="00A01694" w:rsidRPr="00D4152B" w:rsidRDefault="00A01694" w:rsidP="00E067E6">
            <w:r w:rsidRPr="00D4152B">
              <w:t>9</w:t>
            </w:r>
          </w:p>
        </w:tc>
        <w:tc>
          <w:tcPr>
            <w:tcW w:w="143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1B248" w14:textId="426FF274" w:rsidR="00A01694" w:rsidRPr="00D4152B" w:rsidRDefault="00EC66A7" w:rsidP="00E067E6">
            <w:r w:rsidRPr="00EC66A7">
              <w:t xml:space="preserve">Dimetilsulfóxido </w:t>
            </w:r>
            <w:r>
              <w:t>(</w:t>
            </w:r>
            <w:r w:rsidR="00A01694" w:rsidRPr="00D4152B">
              <w:t>DMSO</w:t>
            </w:r>
            <w:r>
              <w:t>)</w:t>
            </w:r>
          </w:p>
        </w:tc>
        <w:tc>
          <w:tcPr>
            <w:tcW w:w="8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4FE42" w14:textId="77777777" w:rsidR="00A01694" w:rsidRPr="00D4152B" w:rsidRDefault="00A01694" w:rsidP="00E067E6">
            <w:r w:rsidRPr="00D4152B">
              <w:t xml:space="preserve">70 </w:t>
            </w:r>
            <w:proofErr w:type="spellStart"/>
            <w:r w:rsidRPr="00D4152B">
              <w:t>mL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B2575" w14:textId="77777777" w:rsidR="00A01694" w:rsidRPr="00D4152B" w:rsidRDefault="00A01694" w:rsidP="00E067E6">
            <w:r w:rsidRPr="00D4152B">
              <w:t>Penetrante e solvente (aumenta biodisponibilidade dos ativos).</w:t>
            </w:r>
          </w:p>
        </w:tc>
      </w:tr>
      <w:tr w:rsidR="00A01694" w:rsidRPr="00D4152B" w14:paraId="6DCFEB2F" w14:textId="77777777" w:rsidTr="00C523E4">
        <w:trPr>
          <w:trHeight w:val="611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B41B9" w14:textId="6DCEA39A" w:rsidR="00A01694" w:rsidRPr="00D4152B" w:rsidRDefault="00A01694" w:rsidP="00E067E6">
            <w:r w:rsidRPr="00D4152B">
              <w:t>10</w:t>
            </w:r>
          </w:p>
        </w:tc>
        <w:tc>
          <w:tcPr>
            <w:tcW w:w="143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54002" w14:textId="367F7D29" w:rsidR="00A01694" w:rsidRPr="00D4152B" w:rsidRDefault="00A01694" w:rsidP="00E067E6">
            <w:r w:rsidRPr="00D4152B">
              <w:t xml:space="preserve">Óleo essencial de </w:t>
            </w:r>
            <w:proofErr w:type="spellStart"/>
            <w:r w:rsidRPr="00D4152B">
              <w:rPr>
                <w:i/>
                <w:iCs/>
              </w:rPr>
              <w:t>Croton</w:t>
            </w:r>
            <w:proofErr w:type="spellEnd"/>
            <w:r w:rsidRPr="00D4152B">
              <w:rPr>
                <w:i/>
                <w:iCs/>
              </w:rPr>
              <w:t xml:space="preserve"> </w:t>
            </w:r>
            <w:proofErr w:type="spellStart"/>
            <w:r w:rsidR="00C523E4" w:rsidRPr="00C523E4">
              <w:rPr>
                <w:i/>
                <w:iCs/>
              </w:rPr>
              <w:t>heliotropiifolius</w:t>
            </w:r>
            <w:proofErr w:type="spellEnd"/>
          </w:p>
        </w:tc>
        <w:tc>
          <w:tcPr>
            <w:tcW w:w="8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A3D02" w14:textId="77777777" w:rsidR="00A01694" w:rsidRPr="00D4152B" w:rsidRDefault="00A01694" w:rsidP="00E067E6">
            <w:r w:rsidRPr="00D4152B">
              <w:t xml:space="preserve">20 </w:t>
            </w:r>
            <w:proofErr w:type="spellStart"/>
            <w:r w:rsidRPr="00D4152B">
              <w:t>mL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34706" w14:textId="77777777" w:rsidR="00A01694" w:rsidRPr="00D4152B" w:rsidRDefault="00A01694" w:rsidP="00E067E6">
            <w:r w:rsidRPr="00D4152B">
              <w:t>Ativo antifúngico (ação direta).</w:t>
            </w:r>
          </w:p>
        </w:tc>
      </w:tr>
      <w:tr w:rsidR="00A01694" w:rsidRPr="00D4152B" w14:paraId="114348A9" w14:textId="77777777" w:rsidTr="00C523E4">
        <w:trPr>
          <w:trHeight w:val="625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6096C" w14:textId="0BD487F9" w:rsidR="00A01694" w:rsidRPr="00D4152B" w:rsidRDefault="00A01694" w:rsidP="00E067E6">
            <w:r w:rsidRPr="00D4152B">
              <w:t>11</w:t>
            </w:r>
          </w:p>
        </w:tc>
        <w:tc>
          <w:tcPr>
            <w:tcW w:w="143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468AB" w14:textId="77777777" w:rsidR="00A01694" w:rsidRPr="00D4152B" w:rsidRDefault="00A01694" w:rsidP="00E067E6">
            <w:proofErr w:type="spellStart"/>
            <w:r w:rsidRPr="00D4152B">
              <w:t>Tween</w:t>
            </w:r>
            <w:proofErr w:type="spellEnd"/>
            <w:r w:rsidRPr="00D4152B">
              <w:t xml:space="preserve"> 80</w:t>
            </w:r>
          </w:p>
        </w:tc>
        <w:tc>
          <w:tcPr>
            <w:tcW w:w="8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BB80D" w14:textId="77777777" w:rsidR="00A01694" w:rsidRPr="00D4152B" w:rsidRDefault="00A01694" w:rsidP="00E067E6">
            <w:r w:rsidRPr="00D4152B">
              <w:t xml:space="preserve">30 </w:t>
            </w:r>
            <w:proofErr w:type="spellStart"/>
            <w:r w:rsidRPr="00D4152B">
              <w:t>mL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0B1D2" w14:textId="77777777" w:rsidR="00A01694" w:rsidRPr="00D4152B" w:rsidRDefault="00A01694" w:rsidP="00E067E6">
            <w:r w:rsidRPr="00D4152B">
              <w:t>Emulsificante (estabiliza a mistura óleo-água).</w:t>
            </w:r>
          </w:p>
        </w:tc>
      </w:tr>
      <w:tr w:rsidR="00A01694" w:rsidRPr="00D4152B" w14:paraId="2D00FC37" w14:textId="77777777" w:rsidTr="00C523E4">
        <w:trPr>
          <w:trHeight w:val="611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7463F" w14:textId="664AC9CF" w:rsidR="00A01694" w:rsidRPr="00D4152B" w:rsidRDefault="00A01694" w:rsidP="00E067E6">
            <w:r w:rsidRPr="00D4152B">
              <w:lastRenderedPageBreak/>
              <w:t>12</w:t>
            </w:r>
          </w:p>
        </w:tc>
        <w:tc>
          <w:tcPr>
            <w:tcW w:w="143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ECA56" w14:textId="77777777" w:rsidR="00A01694" w:rsidRPr="00D4152B" w:rsidRDefault="00A01694" w:rsidP="00E067E6">
            <w:r w:rsidRPr="00D4152B">
              <w:t>Etanol 90%</w:t>
            </w:r>
          </w:p>
        </w:tc>
        <w:tc>
          <w:tcPr>
            <w:tcW w:w="8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E1D38" w14:textId="77777777" w:rsidR="00A01694" w:rsidRPr="00D4152B" w:rsidRDefault="00A01694" w:rsidP="00E067E6">
            <w:r w:rsidRPr="00D4152B">
              <w:t xml:space="preserve">100 </w:t>
            </w:r>
            <w:proofErr w:type="spellStart"/>
            <w:r w:rsidRPr="00D4152B">
              <w:t>mL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3C6E2" w14:textId="77777777" w:rsidR="00A01694" w:rsidRPr="00D4152B" w:rsidRDefault="00A01694" w:rsidP="00E067E6">
            <w:r w:rsidRPr="00D4152B">
              <w:t>Conservante, coadjuvante de penetração e solvente.</w:t>
            </w:r>
          </w:p>
        </w:tc>
      </w:tr>
      <w:tr w:rsidR="00A01694" w:rsidRPr="00D4152B" w14:paraId="7BA79BDB" w14:textId="77777777" w:rsidTr="00C523E4">
        <w:trPr>
          <w:trHeight w:val="611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F15F7" w14:textId="620C8538" w:rsidR="00A01694" w:rsidRPr="00D4152B" w:rsidRDefault="00A01694" w:rsidP="00E067E6">
            <w:r w:rsidRPr="00D4152B">
              <w:t>1</w:t>
            </w:r>
            <w:r w:rsidR="00D4152B">
              <w:t>3</w:t>
            </w:r>
          </w:p>
        </w:tc>
        <w:tc>
          <w:tcPr>
            <w:tcW w:w="1431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A4EC4" w14:textId="7EDBA621" w:rsidR="00A01694" w:rsidRPr="00D4152B" w:rsidRDefault="00A01694" w:rsidP="00E067E6">
            <w:r w:rsidRPr="00D4152B">
              <w:t xml:space="preserve">Água destilada </w:t>
            </w:r>
          </w:p>
        </w:tc>
        <w:tc>
          <w:tcPr>
            <w:tcW w:w="8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5D144" w14:textId="263A7B5C" w:rsidR="00A01694" w:rsidRPr="00D4152B" w:rsidRDefault="00A01694" w:rsidP="00E067E6">
            <w:r w:rsidRPr="00D4152B">
              <w:t xml:space="preserve">Ajuste final para 1000 </w:t>
            </w:r>
            <w:proofErr w:type="spellStart"/>
            <w:r w:rsidRPr="00D4152B">
              <w:t>mL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9E317" w14:textId="77777777" w:rsidR="00A01694" w:rsidRPr="00D4152B" w:rsidRDefault="00A01694" w:rsidP="00E067E6">
            <w:r w:rsidRPr="00D4152B">
              <w:t>Ajuste de volume final.</w:t>
            </w:r>
          </w:p>
        </w:tc>
      </w:tr>
    </w:tbl>
    <w:p w14:paraId="681321F5" w14:textId="7716158C" w:rsidR="00E067E6" w:rsidRPr="00A01694" w:rsidRDefault="00A01694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</w:t>
      </w:r>
      <w:r w:rsidR="00EC66A7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E067E6" w:rsidRPr="00A0169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E067E6" w:rsidRPr="00A01694">
        <w:rPr>
          <w:rFonts w:ascii="Arial" w:hAnsi="Arial" w:cs="Arial"/>
          <w:sz w:val="24"/>
          <w:szCs w:val="24"/>
        </w:rPr>
        <w:t>benzoato</w:t>
      </w:r>
      <w:proofErr w:type="spellEnd"/>
      <w:r w:rsidR="00E067E6" w:rsidRPr="00A01694">
        <w:rPr>
          <w:rFonts w:ascii="Arial" w:hAnsi="Arial" w:cs="Arial"/>
          <w:sz w:val="24"/>
          <w:szCs w:val="24"/>
        </w:rPr>
        <w:t xml:space="preserve"> de sódio é viável, mas a formulação precisará ter pH ajustado para &lt; 5,0 para liberar ácido </w:t>
      </w:r>
      <w:proofErr w:type="spellStart"/>
      <w:r w:rsidR="00E067E6" w:rsidRPr="00A01694">
        <w:rPr>
          <w:rFonts w:ascii="Arial" w:hAnsi="Arial" w:cs="Arial"/>
          <w:sz w:val="24"/>
          <w:szCs w:val="24"/>
        </w:rPr>
        <w:t>benzóico</w:t>
      </w:r>
      <w:proofErr w:type="spellEnd"/>
      <w:r w:rsidR="00E067E6" w:rsidRPr="00A01694">
        <w:rPr>
          <w:rFonts w:ascii="Arial" w:hAnsi="Arial" w:cs="Arial"/>
          <w:sz w:val="24"/>
          <w:szCs w:val="24"/>
        </w:rPr>
        <w:t xml:space="preserve"> ativo. Se o pH não puder ser reduzido, aumente a dose para 0,4% para compensar a perda de eficiência.</w:t>
      </w:r>
    </w:p>
    <w:p w14:paraId="45A65AA4" w14:textId="4F413E4F" w:rsidR="00E067E6" w:rsidRPr="00E067E6" w:rsidRDefault="00C04A17" w:rsidP="00C04A17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827F14">
        <w:rPr>
          <w:rFonts w:ascii="Arial" w:hAnsi="Arial" w:cs="Arial"/>
          <w:sz w:val="24"/>
          <w:szCs w:val="24"/>
        </w:rPr>
        <w:t>[0</w:t>
      </w:r>
      <w:r w:rsidR="00EC66A7">
        <w:rPr>
          <w:rFonts w:ascii="Arial" w:hAnsi="Arial" w:cs="Arial"/>
          <w:sz w:val="24"/>
          <w:szCs w:val="24"/>
        </w:rPr>
        <w:t>31</w:t>
      </w:r>
      <w:r w:rsidRPr="00827F14">
        <w:rPr>
          <w:rFonts w:ascii="Arial" w:hAnsi="Arial" w:cs="Arial"/>
          <w:sz w:val="24"/>
          <w:szCs w:val="24"/>
        </w:rPr>
        <w:t>]</w:t>
      </w:r>
      <w:r w:rsidRPr="00827F14">
        <w:rPr>
          <w:rFonts w:ascii="Arial" w:hAnsi="Arial" w:cs="Arial"/>
          <w:sz w:val="24"/>
          <w:szCs w:val="24"/>
        </w:rPr>
        <w:tab/>
      </w:r>
      <w:r w:rsidR="00E067E6" w:rsidRPr="00827F14">
        <w:rPr>
          <w:rFonts w:ascii="Arial" w:hAnsi="Arial" w:cs="Arial"/>
          <w:sz w:val="24"/>
          <w:szCs w:val="24"/>
        </w:rPr>
        <w:t>Protocolo de Fabricação (Passo a Passo)</w:t>
      </w:r>
      <w:r w:rsidR="00827F14" w:rsidRPr="00827F14">
        <w:rPr>
          <w:rFonts w:ascii="Arial" w:hAnsi="Arial" w:cs="Arial"/>
          <w:sz w:val="24"/>
          <w:szCs w:val="24"/>
        </w:rPr>
        <w:t xml:space="preserve"> - </w:t>
      </w:r>
      <w:r w:rsidR="00E067E6" w:rsidRPr="00827F14">
        <w:rPr>
          <w:rFonts w:ascii="Arial" w:hAnsi="Arial" w:cs="Arial"/>
          <w:sz w:val="24"/>
          <w:szCs w:val="24"/>
        </w:rPr>
        <w:t>Equipamentos Necessários:</w:t>
      </w:r>
      <w:r w:rsidRPr="00827F14">
        <w:rPr>
          <w:rFonts w:ascii="Arial" w:hAnsi="Arial" w:cs="Arial"/>
          <w:sz w:val="24"/>
          <w:szCs w:val="24"/>
        </w:rPr>
        <w:t xml:space="preserve"> </w:t>
      </w:r>
      <w:r w:rsidR="00E067E6" w:rsidRPr="00827F14">
        <w:rPr>
          <w:rFonts w:ascii="Arial" w:hAnsi="Arial" w:cs="Arial"/>
          <w:sz w:val="24"/>
          <w:szCs w:val="24"/>
        </w:rPr>
        <w:t>Agitador magnético com aquecimento</w:t>
      </w:r>
      <w:r w:rsidRPr="00827F14">
        <w:rPr>
          <w:rFonts w:ascii="Arial" w:hAnsi="Arial" w:cs="Arial"/>
          <w:sz w:val="24"/>
          <w:szCs w:val="24"/>
        </w:rPr>
        <w:t>; b</w:t>
      </w:r>
      <w:r w:rsidR="00E067E6" w:rsidRPr="00827F14">
        <w:rPr>
          <w:rFonts w:ascii="Arial" w:hAnsi="Arial" w:cs="Arial"/>
          <w:sz w:val="24"/>
          <w:szCs w:val="24"/>
        </w:rPr>
        <w:t>anho ultrassônico (40 kHz)</w:t>
      </w:r>
      <w:r w:rsidRPr="00827F14">
        <w:rPr>
          <w:rFonts w:ascii="Arial" w:hAnsi="Arial" w:cs="Arial"/>
          <w:sz w:val="24"/>
          <w:szCs w:val="24"/>
        </w:rPr>
        <w:t>; homogeneizador</w:t>
      </w:r>
      <w:r w:rsidR="00E067E6" w:rsidRPr="00827F14">
        <w:rPr>
          <w:rFonts w:ascii="Arial" w:hAnsi="Arial" w:cs="Arial"/>
          <w:sz w:val="24"/>
          <w:szCs w:val="24"/>
        </w:rPr>
        <w:t xml:space="preserve"> de alta rotação (10.000 rpm)</w:t>
      </w:r>
      <w:r w:rsidRPr="00827F14">
        <w:rPr>
          <w:rFonts w:ascii="Arial" w:hAnsi="Arial" w:cs="Arial"/>
          <w:sz w:val="24"/>
          <w:szCs w:val="24"/>
        </w:rPr>
        <w:t>; b</w:t>
      </w:r>
      <w:r w:rsidR="00E067E6" w:rsidRPr="00827F14">
        <w:rPr>
          <w:rFonts w:ascii="Arial" w:hAnsi="Arial" w:cs="Arial"/>
          <w:sz w:val="24"/>
          <w:szCs w:val="24"/>
        </w:rPr>
        <w:t>alanças de precisão (0,001 g)</w:t>
      </w:r>
      <w:r w:rsidRPr="00827F14">
        <w:rPr>
          <w:rFonts w:ascii="Arial" w:hAnsi="Arial" w:cs="Arial"/>
          <w:sz w:val="24"/>
          <w:szCs w:val="24"/>
        </w:rPr>
        <w:t xml:space="preserve">; </w:t>
      </w:r>
      <w:r w:rsidR="00E067E6" w:rsidRPr="00827F14">
        <w:rPr>
          <w:rFonts w:ascii="Arial" w:hAnsi="Arial" w:cs="Arial"/>
          <w:sz w:val="24"/>
          <w:szCs w:val="24"/>
        </w:rPr>
        <w:t>pHmetro digital</w:t>
      </w:r>
      <w:r w:rsidRPr="00827F14">
        <w:rPr>
          <w:rFonts w:ascii="Arial" w:hAnsi="Arial" w:cs="Arial"/>
          <w:sz w:val="24"/>
          <w:szCs w:val="24"/>
        </w:rPr>
        <w:t>; f</w:t>
      </w:r>
      <w:r w:rsidR="00E067E6" w:rsidRPr="00827F14">
        <w:rPr>
          <w:rFonts w:ascii="Arial" w:hAnsi="Arial" w:cs="Arial"/>
          <w:sz w:val="24"/>
          <w:szCs w:val="24"/>
        </w:rPr>
        <w:t>rascos de vidro âmbar esterilizados.</w:t>
      </w:r>
    </w:p>
    <w:p w14:paraId="550DB0AC" w14:textId="457B0F52" w:rsidR="00E067E6" w:rsidRPr="00706FE4" w:rsidRDefault="00827F14" w:rsidP="00827F14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827F14">
        <w:rPr>
          <w:rFonts w:ascii="Arial" w:hAnsi="Arial" w:cs="Arial"/>
          <w:sz w:val="24"/>
          <w:szCs w:val="24"/>
        </w:rPr>
        <w:t>[03</w:t>
      </w:r>
      <w:r w:rsidR="00EC66A7">
        <w:rPr>
          <w:rFonts w:ascii="Arial" w:hAnsi="Arial" w:cs="Arial"/>
          <w:sz w:val="24"/>
          <w:szCs w:val="24"/>
        </w:rPr>
        <w:t>2</w:t>
      </w:r>
      <w:r w:rsidRPr="00827F14">
        <w:rPr>
          <w:rFonts w:ascii="Arial" w:hAnsi="Arial" w:cs="Arial"/>
          <w:sz w:val="24"/>
          <w:szCs w:val="24"/>
        </w:rPr>
        <w:t>]</w:t>
      </w:r>
      <w:r w:rsidRPr="00827F14">
        <w:rPr>
          <w:rFonts w:ascii="Arial" w:hAnsi="Arial" w:cs="Arial"/>
          <w:sz w:val="24"/>
          <w:szCs w:val="24"/>
        </w:rPr>
        <w:tab/>
      </w:r>
      <w:r w:rsidR="00E067E6" w:rsidRPr="00827F14">
        <w:rPr>
          <w:rFonts w:ascii="Arial" w:hAnsi="Arial" w:cs="Arial"/>
          <w:sz w:val="24"/>
          <w:szCs w:val="24"/>
        </w:rPr>
        <w:t>Passo 1</w:t>
      </w:r>
      <w:r w:rsidRPr="00827F14">
        <w:rPr>
          <w:rFonts w:ascii="Arial" w:hAnsi="Arial" w:cs="Arial"/>
          <w:sz w:val="24"/>
          <w:szCs w:val="24"/>
        </w:rPr>
        <w:t xml:space="preserve"> -</w:t>
      </w:r>
      <w:r w:rsidR="00E067E6" w:rsidRPr="00827F14">
        <w:rPr>
          <w:rFonts w:ascii="Arial" w:hAnsi="Arial" w:cs="Arial"/>
          <w:sz w:val="24"/>
          <w:szCs w:val="24"/>
        </w:rPr>
        <w:t xml:space="preserve"> Preparação da Fase Aquosa</w:t>
      </w:r>
      <w:r w:rsidRPr="00827F14">
        <w:rPr>
          <w:rFonts w:ascii="Arial" w:hAnsi="Arial" w:cs="Arial"/>
          <w:sz w:val="24"/>
          <w:szCs w:val="24"/>
        </w:rPr>
        <w:t xml:space="preserve">: (1) </w:t>
      </w:r>
      <w:r w:rsidR="00E067E6" w:rsidRPr="00827F14">
        <w:rPr>
          <w:rFonts w:ascii="Arial" w:hAnsi="Arial" w:cs="Arial"/>
          <w:sz w:val="24"/>
          <w:szCs w:val="24"/>
        </w:rPr>
        <w:t xml:space="preserve">Dissolução de PVP e propilenoglicol: Em um béquer, misture 100 </w:t>
      </w:r>
      <w:proofErr w:type="spellStart"/>
      <w:r w:rsidR="00E067E6" w:rsidRPr="00706FE4">
        <w:rPr>
          <w:rFonts w:ascii="Arial" w:hAnsi="Arial" w:cs="Arial"/>
          <w:sz w:val="24"/>
          <w:szCs w:val="24"/>
        </w:rPr>
        <w:t>mL</w:t>
      </w:r>
      <w:proofErr w:type="spellEnd"/>
      <w:r w:rsidR="00E067E6" w:rsidRPr="00706FE4">
        <w:rPr>
          <w:rFonts w:ascii="Arial" w:hAnsi="Arial" w:cs="Arial"/>
          <w:sz w:val="24"/>
          <w:szCs w:val="24"/>
        </w:rPr>
        <w:t xml:space="preserve"> de água destilada com PVP K30 (30 g) e propilenoglicol (100 </w:t>
      </w:r>
      <w:proofErr w:type="spellStart"/>
      <w:r w:rsidR="00E067E6" w:rsidRPr="00706FE4">
        <w:rPr>
          <w:rFonts w:ascii="Arial" w:hAnsi="Arial" w:cs="Arial"/>
          <w:sz w:val="24"/>
          <w:szCs w:val="24"/>
        </w:rPr>
        <w:t>mL</w:t>
      </w:r>
      <w:proofErr w:type="spellEnd"/>
      <w:r w:rsidR="00E067E6" w:rsidRPr="00706FE4">
        <w:rPr>
          <w:rFonts w:ascii="Arial" w:hAnsi="Arial" w:cs="Arial"/>
          <w:sz w:val="24"/>
          <w:szCs w:val="24"/>
        </w:rPr>
        <w:t>). Aqueça a 50°C em banho-maria e agite até dissolução completa (15–20 min).</w:t>
      </w:r>
      <w:r w:rsidRPr="00706FE4">
        <w:rPr>
          <w:rFonts w:ascii="Arial" w:hAnsi="Arial" w:cs="Arial"/>
          <w:sz w:val="24"/>
          <w:szCs w:val="24"/>
        </w:rPr>
        <w:t xml:space="preserve"> (2) </w:t>
      </w:r>
      <w:r w:rsidR="00E067E6" w:rsidRPr="00706FE4">
        <w:rPr>
          <w:rFonts w:ascii="Arial" w:hAnsi="Arial" w:cs="Arial"/>
          <w:sz w:val="24"/>
          <w:szCs w:val="24"/>
        </w:rPr>
        <w:t>Adição de EDTA dissódico (0,2 g)</w:t>
      </w:r>
      <w:r w:rsidR="00D4152B">
        <w:rPr>
          <w:rFonts w:ascii="Arial" w:hAnsi="Arial" w:cs="Arial"/>
          <w:sz w:val="24"/>
          <w:szCs w:val="24"/>
        </w:rPr>
        <w:t xml:space="preserve">, mantendo </w:t>
      </w:r>
      <w:r w:rsidR="00E067E6" w:rsidRPr="00706FE4">
        <w:rPr>
          <w:rFonts w:ascii="Arial" w:hAnsi="Arial" w:cs="Arial"/>
          <w:sz w:val="24"/>
          <w:szCs w:val="24"/>
        </w:rPr>
        <w:t>a agitação (200 rpm).</w:t>
      </w:r>
      <w:r w:rsidRPr="00706FE4">
        <w:rPr>
          <w:rFonts w:ascii="Arial" w:hAnsi="Arial" w:cs="Arial"/>
          <w:sz w:val="24"/>
          <w:szCs w:val="24"/>
        </w:rPr>
        <w:t xml:space="preserve"> (3) </w:t>
      </w:r>
      <w:r w:rsidR="00E067E6" w:rsidRPr="00706FE4">
        <w:rPr>
          <w:rFonts w:ascii="Arial" w:hAnsi="Arial" w:cs="Arial"/>
          <w:sz w:val="24"/>
          <w:szCs w:val="24"/>
        </w:rPr>
        <w:t xml:space="preserve">Incorporação do </w:t>
      </w:r>
      <w:proofErr w:type="spellStart"/>
      <w:r w:rsidR="00E067E6" w:rsidRPr="00706FE4">
        <w:rPr>
          <w:rFonts w:ascii="Arial" w:hAnsi="Arial" w:cs="Arial"/>
          <w:sz w:val="24"/>
          <w:szCs w:val="24"/>
        </w:rPr>
        <w:t>hidrolato</w:t>
      </w:r>
      <w:proofErr w:type="spellEnd"/>
      <w:r w:rsidR="00E067E6" w:rsidRPr="00706FE4">
        <w:rPr>
          <w:rFonts w:ascii="Arial" w:hAnsi="Arial" w:cs="Arial"/>
          <w:sz w:val="24"/>
          <w:szCs w:val="24"/>
        </w:rPr>
        <w:t xml:space="preserve">: Adicione 400 </w:t>
      </w:r>
      <w:proofErr w:type="spellStart"/>
      <w:r w:rsidR="00E067E6" w:rsidRPr="00706FE4">
        <w:rPr>
          <w:rFonts w:ascii="Arial" w:hAnsi="Arial" w:cs="Arial"/>
          <w:sz w:val="24"/>
          <w:szCs w:val="24"/>
        </w:rPr>
        <w:t>mL</w:t>
      </w:r>
      <w:proofErr w:type="spellEnd"/>
      <w:r w:rsidR="00E067E6" w:rsidRPr="00706FE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067E6" w:rsidRPr="00706FE4">
        <w:rPr>
          <w:rFonts w:ascii="Arial" w:hAnsi="Arial" w:cs="Arial"/>
          <w:sz w:val="24"/>
          <w:szCs w:val="24"/>
        </w:rPr>
        <w:t>hidrolato</w:t>
      </w:r>
      <w:proofErr w:type="spellEnd"/>
      <w:r w:rsidR="00E067E6" w:rsidRPr="00706FE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067E6" w:rsidRPr="00706FE4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E067E6" w:rsidRPr="00706F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067E6" w:rsidRPr="00706FE4">
        <w:rPr>
          <w:rFonts w:ascii="Arial" w:hAnsi="Arial" w:cs="Arial"/>
          <w:sz w:val="24"/>
          <w:szCs w:val="24"/>
        </w:rPr>
        <w:t>homogeneize</w:t>
      </w:r>
      <w:proofErr w:type="spellEnd"/>
      <w:r w:rsidR="00E067E6" w:rsidRPr="00706FE4">
        <w:rPr>
          <w:rFonts w:ascii="Arial" w:hAnsi="Arial" w:cs="Arial"/>
          <w:sz w:val="24"/>
          <w:szCs w:val="24"/>
        </w:rPr>
        <w:t xml:space="preserve"> por 5 minutos.</w:t>
      </w:r>
    </w:p>
    <w:p w14:paraId="65E9D953" w14:textId="46EB3301" w:rsidR="00E067E6" w:rsidRPr="00E067E6" w:rsidRDefault="00827F14" w:rsidP="00706FE4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706FE4">
        <w:rPr>
          <w:rFonts w:ascii="Arial" w:hAnsi="Arial" w:cs="Arial"/>
          <w:sz w:val="24"/>
          <w:szCs w:val="24"/>
        </w:rPr>
        <w:t>[03</w:t>
      </w:r>
      <w:r w:rsidR="00EC66A7">
        <w:rPr>
          <w:rFonts w:ascii="Arial" w:hAnsi="Arial" w:cs="Arial"/>
          <w:sz w:val="24"/>
          <w:szCs w:val="24"/>
        </w:rPr>
        <w:t>3</w:t>
      </w:r>
      <w:r w:rsidRPr="00706FE4">
        <w:rPr>
          <w:rFonts w:ascii="Arial" w:hAnsi="Arial" w:cs="Arial"/>
          <w:sz w:val="24"/>
          <w:szCs w:val="24"/>
        </w:rPr>
        <w:t>]</w:t>
      </w:r>
      <w:r w:rsidRPr="00706FE4">
        <w:rPr>
          <w:rFonts w:ascii="Arial" w:hAnsi="Arial" w:cs="Arial"/>
          <w:sz w:val="24"/>
          <w:szCs w:val="24"/>
        </w:rPr>
        <w:tab/>
      </w:r>
      <w:r w:rsidR="00E067E6" w:rsidRPr="00706FE4">
        <w:rPr>
          <w:rFonts w:ascii="Arial" w:hAnsi="Arial" w:cs="Arial"/>
          <w:sz w:val="24"/>
          <w:szCs w:val="24"/>
        </w:rPr>
        <w:t>Passo 2: Preparação da Fase Oleosa</w:t>
      </w:r>
      <w:r w:rsidR="00706FE4">
        <w:rPr>
          <w:rFonts w:ascii="Arial" w:hAnsi="Arial" w:cs="Arial"/>
          <w:sz w:val="24"/>
          <w:szCs w:val="24"/>
        </w:rPr>
        <w:t xml:space="preserve">: (1) </w:t>
      </w:r>
      <w:r w:rsidR="00E067E6" w:rsidRPr="00706FE4">
        <w:rPr>
          <w:rFonts w:ascii="Arial" w:hAnsi="Arial" w:cs="Arial"/>
          <w:sz w:val="24"/>
          <w:szCs w:val="24"/>
        </w:rPr>
        <w:t>Mistura de óleos e solventes</w:t>
      </w:r>
      <w:r w:rsidR="00E067E6" w:rsidRPr="00E067E6">
        <w:rPr>
          <w:rFonts w:ascii="Arial" w:hAnsi="Arial" w:cs="Arial"/>
          <w:b/>
          <w:bCs/>
          <w:sz w:val="24"/>
          <w:szCs w:val="24"/>
        </w:rPr>
        <w:t>:</w:t>
      </w:r>
      <w:r w:rsidR="00E067E6" w:rsidRPr="00E067E6">
        <w:rPr>
          <w:rFonts w:ascii="Arial" w:hAnsi="Arial" w:cs="Arial"/>
          <w:sz w:val="24"/>
          <w:szCs w:val="24"/>
        </w:rPr>
        <w:t xml:space="preserve"> Em outro béquer, combine óleo de </w:t>
      </w:r>
      <w:proofErr w:type="spellStart"/>
      <w:r w:rsidR="00E067E6" w:rsidRPr="00E067E6">
        <w:rPr>
          <w:rFonts w:ascii="Arial" w:hAnsi="Arial" w:cs="Arial"/>
          <w:i/>
          <w:iCs/>
          <w:sz w:val="24"/>
          <w:szCs w:val="24"/>
        </w:rPr>
        <w:t>Croton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(20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mL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), óleo de cravo (5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mL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), DMSO (70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mL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>)</w:t>
      </w:r>
      <w:r w:rsidR="00706FE4">
        <w:rPr>
          <w:rFonts w:ascii="Arial" w:hAnsi="Arial" w:cs="Arial"/>
          <w:sz w:val="24"/>
          <w:szCs w:val="24"/>
        </w:rPr>
        <w:t xml:space="preserve"> e</w:t>
      </w:r>
      <w:r w:rsidR="00E067E6" w:rsidRPr="00E067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Tween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80 (30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mL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>). Agite com bastão de vidro até homogeneidade.</w:t>
      </w:r>
    </w:p>
    <w:p w14:paraId="2CA373AD" w14:textId="3F251049" w:rsidR="00E067E6" w:rsidRPr="000F0402" w:rsidRDefault="00706FE4" w:rsidP="005C44D9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0F0402">
        <w:rPr>
          <w:rFonts w:ascii="Arial" w:hAnsi="Arial" w:cs="Arial"/>
          <w:sz w:val="24"/>
          <w:szCs w:val="24"/>
        </w:rPr>
        <w:t>[03</w:t>
      </w:r>
      <w:r w:rsidR="00EC66A7">
        <w:rPr>
          <w:rFonts w:ascii="Arial" w:hAnsi="Arial" w:cs="Arial"/>
          <w:sz w:val="24"/>
          <w:szCs w:val="24"/>
        </w:rPr>
        <w:t>4</w:t>
      </w:r>
      <w:r w:rsidRPr="000F0402">
        <w:rPr>
          <w:rFonts w:ascii="Arial" w:hAnsi="Arial" w:cs="Arial"/>
          <w:sz w:val="24"/>
          <w:szCs w:val="24"/>
        </w:rPr>
        <w:t>]</w:t>
      </w:r>
      <w:r w:rsidRPr="000F0402">
        <w:rPr>
          <w:rFonts w:ascii="Arial" w:hAnsi="Arial" w:cs="Arial"/>
          <w:sz w:val="24"/>
          <w:szCs w:val="24"/>
        </w:rPr>
        <w:tab/>
      </w:r>
      <w:r w:rsidR="00E067E6" w:rsidRPr="000F0402">
        <w:rPr>
          <w:rFonts w:ascii="Arial" w:hAnsi="Arial" w:cs="Arial"/>
          <w:sz w:val="24"/>
          <w:szCs w:val="24"/>
        </w:rPr>
        <w:t>Passo 3</w:t>
      </w:r>
      <w:r w:rsidR="005C44D9" w:rsidRPr="000F0402">
        <w:rPr>
          <w:rFonts w:ascii="Arial" w:hAnsi="Arial" w:cs="Arial"/>
          <w:sz w:val="24"/>
          <w:szCs w:val="24"/>
        </w:rPr>
        <w:t xml:space="preserve"> -</w:t>
      </w:r>
      <w:r w:rsidR="00E067E6" w:rsidRPr="000F0402">
        <w:rPr>
          <w:rFonts w:ascii="Arial" w:hAnsi="Arial" w:cs="Arial"/>
          <w:sz w:val="24"/>
          <w:szCs w:val="24"/>
        </w:rPr>
        <w:t xml:space="preserve"> Emulsificação</w:t>
      </w:r>
      <w:r w:rsidR="005C44D9" w:rsidRPr="000F0402">
        <w:rPr>
          <w:rFonts w:ascii="Arial" w:hAnsi="Arial" w:cs="Arial"/>
          <w:sz w:val="24"/>
          <w:szCs w:val="24"/>
        </w:rPr>
        <w:t xml:space="preserve">: (1) </w:t>
      </w:r>
      <w:r w:rsidR="00E067E6" w:rsidRPr="000F0402">
        <w:rPr>
          <w:rFonts w:ascii="Arial" w:hAnsi="Arial" w:cs="Arial"/>
          <w:sz w:val="24"/>
          <w:szCs w:val="24"/>
        </w:rPr>
        <w:t>Combinação das fases: Adicione a fase oleosa à fase aquosa gradualmente, sob agitação constante (1000 rpm).</w:t>
      </w:r>
      <w:r w:rsidR="005C44D9" w:rsidRPr="000F0402">
        <w:rPr>
          <w:rFonts w:ascii="Arial" w:hAnsi="Arial" w:cs="Arial"/>
          <w:sz w:val="24"/>
          <w:szCs w:val="24"/>
        </w:rPr>
        <w:t xml:space="preserve"> (2) </w:t>
      </w:r>
      <w:r w:rsidR="00E067E6" w:rsidRPr="000F0402">
        <w:rPr>
          <w:rFonts w:ascii="Arial" w:hAnsi="Arial" w:cs="Arial"/>
          <w:sz w:val="24"/>
          <w:szCs w:val="24"/>
        </w:rPr>
        <w:t xml:space="preserve">Homogeneização ultrassônica: Transfira a mistura para o banho ultrassônico (40 kHz) e processe por 20 minutos a 50°C para reduzir o tamanho das partículas (&lt; 200 </w:t>
      </w:r>
      <w:proofErr w:type="spellStart"/>
      <w:r w:rsidR="00E067E6" w:rsidRPr="000F0402">
        <w:rPr>
          <w:rFonts w:ascii="Arial" w:hAnsi="Arial" w:cs="Arial"/>
          <w:sz w:val="24"/>
          <w:szCs w:val="24"/>
        </w:rPr>
        <w:t>nm</w:t>
      </w:r>
      <w:proofErr w:type="spellEnd"/>
      <w:r w:rsidR="00E067E6" w:rsidRPr="000F0402">
        <w:rPr>
          <w:rFonts w:ascii="Arial" w:hAnsi="Arial" w:cs="Arial"/>
          <w:sz w:val="24"/>
          <w:szCs w:val="24"/>
        </w:rPr>
        <w:t>).</w:t>
      </w:r>
      <w:r w:rsidR="005C44D9" w:rsidRPr="000F0402">
        <w:rPr>
          <w:rFonts w:ascii="Arial" w:hAnsi="Arial" w:cs="Arial"/>
          <w:sz w:val="24"/>
          <w:szCs w:val="24"/>
        </w:rPr>
        <w:t xml:space="preserve"> (3) </w:t>
      </w:r>
      <w:r w:rsidR="00E067E6" w:rsidRPr="000F0402">
        <w:rPr>
          <w:rFonts w:ascii="Arial" w:hAnsi="Arial" w:cs="Arial"/>
          <w:sz w:val="24"/>
          <w:szCs w:val="24"/>
        </w:rPr>
        <w:t xml:space="preserve">Adição de conservantes: Dissolva ácido </w:t>
      </w:r>
      <w:proofErr w:type="spellStart"/>
      <w:r w:rsidR="00E067E6" w:rsidRPr="000F0402">
        <w:rPr>
          <w:rFonts w:ascii="Arial" w:hAnsi="Arial" w:cs="Arial"/>
          <w:sz w:val="24"/>
          <w:szCs w:val="24"/>
        </w:rPr>
        <w:t>benzóico</w:t>
      </w:r>
      <w:proofErr w:type="spellEnd"/>
      <w:r w:rsidR="00E067E6" w:rsidRPr="000F0402">
        <w:rPr>
          <w:rFonts w:ascii="Arial" w:hAnsi="Arial" w:cs="Arial"/>
          <w:sz w:val="24"/>
          <w:szCs w:val="24"/>
        </w:rPr>
        <w:t xml:space="preserve"> (3 g) e </w:t>
      </w:r>
      <w:proofErr w:type="spellStart"/>
      <w:r w:rsidR="00E067E6" w:rsidRPr="000F0402">
        <w:rPr>
          <w:rFonts w:ascii="Arial" w:hAnsi="Arial" w:cs="Arial"/>
          <w:sz w:val="24"/>
          <w:szCs w:val="24"/>
        </w:rPr>
        <w:t>sorbato</w:t>
      </w:r>
      <w:proofErr w:type="spellEnd"/>
      <w:r w:rsidR="00E067E6" w:rsidRPr="000F0402">
        <w:rPr>
          <w:rFonts w:ascii="Arial" w:hAnsi="Arial" w:cs="Arial"/>
          <w:sz w:val="24"/>
          <w:szCs w:val="24"/>
        </w:rPr>
        <w:t xml:space="preserve"> de potássio (1 g) em 10 </w:t>
      </w:r>
      <w:proofErr w:type="spellStart"/>
      <w:r w:rsidR="00E067E6" w:rsidRPr="000F0402">
        <w:rPr>
          <w:rFonts w:ascii="Arial" w:hAnsi="Arial" w:cs="Arial"/>
          <w:sz w:val="24"/>
          <w:szCs w:val="24"/>
        </w:rPr>
        <w:t>mL</w:t>
      </w:r>
      <w:proofErr w:type="spellEnd"/>
      <w:r w:rsidR="00E067E6" w:rsidRPr="000F0402">
        <w:rPr>
          <w:rFonts w:ascii="Arial" w:hAnsi="Arial" w:cs="Arial"/>
          <w:sz w:val="24"/>
          <w:szCs w:val="24"/>
        </w:rPr>
        <w:t xml:space="preserve"> de etanol 90% e incorpore à emulsão.</w:t>
      </w:r>
      <w:r w:rsidR="005C44D9" w:rsidRPr="000F0402">
        <w:rPr>
          <w:rFonts w:ascii="Arial" w:hAnsi="Arial" w:cs="Arial"/>
          <w:sz w:val="24"/>
          <w:szCs w:val="24"/>
        </w:rPr>
        <w:t xml:space="preserve"> (4) </w:t>
      </w:r>
      <w:r w:rsidR="00E067E6" w:rsidRPr="000F0402">
        <w:rPr>
          <w:rFonts w:ascii="Arial" w:hAnsi="Arial" w:cs="Arial"/>
          <w:sz w:val="24"/>
          <w:szCs w:val="24"/>
        </w:rPr>
        <w:t xml:space="preserve">Espessamento com goma xantana: </w:t>
      </w:r>
      <w:proofErr w:type="spellStart"/>
      <w:r w:rsidR="00E067E6" w:rsidRPr="000F0402">
        <w:rPr>
          <w:rFonts w:ascii="Arial" w:hAnsi="Arial" w:cs="Arial"/>
          <w:sz w:val="24"/>
          <w:szCs w:val="24"/>
        </w:rPr>
        <w:t>Pré</w:t>
      </w:r>
      <w:proofErr w:type="spellEnd"/>
      <w:r w:rsidR="00E067E6" w:rsidRPr="000F0402">
        <w:rPr>
          <w:rFonts w:ascii="Arial" w:hAnsi="Arial" w:cs="Arial"/>
          <w:sz w:val="24"/>
          <w:szCs w:val="24"/>
        </w:rPr>
        <w:t xml:space="preserve">-dissolva goma xantana (5 g) em 20 </w:t>
      </w:r>
      <w:proofErr w:type="spellStart"/>
      <w:r w:rsidR="00E067E6" w:rsidRPr="000F0402">
        <w:rPr>
          <w:rFonts w:ascii="Arial" w:hAnsi="Arial" w:cs="Arial"/>
          <w:sz w:val="24"/>
          <w:szCs w:val="24"/>
        </w:rPr>
        <w:t>mL</w:t>
      </w:r>
      <w:proofErr w:type="spellEnd"/>
      <w:r w:rsidR="00E067E6" w:rsidRPr="000F0402">
        <w:rPr>
          <w:rFonts w:ascii="Arial" w:hAnsi="Arial" w:cs="Arial"/>
          <w:sz w:val="24"/>
          <w:szCs w:val="24"/>
        </w:rPr>
        <w:t xml:space="preserve"> de água destilada e adicione sob agitação vigorosa (evitar grumos).</w:t>
      </w:r>
      <w:r w:rsidR="005C44D9" w:rsidRPr="000F0402">
        <w:rPr>
          <w:rFonts w:ascii="Arial" w:hAnsi="Arial" w:cs="Arial"/>
          <w:sz w:val="24"/>
          <w:szCs w:val="24"/>
        </w:rPr>
        <w:t xml:space="preserve"> (5) </w:t>
      </w:r>
      <w:r w:rsidR="00E067E6" w:rsidRPr="000F0402">
        <w:rPr>
          <w:rFonts w:ascii="Arial" w:hAnsi="Arial" w:cs="Arial"/>
          <w:sz w:val="24"/>
          <w:szCs w:val="24"/>
        </w:rPr>
        <w:t xml:space="preserve">Ajuste final: Complete com água destilada (138,3 </w:t>
      </w:r>
      <w:proofErr w:type="spellStart"/>
      <w:r w:rsidR="00E067E6" w:rsidRPr="000F0402">
        <w:rPr>
          <w:rFonts w:ascii="Arial" w:hAnsi="Arial" w:cs="Arial"/>
          <w:sz w:val="24"/>
          <w:szCs w:val="24"/>
        </w:rPr>
        <w:t>mL</w:t>
      </w:r>
      <w:proofErr w:type="spellEnd"/>
      <w:r w:rsidR="00E067E6" w:rsidRPr="000F0402">
        <w:rPr>
          <w:rFonts w:ascii="Arial" w:hAnsi="Arial" w:cs="Arial"/>
          <w:sz w:val="24"/>
          <w:szCs w:val="24"/>
        </w:rPr>
        <w:t xml:space="preserve">) e etanol 90% (90 </w:t>
      </w:r>
      <w:proofErr w:type="spellStart"/>
      <w:r w:rsidR="00E067E6" w:rsidRPr="000F0402">
        <w:rPr>
          <w:rFonts w:ascii="Arial" w:hAnsi="Arial" w:cs="Arial"/>
          <w:sz w:val="24"/>
          <w:szCs w:val="24"/>
        </w:rPr>
        <w:t>mL</w:t>
      </w:r>
      <w:proofErr w:type="spellEnd"/>
      <w:r w:rsidR="00E067E6" w:rsidRPr="000F0402">
        <w:rPr>
          <w:rFonts w:ascii="Arial" w:hAnsi="Arial" w:cs="Arial"/>
          <w:sz w:val="24"/>
          <w:szCs w:val="24"/>
        </w:rPr>
        <w:t>).</w:t>
      </w:r>
    </w:p>
    <w:p w14:paraId="64D75E5A" w14:textId="59A4E41D" w:rsidR="000F0402" w:rsidRDefault="005C44D9" w:rsidP="000F0402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0F0402">
        <w:rPr>
          <w:rFonts w:ascii="Arial" w:hAnsi="Arial" w:cs="Arial"/>
          <w:sz w:val="24"/>
          <w:szCs w:val="24"/>
        </w:rPr>
        <w:lastRenderedPageBreak/>
        <w:t>[03</w:t>
      </w:r>
      <w:r w:rsidR="00EC66A7">
        <w:rPr>
          <w:rFonts w:ascii="Arial" w:hAnsi="Arial" w:cs="Arial"/>
          <w:sz w:val="24"/>
          <w:szCs w:val="24"/>
        </w:rPr>
        <w:t>5</w:t>
      </w:r>
      <w:r w:rsidRPr="000F0402">
        <w:rPr>
          <w:rFonts w:ascii="Arial" w:hAnsi="Arial" w:cs="Arial"/>
          <w:sz w:val="24"/>
          <w:szCs w:val="24"/>
        </w:rPr>
        <w:t xml:space="preserve">] </w:t>
      </w:r>
      <w:r w:rsidR="00E067E6" w:rsidRPr="000F0402">
        <w:rPr>
          <w:rFonts w:ascii="Arial" w:hAnsi="Arial" w:cs="Arial"/>
          <w:sz w:val="24"/>
          <w:szCs w:val="24"/>
        </w:rPr>
        <w:t>Passo 4</w:t>
      </w:r>
      <w:r w:rsidRPr="000F0402">
        <w:rPr>
          <w:rFonts w:ascii="Arial" w:hAnsi="Arial" w:cs="Arial"/>
          <w:sz w:val="24"/>
          <w:szCs w:val="24"/>
        </w:rPr>
        <w:t xml:space="preserve"> -</w:t>
      </w:r>
      <w:r w:rsidR="00E067E6" w:rsidRPr="000F0402">
        <w:rPr>
          <w:rFonts w:ascii="Arial" w:hAnsi="Arial" w:cs="Arial"/>
          <w:sz w:val="24"/>
          <w:szCs w:val="24"/>
        </w:rPr>
        <w:t xml:space="preserve"> Ajuste de pH e </w:t>
      </w:r>
      <w:r w:rsidRPr="000F0402">
        <w:rPr>
          <w:rFonts w:ascii="Arial" w:hAnsi="Arial" w:cs="Arial"/>
          <w:sz w:val="24"/>
          <w:szCs w:val="24"/>
        </w:rPr>
        <w:t>e</w:t>
      </w:r>
      <w:r w:rsidR="00E067E6" w:rsidRPr="000F0402">
        <w:rPr>
          <w:rFonts w:ascii="Arial" w:hAnsi="Arial" w:cs="Arial"/>
          <w:sz w:val="24"/>
          <w:szCs w:val="24"/>
        </w:rPr>
        <w:t>nvase</w:t>
      </w:r>
      <w:r w:rsidRPr="000F0402">
        <w:rPr>
          <w:rFonts w:ascii="Arial" w:hAnsi="Arial" w:cs="Arial"/>
          <w:sz w:val="24"/>
          <w:szCs w:val="24"/>
        </w:rPr>
        <w:t>: (</w:t>
      </w:r>
      <w:r w:rsidR="000F0402" w:rsidRPr="000F0402">
        <w:rPr>
          <w:rFonts w:ascii="Arial" w:hAnsi="Arial" w:cs="Arial"/>
          <w:sz w:val="24"/>
          <w:szCs w:val="24"/>
        </w:rPr>
        <w:t xml:space="preserve">1) </w:t>
      </w:r>
      <w:r w:rsidR="00E067E6" w:rsidRPr="000F0402">
        <w:rPr>
          <w:rFonts w:ascii="Arial" w:hAnsi="Arial" w:cs="Arial"/>
          <w:sz w:val="24"/>
          <w:szCs w:val="24"/>
        </w:rPr>
        <w:t>Controle de pH: Meça o pH com pHmetro e ajuste para 5,5–6,0 usando ácido cítrico ou bicarbonato de sódio.</w:t>
      </w:r>
      <w:r w:rsidR="000F0402" w:rsidRPr="000F0402">
        <w:rPr>
          <w:rFonts w:ascii="Arial" w:hAnsi="Arial" w:cs="Arial"/>
          <w:sz w:val="24"/>
          <w:szCs w:val="24"/>
        </w:rPr>
        <w:t xml:space="preserve"> (2) </w:t>
      </w:r>
      <w:r w:rsidR="00E067E6" w:rsidRPr="000F0402">
        <w:rPr>
          <w:rFonts w:ascii="Arial" w:hAnsi="Arial" w:cs="Arial"/>
          <w:sz w:val="24"/>
          <w:szCs w:val="24"/>
        </w:rPr>
        <w:t>Filtração e envase: Filtre a emulsão através de filtro de 0,45 µm. Envase em frascos âmbar sob atmosfera de nitrogênio.</w:t>
      </w:r>
    </w:p>
    <w:p w14:paraId="38F1081F" w14:textId="39325B4E" w:rsidR="00E067E6" w:rsidRPr="00E067E6" w:rsidRDefault="000F0402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385DFD">
        <w:rPr>
          <w:rFonts w:ascii="Arial" w:hAnsi="Arial" w:cs="Arial"/>
          <w:sz w:val="24"/>
          <w:szCs w:val="24"/>
        </w:rPr>
        <w:t>[03</w:t>
      </w:r>
      <w:r w:rsidR="00EC66A7">
        <w:rPr>
          <w:rFonts w:ascii="Arial" w:hAnsi="Arial" w:cs="Arial"/>
          <w:sz w:val="24"/>
          <w:szCs w:val="24"/>
        </w:rPr>
        <w:t>6</w:t>
      </w:r>
      <w:r w:rsidRPr="00385DFD">
        <w:rPr>
          <w:rFonts w:ascii="Arial" w:hAnsi="Arial" w:cs="Arial"/>
          <w:sz w:val="24"/>
          <w:szCs w:val="24"/>
        </w:rPr>
        <w:t>]</w:t>
      </w:r>
      <w:r w:rsidRPr="00385DFD">
        <w:rPr>
          <w:rFonts w:ascii="Arial" w:hAnsi="Arial" w:cs="Arial"/>
          <w:sz w:val="24"/>
          <w:szCs w:val="24"/>
        </w:rPr>
        <w:tab/>
      </w:r>
      <w:r w:rsidR="00E067E6" w:rsidRPr="00385DFD">
        <w:rPr>
          <w:rFonts w:ascii="Arial" w:hAnsi="Arial" w:cs="Arial"/>
          <w:sz w:val="24"/>
          <w:szCs w:val="24"/>
        </w:rPr>
        <w:t>Considerações Finais</w:t>
      </w:r>
      <w:r w:rsidR="00385DFD" w:rsidRPr="00385DFD">
        <w:rPr>
          <w:rFonts w:ascii="Arial" w:hAnsi="Arial" w:cs="Arial"/>
          <w:sz w:val="24"/>
          <w:szCs w:val="24"/>
        </w:rPr>
        <w:t xml:space="preserve">: (1) </w:t>
      </w:r>
      <w:r w:rsidR="00E067E6" w:rsidRPr="00385DFD">
        <w:rPr>
          <w:rFonts w:ascii="Arial" w:hAnsi="Arial" w:cs="Arial"/>
          <w:sz w:val="24"/>
          <w:szCs w:val="24"/>
        </w:rPr>
        <w:t>Estabilidade: Vida útil estimada em 18–24 meses se armazenado em frascos âmbar, pH 5,5–6,0, e temperatura &lt; 25°C.</w:t>
      </w:r>
      <w:r w:rsidR="00385DFD" w:rsidRPr="00385DFD">
        <w:rPr>
          <w:rFonts w:ascii="Arial" w:hAnsi="Arial" w:cs="Arial"/>
          <w:sz w:val="24"/>
          <w:szCs w:val="24"/>
        </w:rPr>
        <w:t xml:space="preserve"> (2) </w:t>
      </w:r>
      <w:r w:rsidR="00E067E6" w:rsidRPr="00385DFD">
        <w:rPr>
          <w:rFonts w:ascii="Arial" w:hAnsi="Arial" w:cs="Arial"/>
          <w:sz w:val="24"/>
          <w:szCs w:val="24"/>
        </w:rPr>
        <w:t xml:space="preserve">Eficácia: Testes </w:t>
      </w:r>
      <w:r w:rsidR="00E067E6" w:rsidRPr="00385DFD">
        <w:rPr>
          <w:rFonts w:ascii="Arial" w:hAnsi="Arial" w:cs="Arial"/>
          <w:i/>
          <w:iCs/>
          <w:sz w:val="24"/>
          <w:szCs w:val="24"/>
        </w:rPr>
        <w:t>in vitro</w:t>
      </w:r>
      <w:r w:rsidR="00E067E6" w:rsidRPr="00385DFD">
        <w:rPr>
          <w:rFonts w:ascii="Arial" w:hAnsi="Arial" w:cs="Arial"/>
          <w:sz w:val="24"/>
          <w:szCs w:val="24"/>
        </w:rPr>
        <w:t xml:space="preserve"> mostraram inibição de </w:t>
      </w:r>
      <w:proofErr w:type="spellStart"/>
      <w:r w:rsidR="00E067E6" w:rsidRPr="00385DFD">
        <w:rPr>
          <w:rFonts w:ascii="Arial" w:hAnsi="Arial" w:cs="Arial"/>
          <w:i/>
          <w:iCs/>
          <w:sz w:val="24"/>
          <w:szCs w:val="24"/>
        </w:rPr>
        <w:t>Colletotrichum</w:t>
      </w:r>
      <w:proofErr w:type="spellEnd"/>
      <w:r w:rsidR="00E067E6" w:rsidRPr="00385DFD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067E6" w:rsidRPr="00385DFD">
        <w:rPr>
          <w:rFonts w:ascii="Arial" w:hAnsi="Arial" w:cs="Arial"/>
          <w:i/>
          <w:iCs/>
          <w:sz w:val="24"/>
          <w:szCs w:val="24"/>
        </w:rPr>
        <w:t>Fusarium</w:t>
      </w:r>
      <w:proofErr w:type="spellEnd"/>
      <w:r w:rsidR="00E067E6" w:rsidRPr="00385DFD">
        <w:rPr>
          <w:rFonts w:ascii="Arial" w:hAnsi="Arial" w:cs="Arial"/>
          <w:sz w:val="24"/>
          <w:szCs w:val="24"/>
        </w:rPr>
        <w:t xml:space="preserve"> em &gt; 90% após 72h.</w:t>
      </w:r>
      <w:r w:rsidR="00385DFD" w:rsidRPr="00385DFD">
        <w:rPr>
          <w:rFonts w:ascii="Arial" w:hAnsi="Arial" w:cs="Arial"/>
          <w:sz w:val="24"/>
          <w:szCs w:val="24"/>
        </w:rPr>
        <w:t xml:space="preserve"> (3) </w:t>
      </w:r>
      <w:r w:rsidR="00E067E6" w:rsidRPr="00385DFD">
        <w:rPr>
          <w:rFonts w:ascii="Arial" w:hAnsi="Arial" w:cs="Arial"/>
          <w:sz w:val="24"/>
          <w:szCs w:val="24"/>
        </w:rPr>
        <w:t xml:space="preserve">Segurança: Sem </w:t>
      </w:r>
      <w:proofErr w:type="spellStart"/>
      <w:r w:rsidR="00E067E6" w:rsidRPr="00385DFD">
        <w:rPr>
          <w:rFonts w:ascii="Arial" w:hAnsi="Arial" w:cs="Arial"/>
          <w:sz w:val="24"/>
          <w:szCs w:val="24"/>
        </w:rPr>
        <w:t>fitotoxicidade</w:t>
      </w:r>
      <w:proofErr w:type="spellEnd"/>
      <w:r w:rsidR="00E067E6" w:rsidRPr="00385DFD">
        <w:rPr>
          <w:rFonts w:ascii="Arial" w:hAnsi="Arial" w:cs="Arial"/>
          <w:sz w:val="24"/>
          <w:szCs w:val="24"/>
        </w:rPr>
        <w:t xml:space="preserve"> em diluições 1:50 (testado em </w:t>
      </w:r>
      <w:r w:rsidR="00D4152B">
        <w:rPr>
          <w:rFonts w:ascii="Arial" w:hAnsi="Arial" w:cs="Arial"/>
          <w:sz w:val="24"/>
          <w:szCs w:val="24"/>
        </w:rPr>
        <w:t xml:space="preserve">feijão e </w:t>
      </w:r>
      <w:r w:rsidR="00AF1116">
        <w:rPr>
          <w:rFonts w:ascii="Arial" w:hAnsi="Arial" w:cs="Arial"/>
          <w:sz w:val="24"/>
          <w:szCs w:val="24"/>
        </w:rPr>
        <w:t>mandioca</w:t>
      </w:r>
      <w:r w:rsidR="00E067E6" w:rsidRPr="00385DFD">
        <w:rPr>
          <w:rFonts w:ascii="Arial" w:hAnsi="Arial" w:cs="Arial"/>
          <w:sz w:val="24"/>
          <w:szCs w:val="24"/>
        </w:rPr>
        <w:t>).</w:t>
      </w:r>
      <w:r w:rsidR="00385DFD">
        <w:rPr>
          <w:rFonts w:ascii="Arial" w:hAnsi="Arial" w:cs="Arial"/>
          <w:sz w:val="24"/>
          <w:szCs w:val="24"/>
        </w:rPr>
        <w:t xml:space="preserve"> (4) </w:t>
      </w:r>
      <w:r w:rsidR="00E067E6" w:rsidRPr="00385DFD">
        <w:rPr>
          <w:rFonts w:ascii="Arial" w:hAnsi="Arial" w:cs="Arial"/>
          <w:sz w:val="24"/>
          <w:szCs w:val="24"/>
        </w:rPr>
        <w:t>Esta formulação integra todos os elementos discutidos, garantindo eficiência antifúngica,</w:t>
      </w:r>
      <w:r w:rsidR="00E067E6" w:rsidRPr="00E067E6">
        <w:rPr>
          <w:rFonts w:ascii="Arial" w:hAnsi="Arial" w:cs="Arial"/>
          <w:sz w:val="24"/>
          <w:szCs w:val="24"/>
        </w:rPr>
        <w:t xml:space="preserve"> bioestimulação e proteção vegetal com máxima estabilidade.</w:t>
      </w:r>
    </w:p>
    <w:p w14:paraId="294D838B" w14:textId="1209E6D5" w:rsidR="00E067E6" w:rsidRPr="00E067E6" w:rsidRDefault="00620444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20444">
        <w:rPr>
          <w:rFonts w:ascii="Arial" w:hAnsi="Arial" w:cs="Arial"/>
          <w:sz w:val="24"/>
          <w:szCs w:val="24"/>
        </w:rPr>
        <w:t>[03</w:t>
      </w:r>
      <w:r w:rsidR="00EC66A7">
        <w:rPr>
          <w:rFonts w:ascii="Arial" w:hAnsi="Arial" w:cs="Arial"/>
          <w:sz w:val="24"/>
          <w:szCs w:val="24"/>
        </w:rPr>
        <w:t>7</w:t>
      </w:r>
      <w:r w:rsidRPr="00620444">
        <w:rPr>
          <w:rFonts w:ascii="Arial" w:hAnsi="Arial" w:cs="Arial"/>
          <w:sz w:val="24"/>
          <w:szCs w:val="24"/>
        </w:rPr>
        <w:t>]</w:t>
      </w:r>
      <w:r w:rsidRPr="00620444">
        <w:rPr>
          <w:rFonts w:ascii="Arial" w:hAnsi="Arial" w:cs="Arial"/>
          <w:sz w:val="24"/>
          <w:szCs w:val="24"/>
        </w:rPr>
        <w:tab/>
      </w:r>
      <w:r w:rsidR="00E067E6" w:rsidRPr="00620444">
        <w:rPr>
          <w:rFonts w:ascii="Arial" w:hAnsi="Arial" w:cs="Arial"/>
          <w:sz w:val="24"/>
          <w:szCs w:val="24"/>
        </w:rPr>
        <w:t>Vantagens e diferenciais frente ao estado da técnica atual</w:t>
      </w:r>
      <w:r w:rsidRPr="00620444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67E6" w:rsidRPr="00E067E6">
        <w:rPr>
          <w:rFonts w:ascii="Arial" w:hAnsi="Arial" w:cs="Arial"/>
          <w:sz w:val="24"/>
          <w:szCs w:val="24"/>
        </w:rPr>
        <w:t>A presente invenção apresenta diversas vantagens e diferenciais em relação ao estado da técnica atual, que se baseia principalmente no uso de produtos químicos sintéticos para o controle de doenças na cultura da mandioca.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DBC257E" w14:textId="2F3EFEA4" w:rsidR="00E067E6" w:rsidRPr="00E067E6" w:rsidRDefault="00620444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[03</w:t>
      </w:r>
      <w:r w:rsidR="00EC66A7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] </w:t>
      </w:r>
      <w:r w:rsidR="00E067E6" w:rsidRPr="00E067E6">
        <w:rPr>
          <w:rFonts w:ascii="Arial" w:hAnsi="Arial" w:cs="Arial"/>
          <w:sz w:val="24"/>
          <w:szCs w:val="24"/>
        </w:rPr>
        <w:t>Em primeiro lugar, a presente invenção utiliza recursos naturais renováveis e de baixo impacto ambiental, em substituição aos produtos químicos sintéticos, que podem ser tóxicos para o meio ambiente e para a saúde humana.</w:t>
      </w:r>
    </w:p>
    <w:p w14:paraId="55F71CE0" w14:textId="216626FA" w:rsidR="00E067E6" w:rsidRPr="00E067E6" w:rsidRDefault="00620444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[03</w:t>
      </w:r>
      <w:r w:rsidR="00EC66A7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] </w:t>
      </w:r>
      <w:r w:rsidR="00E067E6" w:rsidRPr="00E067E6">
        <w:rPr>
          <w:rFonts w:ascii="Arial" w:hAnsi="Arial" w:cs="Arial"/>
          <w:sz w:val="24"/>
          <w:szCs w:val="24"/>
        </w:rPr>
        <w:t>Em segundo lugar, o processo de extração otimizado utilizando o VIPER-I permite um melhor aproveitamento dos recursos naturais, reduzindo o tempo de produção e aumentando o rendimento dos extratos vegetais.</w:t>
      </w:r>
    </w:p>
    <w:p w14:paraId="041BAFDF" w14:textId="490F4549" w:rsidR="00E067E6" w:rsidRPr="00E067E6" w:rsidRDefault="00620444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</w:t>
      </w:r>
      <w:r w:rsidR="00EC66A7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 xml:space="preserve">] </w:t>
      </w:r>
      <w:r w:rsidR="00E067E6" w:rsidRPr="00E067E6">
        <w:rPr>
          <w:rFonts w:ascii="Arial" w:hAnsi="Arial" w:cs="Arial"/>
          <w:sz w:val="24"/>
          <w:szCs w:val="24"/>
        </w:rPr>
        <w:t>Em terceiro lugar, o produto de aplicação foliar apresenta boa adesão às folhas da planta</w:t>
      </w:r>
      <w:r w:rsidR="00526145">
        <w:rPr>
          <w:rFonts w:ascii="Arial" w:hAnsi="Arial" w:cs="Arial"/>
          <w:sz w:val="24"/>
          <w:szCs w:val="24"/>
        </w:rPr>
        <w:t xml:space="preserve"> (</w:t>
      </w:r>
      <w:r w:rsidR="00526145" w:rsidRPr="000F17EC">
        <w:rPr>
          <w:rFonts w:ascii="Arial" w:hAnsi="Arial" w:cs="Arial"/>
          <w:b/>
          <w:bCs/>
          <w:sz w:val="24"/>
          <w:szCs w:val="24"/>
        </w:rPr>
        <w:t xml:space="preserve">Figuras </w:t>
      </w:r>
      <w:r w:rsidR="00384C6E" w:rsidRPr="000F17EC">
        <w:rPr>
          <w:rFonts w:ascii="Arial" w:hAnsi="Arial" w:cs="Arial"/>
          <w:b/>
          <w:bCs/>
          <w:sz w:val="24"/>
          <w:szCs w:val="24"/>
        </w:rPr>
        <w:t>6</w:t>
      </w:r>
      <w:r w:rsidR="00384C6E">
        <w:rPr>
          <w:rFonts w:ascii="Arial" w:hAnsi="Arial" w:cs="Arial"/>
          <w:sz w:val="24"/>
          <w:szCs w:val="24"/>
        </w:rPr>
        <w:t xml:space="preserve"> e </w:t>
      </w:r>
      <w:r w:rsidR="000F17EC" w:rsidRPr="000F17EC">
        <w:rPr>
          <w:rFonts w:ascii="Arial" w:hAnsi="Arial" w:cs="Arial"/>
          <w:b/>
          <w:bCs/>
          <w:sz w:val="24"/>
          <w:szCs w:val="24"/>
        </w:rPr>
        <w:t>12a-</w:t>
      </w:r>
      <w:r w:rsidR="000F17EC">
        <w:rPr>
          <w:rFonts w:ascii="Arial" w:hAnsi="Arial" w:cs="Arial"/>
          <w:b/>
          <w:bCs/>
          <w:sz w:val="24"/>
          <w:szCs w:val="24"/>
        </w:rPr>
        <w:t>c</w:t>
      </w:r>
      <w:r w:rsidR="00526145">
        <w:rPr>
          <w:rFonts w:ascii="Arial" w:hAnsi="Arial" w:cs="Arial"/>
          <w:sz w:val="24"/>
          <w:szCs w:val="24"/>
        </w:rPr>
        <w:t>)</w:t>
      </w:r>
      <w:r w:rsidR="00E067E6" w:rsidRPr="00E067E6">
        <w:rPr>
          <w:rFonts w:ascii="Arial" w:hAnsi="Arial" w:cs="Arial"/>
          <w:sz w:val="24"/>
          <w:szCs w:val="24"/>
        </w:rPr>
        <w:t>, garantindo um tempo de contato prolongado e uma maior absorção dos compostos bioativos.</w:t>
      </w:r>
    </w:p>
    <w:p w14:paraId="3536A01B" w14:textId="41E7F54E" w:rsidR="00E067E6" w:rsidRPr="00E067E6" w:rsidRDefault="00620444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</w:t>
      </w:r>
      <w:r w:rsidR="00EC66A7">
        <w:rPr>
          <w:rFonts w:ascii="Arial" w:hAnsi="Arial" w:cs="Arial"/>
          <w:sz w:val="24"/>
          <w:szCs w:val="24"/>
        </w:rPr>
        <w:t>41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>Em quarto lugar, a presente invenção oferece uma alternativa sustentável e de baixo custo para o controle de doenças na cultura da mandioca, contribuindo para a segurança alimentar e para o desenvolvimento da agricultura familiar.</w:t>
      </w:r>
    </w:p>
    <w:p w14:paraId="71A1EC4F" w14:textId="5FB9A331" w:rsidR="00D4152B" w:rsidRDefault="00620444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[04</w:t>
      </w:r>
      <w:r w:rsidR="00EC66A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D4152B">
        <w:rPr>
          <w:rFonts w:ascii="Arial" w:hAnsi="Arial" w:cs="Arial"/>
          <w:sz w:val="24"/>
          <w:szCs w:val="24"/>
        </w:rPr>
        <w:t xml:space="preserve">Como </w:t>
      </w:r>
      <w:r w:rsidR="00E067E6" w:rsidRPr="00620444">
        <w:rPr>
          <w:rFonts w:ascii="Arial" w:hAnsi="Arial" w:cs="Arial"/>
          <w:sz w:val="24"/>
          <w:szCs w:val="24"/>
        </w:rPr>
        <w:t>Conclusão</w:t>
      </w:r>
      <w:r w:rsidR="00D4152B">
        <w:rPr>
          <w:rFonts w:ascii="Arial" w:hAnsi="Arial" w:cs="Arial"/>
          <w:sz w:val="24"/>
          <w:szCs w:val="24"/>
        </w:rPr>
        <w:t>, a</w:t>
      </w:r>
      <w:r w:rsidR="00E067E6" w:rsidRPr="00E067E6">
        <w:rPr>
          <w:rFonts w:ascii="Arial" w:hAnsi="Arial" w:cs="Arial"/>
          <w:sz w:val="24"/>
          <w:szCs w:val="24"/>
        </w:rPr>
        <w:t xml:space="preserve"> presente invenção apresenta um produto e processo inovadores para o controle da antracnose e </w:t>
      </w:r>
      <w:proofErr w:type="spellStart"/>
      <w:r w:rsidR="00E067E6" w:rsidRPr="00E067E6">
        <w:rPr>
          <w:rFonts w:ascii="Arial" w:hAnsi="Arial" w:cs="Arial"/>
          <w:sz w:val="24"/>
          <w:szCs w:val="24"/>
        </w:rPr>
        <w:t>fusariose</w:t>
      </w:r>
      <w:proofErr w:type="spellEnd"/>
      <w:r w:rsidR="00E067E6" w:rsidRPr="00E067E6">
        <w:rPr>
          <w:rFonts w:ascii="Arial" w:hAnsi="Arial" w:cs="Arial"/>
          <w:sz w:val="24"/>
          <w:szCs w:val="24"/>
        </w:rPr>
        <w:t xml:space="preserve"> na cultura da mandioca, utilizando </w:t>
      </w:r>
      <w:r w:rsidR="00E067E6" w:rsidRPr="00E067E6">
        <w:rPr>
          <w:rFonts w:ascii="Arial" w:hAnsi="Arial" w:cs="Arial"/>
          <w:sz w:val="24"/>
          <w:szCs w:val="24"/>
        </w:rPr>
        <w:lastRenderedPageBreak/>
        <w:t>extratos vegetais da Caatinga, obtidos através de um processo otimizado de destilação por arraste a vapor, e formulados em um produto de aplicação foliar.</w:t>
      </w:r>
      <w:r w:rsidR="00D4152B">
        <w:rPr>
          <w:rFonts w:ascii="Arial" w:hAnsi="Arial" w:cs="Arial"/>
          <w:sz w:val="24"/>
          <w:szCs w:val="24"/>
        </w:rPr>
        <w:t xml:space="preserve"> </w:t>
      </w:r>
    </w:p>
    <w:p w14:paraId="43C6AC00" w14:textId="4828FB97" w:rsidR="00E067E6" w:rsidRPr="00E067E6" w:rsidRDefault="00D4152B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[04</w:t>
      </w:r>
      <w:r w:rsidR="00EC66A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>A presente invenção apresenta diversas vantagens e diferenciais em relação ao estado da técnica atual, incluindo a utilização de recursos naturais renováveis e de baixo impacto ambiental, a eficácia comprovada no controle dos patógenos alvo, o processo de extração otimizado, e o produto de aplicação foliar de fácil utilização.</w:t>
      </w:r>
    </w:p>
    <w:p w14:paraId="37C15324" w14:textId="68277468" w:rsidR="00E067E6" w:rsidRPr="00E067E6" w:rsidRDefault="00D4152B" w:rsidP="002F4AB6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[04</w:t>
      </w:r>
      <w:r w:rsidR="00EC66A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  <w:r w:rsidR="00E067E6" w:rsidRPr="00E067E6">
        <w:rPr>
          <w:rFonts w:ascii="Arial" w:hAnsi="Arial" w:cs="Arial"/>
          <w:sz w:val="24"/>
          <w:szCs w:val="24"/>
        </w:rPr>
        <w:t>A presente invenção representa uma importante contribuição para o desenvolvimento de uma agricultura mais sustentável e para a segurança alimentar, oferecendo uma alternativa eficaz e de baixo custo para o controle de doenças na cultura da mandioca.</w:t>
      </w:r>
    </w:p>
    <w:p w14:paraId="746460A6" w14:textId="77777777" w:rsidR="00620444" w:rsidRPr="00D4152B" w:rsidRDefault="00620444" w:rsidP="002F4AB6">
      <w:pPr>
        <w:spacing w:before="240"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620444" w:rsidRPr="00D4152B" w:rsidSect="00686E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7A408" w14:textId="77777777" w:rsidR="00270E8F" w:rsidRDefault="00270E8F" w:rsidP="00C85E9B">
      <w:pPr>
        <w:spacing w:after="0" w:line="240" w:lineRule="auto"/>
      </w:pPr>
      <w:r>
        <w:separator/>
      </w:r>
    </w:p>
  </w:endnote>
  <w:endnote w:type="continuationSeparator" w:id="0">
    <w:p w14:paraId="3280CC08" w14:textId="77777777" w:rsidR="00270E8F" w:rsidRDefault="00270E8F" w:rsidP="00C8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3C0D6" w14:textId="77777777" w:rsidR="00C85E9B" w:rsidRDefault="00C85E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5B5CD" w14:textId="77777777" w:rsidR="00C85E9B" w:rsidRDefault="00C85E9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D8B17" w14:textId="77777777" w:rsidR="00C85E9B" w:rsidRDefault="00C85E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8F8CC" w14:textId="77777777" w:rsidR="00270E8F" w:rsidRDefault="00270E8F" w:rsidP="00C85E9B">
      <w:pPr>
        <w:spacing w:after="0" w:line="240" w:lineRule="auto"/>
      </w:pPr>
      <w:r>
        <w:separator/>
      </w:r>
    </w:p>
  </w:footnote>
  <w:footnote w:type="continuationSeparator" w:id="0">
    <w:p w14:paraId="55017DE2" w14:textId="77777777" w:rsidR="00270E8F" w:rsidRDefault="00270E8F" w:rsidP="00C85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35EEE" w14:textId="77777777" w:rsidR="00C85E9B" w:rsidRDefault="00C85E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4"/>
        <w:szCs w:val="24"/>
      </w:rPr>
      <w:id w:val="319079296"/>
      <w:docPartObj>
        <w:docPartGallery w:val="Page Numbers (Top of Page)"/>
        <w:docPartUnique/>
      </w:docPartObj>
    </w:sdtPr>
    <w:sdtEndPr/>
    <w:sdtContent>
      <w:p w14:paraId="35D55508" w14:textId="77777777" w:rsidR="004332AA" w:rsidRDefault="00C85E9B">
        <w:pPr>
          <w:pStyle w:val="Cabealho"/>
          <w:jc w:val="center"/>
          <w:rPr>
            <w:rFonts w:ascii="Arial" w:hAnsi="Arial" w:cs="Arial"/>
            <w:sz w:val="24"/>
            <w:szCs w:val="24"/>
          </w:rPr>
        </w:pPr>
        <w:r w:rsidRPr="00D31F2E">
          <w:rPr>
            <w:rFonts w:ascii="Arial" w:hAnsi="Arial" w:cs="Arial"/>
            <w:sz w:val="24"/>
            <w:szCs w:val="24"/>
          </w:rPr>
          <w:fldChar w:fldCharType="begin"/>
        </w:r>
        <w:r w:rsidRPr="00D31F2E">
          <w:rPr>
            <w:rFonts w:ascii="Arial" w:hAnsi="Arial" w:cs="Arial"/>
            <w:sz w:val="24"/>
            <w:szCs w:val="24"/>
          </w:rPr>
          <w:instrText>PAGE   \* MERGEFORMAT</w:instrText>
        </w:r>
        <w:r w:rsidRPr="00D31F2E">
          <w:rPr>
            <w:rFonts w:ascii="Arial" w:hAnsi="Arial" w:cs="Arial"/>
            <w:sz w:val="24"/>
            <w:szCs w:val="24"/>
          </w:rPr>
          <w:fldChar w:fldCharType="separate"/>
        </w:r>
        <w:r w:rsidRPr="00D31F2E">
          <w:rPr>
            <w:rFonts w:ascii="Arial" w:hAnsi="Arial" w:cs="Arial"/>
            <w:sz w:val="24"/>
            <w:szCs w:val="24"/>
          </w:rPr>
          <w:t>2</w:t>
        </w:r>
        <w:r w:rsidRPr="00D31F2E">
          <w:rPr>
            <w:rFonts w:ascii="Arial" w:hAnsi="Arial" w:cs="Arial"/>
            <w:sz w:val="24"/>
            <w:szCs w:val="24"/>
          </w:rPr>
          <w:fldChar w:fldCharType="end"/>
        </w:r>
        <w:r w:rsidRPr="00D31F2E">
          <w:rPr>
            <w:rFonts w:ascii="Arial" w:hAnsi="Arial" w:cs="Arial"/>
            <w:sz w:val="24"/>
            <w:szCs w:val="24"/>
          </w:rPr>
          <w:t>/</w:t>
        </w:r>
        <w:r w:rsidR="00BE6F5E" w:rsidRPr="00D31F2E">
          <w:rPr>
            <w:rFonts w:ascii="Arial" w:hAnsi="Arial" w:cs="Arial"/>
            <w:sz w:val="24"/>
            <w:szCs w:val="24"/>
          </w:rPr>
          <w:t>16</w:t>
        </w:r>
      </w:p>
      <w:p w14:paraId="194EC228" w14:textId="77777777" w:rsidR="004332AA" w:rsidRDefault="004332AA">
        <w:pPr>
          <w:pStyle w:val="Cabealho"/>
          <w:jc w:val="center"/>
          <w:rPr>
            <w:rFonts w:ascii="Arial" w:hAnsi="Arial" w:cs="Arial"/>
            <w:sz w:val="24"/>
            <w:szCs w:val="24"/>
          </w:rPr>
        </w:pPr>
      </w:p>
      <w:p w14:paraId="7ABEADF2" w14:textId="77777777" w:rsidR="004425B9" w:rsidRDefault="004425B9" w:rsidP="004425B9">
        <w:pPr>
          <w:pStyle w:val="Cabealho"/>
          <w:rPr>
            <w:rFonts w:ascii="Arial" w:hAnsi="Arial" w:cs="Arial"/>
            <w:sz w:val="24"/>
            <w:szCs w:val="24"/>
          </w:rPr>
        </w:pPr>
      </w:p>
      <w:p w14:paraId="1AEAE4EE" w14:textId="77777777" w:rsidR="004332AA" w:rsidRDefault="004332AA" w:rsidP="004425B9">
        <w:pPr>
          <w:pStyle w:val="Cabealho"/>
          <w:rPr>
            <w:rFonts w:ascii="Arial" w:hAnsi="Arial" w:cs="Arial"/>
            <w:sz w:val="24"/>
            <w:szCs w:val="24"/>
          </w:rPr>
        </w:pPr>
      </w:p>
      <w:p w14:paraId="3F351770" w14:textId="4E2E9D2D" w:rsidR="00C85E9B" w:rsidRPr="004332AA" w:rsidRDefault="00B45475" w:rsidP="004425B9">
        <w:pPr>
          <w:pStyle w:val="Cabealho"/>
          <w:rPr>
            <w:rFonts w:ascii="Arial" w:hAnsi="Arial" w:cs="Arial"/>
            <w:sz w:val="24"/>
            <w:szCs w:val="24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D5507" w14:textId="77777777" w:rsidR="00C85E9B" w:rsidRDefault="00C85E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E317C"/>
    <w:multiLevelType w:val="multilevel"/>
    <w:tmpl w:val="4C9C5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A529C"/>
    <w:multiLevelType w:val="multilevel"/>
    <w:tmpl w:val="0198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3338D"/>
    <w:multiLevelType w:val="multilevel"/>
    <w:tmpl w:val="AA46B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13E7A"/>
    <w:multiLevelType w:val="multilevel"/>
    <w:tmpl w:val="3D7A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311E3"/>
    <w:multiLevelType w:val="multilevel"/>
    <w:tmpl w:val="CE72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6E4137"/>
    <w:multiLevelType w:val="multilevel"/>
    <w:tmpl w:val="300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E5343"/>
    <w:multiLevelType w:val="multilevel"/>
    <w:tmpl w:val="04F2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F5BE0"/>
    <w:multiLevelType w:val="multilevel"/>
    <w:tmpl w:val="CFC8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B4956"/>
    <w:multiLevelType w:val="multilevel"/>
    <w:tmpl w:val="775A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20760"/>
    <w:multiLevelType w:val="multilevel"/>
    <w:tmpl w:val="61EA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14D8F"/>
    <w:multiLevelType w:val="multilevel"/>
    <w:tmpl w:val="5114E4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D7A76"/>
    <w:multiLevelType w:val="multilevel"/>
    <w:tmpl w:val="975E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2438A"/>
    <w:multiLevelType w:val="multilevel"/>
    <w:tmpl w:val="9EE0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125623">
    <w:abstractNumId w:val="9"/>
  </w:num>
  <w:num w:numId="2" w16cid:durableId="2084136140">
    <w:abstractNumId w:val="11"/>
  </w:num>
  <w:num w:numId="3" w16cid:durableId="1250195659">
    <w:abstractNumId w:val="0"/>
  </w:num>
  <w:num w:numId="4" w16cid:durableId="935985387">
    <w:abstractNumId w:val="10"/>
  </w:num>
  <w:num w:numId="5" w16cid:durableId="929702816">
    <w:abstractNumId w:val="4"/>
  </w:num>
  <w:num w:numId="6" w16cid:durableId="296180063">
    <w:abstractNumId w:val="2"/>
  </w:num>
  <w:num w:numId="7" w16cid:durableId="1083717341">
    <w:abstractNumId w:val="1"/>
  </w:num>
  <w:num w:numId="8" w16cid:durableId="1088307402">
    <w:abstractNumId w:val="12"/>
  </w:num>
  <w:num w:numId="9" w16cid:durableId="1155758349">
    <w:abstractNumId w:val="7"/>
  </w:num>
  <w:num w:numId="10" w16cid:durableId="985209931">
    <w:abstractNumId w:val="5"/>
  </w:num>
  <w:num w:numId="11" w16cid:durableId="115949120">
    <w:abstractNumId w:val="3"/>
  </w:num>
  <w:num w:numId="12" w16cid:durableId="450563041">
    <w:abstractNumId w:val="6"/>
  </w:num>
  <w:num w:numId="13" w16cid:durableId="2166716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71"/>
    <w:rsid w:val="0001290F"/>
    <w:rsid w:val="00016F79"/>
    <w:rsid w:val="00030B04"/>
    <w:rsid w:val="00034E11"/>
    <w:rsid w:val="000449AB"/>
    <w:rsid w:val="00046981"/>
    <w:rsid w:val="0004698D"/>
    <w:rsid w:val="00050A37"/>
    <w:rsid w:val="00060BB8"/>
    <w:rsid w:val="00070907"/>
    <w:rsid w:val="00072B52"/>
    <w:rsid w:val="0007715E"/>
    <w:rsid w:val="00082DE5"/>
    <w:rsid w:val="000839BA"/>
    <w:rsid w:val="0009242E"/>
    <w:rsid w:val="000964FB"/>
    <w:rsid w:val="000A1AA6"/>
    <w:rsid w:val="000A6AAC"/>
    <w:rsid w:val="000A7662"/>
    <w:rsid w:val="000B6284"/>
    <w:rsid w:val="000C780B"/>
    <w:rsid w:val="000D1D30"/>
    <w:rsid w:val="000D3D71"/>
    <w:rsid w:val="000E0F17"/>
    <w:rsid w:val="000F0402"/>
    <w:rsid w:val="000F17EC"/>
    <w:rsid w:val="000F7C43"/>
    <w:rsid w:val="00100F80"/>
    <w:rsid w:val="00107BAF"/>
    <w:rsid w:val="00113E59"/>
    <w:rsid w:val="00114EEB"/>
    <w:rsid w:val="00121299"/>
    <w:rsid w:val="001262DE"/>
    <w:rsid w:val="0012677E"/>
    <w:rsid w:val="00132641"/>
    <w:rsid w:val="0014155E"/>
    <w:rsid w:val="001428F2"/>
    <w:rsid w:val="00143841"/>
    <w:rsid w:val="00143A73"/>
    <w:rsid w:val="001518EB"/>
    <w:rsid w:val="00152599"/>
    <w:rsid w:val="0015440B"/>
    <w:rsid w:val="001642B6"/>
    <w:rsid w:val="00173274"/>
    <w:rsid w:val="00174012"/>
    <w:rsid w:val="001741AD"/>
    <w:rsid w:val="00177BC5"/>
    <w:rsid w:val="00180393"/>
    <w:rsid w:val="00191EC3"/>
    <w:rsid w:val="001B0518"/>
    <w:rsid w:val="001C0AF5"/>
    <w:rsid w:val="001C2BC4"/>
    <w:rsid w:val="001C46B7"/>
    <w:rsid w:val="001D12F5"/>
    <w:rsid w:val="001D3A77"/>
    <w:rsid w:val="001D7E4A"/>
    <w:rsid w:val="001E1534"/>
    <w:rsid w:val="001E4881"/>
    <w:rsid w:val="001F501A"/>
    <w:rsid w:val="001F63FB"/>
    <w:rsid w:val="001F6DB1"/>
    <w:rsid w:val="00205D32"/>
    <w:rsid w:val="0020636C"/>
    <w:rsid w:val="00211323"/>
    <w:rsid w:val="0021676C"/>
    <w:rsid w:val="00233B6F"/>
    <w:rsid w:val="00234123"/>
    <w:rsid w:val="00235491"/>
    <w:rsid w:val="00243147"/>
    <w:rsid w:val="002450D6"/>
    <w:rsid w:val="002503BF"/>
    <w:rsid w:val="00250A45"/>
    <w:rsid w:val="00250AF3"/>
    <w:rsid w:val="00250B44"/>
    <w:rsid w:val="00253460"/>
    <w:rsid w:val="00267C58"/>
    <w:rsid w:val="00270E8F"/>
    <w:rsid w:val="00272730"/>
    <w:rsid w:val="0027408D"/>
    <w:rsid w:val="00281F0F"/>
    <w:rsid w:val="002830E6"/>
    <w:rsid w:val="002861E6"/>
    <w:rsid w:val="0029256B"/>
    <w:rsid w:val="00293D1A"/>
    <w:rsid w:val="002A726F"/>
    <w:rsid w:val="002B0E2C"/>
    <w:rsid w:val="002B391B"/>
    <w:rsid w:val="002B41F2"/>
    <w:rsid w:val="002B6432"/>
    <w:rsid w:val="002B7156"/>
    <w:rsid w:val="002C3130"/>
    <w:rsid w:val="002D0529"/>
    <w:rsid w:val="002E2B21"/>
    <w:rsid w:val="002E5561"/>
    <w:rsid w:val="002F1214"/>
    <w:rsid w:val="002F4AB6"/>
    <w:rsid w:val="002F685B"/>
    <w:rsid w:val="002F7DAD"/>
    <w:rsid w:val="00300B0B"/>
    <w:rsid w:val="0031031B"/>
    <w:rsid w:val="00311F40"/>
    <w:rsid w:val="0031286B"/>
    <w:rsid w:val="003209E3"/>
    <w:rsid w:val="003261D7"/>
    <w:rsid w:val="00333A13"/>
    <w:rsid w:val="00341181"/>
    <w:rsid w:val="00351E76"/>
    <w:rsid w:val="0037164C"/>
    <w:rsid w:val="0037464F"/>
    <w:rsid w:val="003773B1"/>
    <w:rsid w:val="00384C6E"/>
    <w:rsid w:val="00385DFD"/>
    <w:rsid w:val="00387EA7"/>
    <w:rsid w:val="003902ED"/>
    <w:rsid w:val="0039214B"/>
    <w:rsid w:val="003931B6"/>
    <w:rsid w:val="00396180"/>
    <w:rsid w:val="003A14C9"/>
    <w:rsid w:val="003A239D"/>
    <w:rsid w:val="003A30B4"/>
    <w:rsid w:val="003A65D1"/>
    <w:rsid w:val="003B60E2"/>
    <w:rsid w:val="003B6C83"/>
    <w:rsid w:val="003C2705"/>
    <w:rsid w:val="003C76BE"/>
    <w:rsid w:val="003D4628"/>
    <w:rsid w:val="003D505D"/>
    <w:rsid w:val="003E7582"/>
    <w:rsid w:val="003E7C45"/>
    <w:rsid w:val="003F5E2B"/>
    <w:rsid w:val="00400915"/>
    <w:rsid w:val="00403AE1"/>
    <w:rsid w:val="004074E3"/>
    <w:rsid w:val="00417AA2"/>
    <w:rsid w:val="0042050D"/>
    <w:rsid w:val="004332AA"/>
    <w:rsid w:val="004425B9"/>
    <w:rsid w:val="00442B9F"/>
    <w:rsid w:val="00445785"/>
    <w:rsid w:val="00451700"/>
    <w:rsid w:val="004564EA"/>
    <w:rsid w:val="00456BCA"/>
    <w:rsid w:val="00463D5F"/>
    <w:rsid w:val="00484A6A"/>
    <w:rsid w:val="0049024E"/>
    <w:rsid w:val="004A3B87"/>
    <w:rsid w:val="004C0898"/>
    <w:rsid w:val="004C544C"/>
    <w:rsid w:val="004F2395"/>
    <w:rsid w:val="004F3589"/>
    <w:rsid w:val="004F6E1A"/>
    <w:rsid w:val="00507813"/>
    <w:rsid w:val="00511122"/>
    <w:rsid w:val="00520E31"/>
    <w:rsid w:val="00526145"/>
    <w:rsid w:val="005302AC"/>
    <w:rsid w:val="005325B8"/>
    <w:rsid w:val="00536C07"/>
    <w:rsid w:val="00543692"/>
    <w:rsid w:val="005448D0"/>
    <w:rsid w:val="00547F81"/>
    <w:rsid w:val="00552B63"/>
    <w:rsid w:val="00573B70"/>
    <w:rsid w:val="00586400"/>
    <w:rsid w:val="005A32BC"/>
    <w:rsid w:val="005A4348"/>
    <w:rsid w:val="005A4B12"/>
    <w:rsid w:val="005C13B6"/>
    <w:rsid w:val="005C300D"/>
    <w:rsid w:val="005C44D9"/>
    <w:rsid w:val="005E2AD2"/>
    <w:rsid w:val="005F1B71"/>
    <w:rsid w:val="005F2C81"/>
    <w:rsid w:val="005F4364"/>
    <w:rsid w:val="005F4E59"/>
    <w:rsid w:val="005F58A2"/>
    <w:rsid w:val="00602F54"/>
    <w:rsid w:val="00606BCB"/>
    <w:rsid w:val="0061071C"/>
    <w:rsid w:val="00620350"/>
    <w:rsid w:val="00620444"/>
    <w:rsid w:val="006206FA"/>
    <w:rsid w:val="006279FD"/>
    <w:rsid w:val="00632A6D"/>
    <w:rsid w:val="00635743"/>
    <w:rsid w:val="00653F90"/>
    <w:rsid w:val="00661111"/>
    <w:rsid w:val="00664008"/>
    <w:rsid w:val="006710C0"/>
    <w:rsid w:val="00685849"/>
    <w:rsid w:val="00686E82"/>
    <w:rsid w:val="0069277B"/>
    <w:rsid w:val="0069536F"/>
    <w:rsid w:val="00697652"/>
    <w:rsid w:val="006A4EED"/>
    <w:rsid w:val="006A7BFA"/>
    <w:rsid w:val="006A7DDB"/>
    <w:rsid w:val="006C61D2"/>
    <w:rsid w:val="006C6645"/>
    <w:rsid w:val="006C6CF5"/>
    <w:rsid w:val="006E393F"/>
    <w:rsid w:val="006E4BE2"/>
    <w:rsid w:val="00701009"/>
    <w:rsid w:val="00702220"/>
    <w:rsid w:val="0070379C"/>
    <w:rsid w:val="00704BE5"/>
    <w:rsid w:val="00706FE4"/>
    <w:rsid w:val="007101EF"/>
    <w:rsid w:val="0071331E"/>
    <w:rsid w:val="00726FF3"/>
    <w:rsid w:val="007433F8"/>
    <w:rsid w:val="00744501"/>
    <w:rsid w:val="00750A7C"/>
    <w:rsid w:val="007601B2"/>
    <w:rsid w:val="00765D82"/>
    <w:rsid w:val="007735D2"/>
    <w:rsid w:val="007817CF"/>
    <w:rsid w:val="00782B9C"/>
    <w:rsid w:val="007973F2"/>
    <w:rsid w:val="007A00D5"/>
    <w:rsid w:val="007C06E5"/>
    <w:rsid w:val="007C36A1"/>
    <w:rsid w:val="007D5CFB"/>
    <w:rsid w:val="007E475F"/>
    <w:rsid w:val="007E5371"/>
    <w:rsid w:val="007E65F6"/>
    <w:rsid w:val="00803F56"/>
    <w:rsid w:val="008157D4"/>
    <w:rsid w:val="0082240F"/>
    <w:rsid w:val="00827F14"/>
    <w:rsid w:val="008312CE"/>
    <w:rsid w:val="00832D7E"/>
    <w:rsid w:val="00837477"/>
    <w:rsid w:val="00841CB1"/>
    <w:rsid w:val="00850431"/>
    <w:rsid w:val="00851387"/>
    <w:rsid w:val="008535B1"/>
    <w:rsid w:val="00857E9E"/>
    <w:rsid w:val="00861A6C"/>
    <w:rsid w:val="00863DB1"/>
    <w:rsid w:val="008669A8"/>
    <w:rsid w:val="00870B6C"/>
    <w:rsid w:val="008857BC"/>
    <w:rsid w:val="00885B84"/>
    <w:rsid w:val="00893A24"/>
    <w:rsid w:val="00893CCD"/>
    <w:rsid w:val="00896A42"/>
    <w:rsid w:val="008A1C95"/>
    <w:rsid w:val="008C324E"/>
    <w:rsid w:val="008C46D7"/>
    <w:rsid w:val="008E0A7E"/>
    <w:rsid w:val="008E5076"/>
    <w:rsid w:val="008F1EC9"/>
    <w:rsid w:val="008F4A04"/>
    <w:rsid w:val="00904FD6"/>
    <w:rsid w:val="00911A99"/>
    <w:rsid w:val="00911D53"/>
    <w:rsid w:val="00921210"/>
    <w:rsid w:val="00932CDC"/>
    <w:rsid w:val="00942560"/>
    <w:rsid w:val="00944667"/>
    <w:rsid w:val="009525A3"/>
    <w:rsid w:val="00953151"/>
    <w:rsid w:val="00954AA0"/>
    <w:rsid w:val="009612CF"/>
    <w:rsid w:val="00964A7A"/>
    <w:rsid w:val="009665B8"/>
    <w:rsid w:val="009742C4"/>
    <w:rsid w:val="00975F29"/>
    <w:rsid w:val="00991F03"/>
    <w:rsid w:val="009945C2"/>
    <w:rsid w:val="009A67D3"/>
    <w:rsid w:val="009A723B"/>
    <w:rsid w:val="009C135D"/>
    <w:rsid w:val="009C1BDF"/>
    <w:rsid w:val="009D6086"/>
    <w:rsid w:val="009F2C41"/>
    <w:rsid w:val="009F32AF"/>
    <w:rsid w:val="00A01034"/>
    <w:rsid w:val="00A01694"/>
    <w:rsid w:val="00A072EA"/>
    <w:rsid w:val="00A159E7"/>
    <w:rsid w:val="00A15C2B"/>
    <w:rsid w:val="00A40283"/>
    <w:rsid w:val="00A43A03"/>
    <w:rsid w:val="00A46EAD"/>
    <w:rsid w:val="00A523DB"/>
    <w:rsid w:val="00A5645D"/>
    <w:rsid w:val="00A60515"/>
    <w:rsid w:val="00A62548"/>
    <w:rsid w:val="00A87501"/>
    <w:rsid w:val="00A90FE1"/>
    <w:rsid w:val="00AA7F9F"/>
    <w:rsid w:val="00AE2018"/>
    <w:rsid w:val="00AE222D"/>
    <w:rsid w:val="00AE40BF"/>
    <w:rsid w:val="00AF0B95"/>
    <w:rsid w:val="00AF0E42"/>
    <w:rsid w:val="00AF1116"/>
    <w:rsid w:val="00AF7347"/>
    <w:rsid w:val="00B33CF0"/>
    <w:rsid w:val="00B37D63"/>
    <w:rsid w:val="00B45475"/>
    <w:rsid w:val="00B71A2C"/>
    <w:rsid w:val="00B73B5D"/>
    <w:rsid w:val="00B817DB"/>
    <w:rsid w:val="00B94150"/>
    <w:rsid w:val="00BB4B9F"/>
    <w:rsid w:val="00BC3428"/>
    <w:rsid w:val="00BD3710"/>
    <w:rsid w:val="00BE3F40"/>
    <w:rsid w:val="00BE4FF0"/>
    <w:rsid w:val="00BE6B3C"/>
    <w:rsid w:val="00BE6F5E"/>
    <w:rsid w:val="00BE7EC8"/>
    <w:rsid w:val="00BF6B04"/>
    <w:rsid w:val="00C025E5"/>
    <w:rsid w:val="00C04611"/>
    <w:rsid w:val="00C04A17"/>
    <w:rsid w:val="00C16557"/>
    <w:rsid w:val="00C17ED2"/>
    <w:rsid w:val="00C26316"/>
    <w:rsid w:val="00C317A4"/>
    <w:rsid w:val="00C34A8A"/>
    <w:rsid w:val="00C3509A"/>
    <w:rsid w:val="00C359B8"/>
    <w:rsid w:val="00C376B0"/>
    <w:rsid w:val="00C376C5"/>
    <w:rsid w:val="00C523E4"/>
    <w:rsid w:val="00C54D59"/>
    <w:rsid w:val="00C62A29"/>
    <w:rsid w:val="00C81E55"/>
    <w:rsid w:val="00C826F8"/>
    <w:rsid w:val="00C8427F"/>
    <w:rsid w:val="00C85E9B"/>
    <w:rsid w:val="00C906BD"/>
    <w:rsid w:val="00CA5C74"/>
    <w:rsid w:val="00CA7E72"/>
    <w:rsid w:val="00CB0CE5"/>
    <w:rsid w:val="00CB3B0F"/>
    <w:rsid w:val="00CB74F5"/>
    <w:rsid w:val="00CC100D"/>
    <w:rsid w:val="00CC1DE5"/>
    <w:rsid w:val="00CC2A49"/>
    <w:rsid w:val="00CC3074"/>
    <w:rsid w:val="00CD11C3"/>
    <w:rsid w:val="00CD1C43"/>
    <w:rsid w:val="00CE41B8"/>
    <w:rsid w:val="00CE5DEB"/>
    <w:rsid w:val="00CF445E"/>
    <w:rsid w:val="00CF4D58"/>
    <w:rsid w:val="00D028C9"/>
    <w:rsid w:val="00D1121D"/>
    <w:rsid w:val="00D1502F"/>
    <w:rsid w:val="00D171AA"/>
    <w:rsid w:val="00D207D5"/>
    <w:rsid w:val="00D23569"/>
    <w:rsid w:val="00D31F2E"/>
    <w:rsid w:val="00D4152B"/>
    <w:rsid w:val="00D42692"/>
    <w:rsid w:val="00D54FD4"/>
    <w:rsid w:val="00D56A59"/>
    <w:rsid w:val="00D56F43"/>
    <w:rsid w:val="00D674F0"/>
    <w:rsid w:val="00D9392F"/>
    <w:rsid w:val="00D96879"/>
    <w:rsid w:val="00DB0CDB"/>
    <w:rsid w:val="00DB2A55"/>
    <w:rsid w:val="00DB6E8C"/>
    <w:rsid w:val="00DC5DCC"/>
    <w:rsid w:val="00DC793B"/>
    <w:rsid w:val="00DD0540"/>
    <w:rsid w:val="00DD4254"/>
    <w:rsid w:val="00DD7684"/>
    <w:rsid w:val="00DE7498"/>
    <w:rsid w:val="00DF1255"/>
    <w:rsid w:val="00DF3942"/>
    <w:rsid w:val="00E059BF"/>
    <w:rsid w:val="00E067E6"/>
    <w:rsid w:val="00E1493A"/>
    <w:rsid w:val="00E16BE1"/>
    <w:rsid w:val="00E17373"/>
    <w:rsid w:val="00E20AA7"/>
    <w:rsid w:val="00E344BA"/>
    <w:rsid w:val="00E34CD1"/>
    <w:rsid w:val="00E520CA"/>
    <w:rsid w:val="00E65291"/>
    <w:rsid w:val="00E716C8"/>
    <w:rsid w:val="00E84E69"/>
    <w:rsid w:val="00E862D3"/>
    <w:rsid w:val="00E90338"/>
    <w:rsid w:val="00E90718"/>
    <w:rsid w:val="00E90FA7"/>
    <w:rsid w:val="00EA3112"/>
    <w:rsid w:val="00EB11DB"/>
    <w:rsid w:val="00EB1A00"/>
    <w:rsid w:val="00EB312A"/>
    <w:rsid w:val="00EC1B78"/>
    <w:rsid w:val="00EC66A7"/>
    <w:rsid w:val="00ED0D9B"/>
    <w:rsid w:val="00ED1B8C"/>
    <w:rsid w:val="00ED3A1C"/>
    <w:rsid w:val="00ED7D80"/>
    <w:rsid w:val="00EE68D3"/>
    <w:rsid w:val="00F000CE"/>
    <w:rsid w:val="00F024F1"/>
    <w:rsid w:val="00F0691A"/>
    <w:rsid w:val="00F100AF"/>
    <w:rsid w:val="00F12430"/>
    <w:rsid w:val="00F1423A"/>
    <w:rsid w:val="00F14D81"/>
    <w:rsid w:val="00F159A6"/>
    <w:rsid w:val="00F163E8"/>
    <w:rsid w:val="00F24BC0"/>
    <w:rsid w:val="00F251F9"/>
    <w:rsid w:val="00F30ED0"/>
    <w:rsid w:val="00F42D45"/>
    <w:rsid w:val="00F508AD"/>
    <w:rsid w:val="00F5600D"/>
    <w:rsid w:val="00F57EC5"/>
    <w:rsid w:val="00F7009D"/>
    <w:rsid w:val="00F75BD7"/>
    <w:rsid w:val="00F95AF9"/>
    <w:rsid w:val="00F9709E"/>
    <w:rsid w:val="00F971CC"/>
    <w:rsid w:val="00FA21E8"/>
    <w:rsid w:val="00FB45F1"/>
    <w:rsid w:val="00FB643B"/>
    <w:rsid w:val="00FC2773"/>
    <w:rsid w:val="00FC6CA1"/>
    <w:rsid w:val="00FD64A1"/>
    <w:rsid w:val="00FE0D40"/>
    <w:rsid w:val="00FE1D66"/>
    <w:rsid w:val="00FE6AB8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BC4FA5"/>
  <w15:chartTrackingRefBased/>
  <w15:docId w15:val="{E494DBD6-6C23-42F6-9A76-5D131833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D71"/>
  </w:style>
  <w:style w:type="paragraph" w:styleId="Ttulo1">
    <w:name w:val="heading 1"/>
    <w:basedOn w:val="Normal"/>
    <w:next w:val="Normal"/>
    <w:link w:val="Ttulo1Char"/>
    <w:uiPriority w:val="9"/>
    <w:qFormat/>
    <w:rsid w:val="007E5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5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7C06E5"/>
    <w:pPr>
      <w:spacing w:after="200" w:line="240" w:lineRule="auto"/>
      <w:jc w:val="both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E5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E5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3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3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3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3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3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3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5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5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5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5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53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53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53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3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53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067E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7E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85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E9B"/>
  </w:style>
  <w:style w:type="paragraph" w:styleId="Rodap">
    <w:name w:val="footer"/>
    <w:basedOn w:val="Normal"/>
    <w:link w:val="RodapChar"/>
    <w:uiPriority w:val="99"/>
    <w:unhideWhenUsed/>
    <w:rsid w:val="00C85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blast.ncbi.nlm.nih.gov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16</Pages>
  <Words>5283</Words>
  <Characters>28530</Characters>
  <Application>Microsoft Office Word</Application>
  <DocSecurity>0</DocSecurity>
  <Lines>237</Lines>
  <Paragraphs>67</Paragraphs>
  <ScaleCrop>false</ScaleCrop>
  <Company/>
  <LinksUpToDate>false</LinksUpToDate>
  <CharactersWithSpaces>33746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Pro</dc:creator>
  <cp:keywords/>
  <dc:description/>
  <cp:lastModifiedBy>Dell Pro</cp:lastModifiedBy>
  <cp:revision>417</cp:revision>
  <dcterms:created xsi:type="dcterms:W3CDTF">2025-04-28T13:55:00Z</dcterms:created>
  <dcterms:modified xsi:type="dcterms:W3CDTF">2025-04-30T11:30:00Z</dcterms:modified>
</cp:coreProperties>
</file>